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45516C">
      <w:pPr>
        <w:rPr>
          <w:rFonts w:ascii="仿宋_GB2312" w:hAnsi="仿宋_GB2312" w:eastAsia="仿宋_GB2312" w:cs="仿宋_GB2312"/>
          <w:sz w:val="36"/>
          <w:szCs w:val="36"/>
        </w:rPr>
      </w:pPr>
    </w:p>
    <w:p w14:paraId="14E10AD8">
      <w:pPr>
        <w:rPr>
          <w:rFonts w:ascii="仿宋_GB2312" w:hAnsi="仿宋_GB2312" w:eastAsia="仿宋_GB2312" w:cs="仿宋_GB2312"/>
          <w:sz w:val="36"/>
          <w:szCs w:val="36"/>
        </w:rPr>
      </w:pPr>
    </w:p>
    <w:p w14:paraId="675B3554">
      <w:pPr>
        <w:rPr>
          <w:rFonts w:ascii="仿宋_GB2312" w:hAnsi="仿宋_GB2312" w:eastAsia="仿宋_GB2312" w:cs="仿宋_GB2312"/>
          <w:sz w:val="36"/>
          <w:szCs w:val="36"/>
        </w:rPr>
      </w:pPr>
    </w:p>
    <w:p w14:paraId="159E9497">
      <w:pPr>
        <w:rPr>
          <w:rFonts w:ascii="仿宋_GB2312" w:hAnsi="仿宋_GB2312" w:eastAsia="仿宋_GB2312" w:cs="仿宋_GB2312"/>
          <w:sz w:val="36"/>
          <w:szCs w:val="36"/>
        </w:rPr>
      </w:pPr>
    </w:p>
    <w:p w14:paraId="6D78B4FC">
      <w:pPr>
        <w:rPr>
          <w:rFonts w:hint="eastAsia" w:ascii="仿宋_GB2312" w:hAnsi="仿宋_GB2312" w:eastAsia="仿宋_GB2312" w:cs="仿宋_GB2312"/>
          <w:sz w:val="36"/>
          <w:szCs w:val="36"/>
        </w:rPr>
      </w:pPr>
    </w:p>
    <w:p w14:paraId="58730A80">
      <w:pPr>
        <w:adjustRightInd w:val="0"/>
        <w:snapToGrid w:val="0"/>
        <w:jc w:val="center"/>
        <w:outlineLvl w:val="0"/>
        <w:rPr>
          <w:rFonts w:hint="eastAsia" w:ascii="方正小标宋_GBK" w:eastAsia="方正小标宋_GBK"/>
          <w:bCs/>
          <w:sz w:val="72"/>
          <w:szCs w:val="72"/>
        </w:rPr>
      </w:pPr>
      <w:bookmarkStart w:id="0" w:name="_Toc31356"/>
      <w:bookmarkStart w:id="1" w:name="_Toc22384"/>
      <w:r>
        <w:rPr>
          <w:rFonts w:hint="eastAsia" w:ascii="方正小标宋_GBK" w:hAnsi="Times New Roman" w:eastAsia="方正小标宋_GBK" w:cs="Times New Roman"/>
          <w:bCs/>
          <w:sz w:val="72"/>
          <w:szCs w:val="72"/>
        </w:rPr>
        <w:t>建设项目</w:t>
      </w:r>
      <w:r>
        <w:rPr>
          <w:rFonts w:hint="eastAsia" w:ascii="方正小标宋_GBK" w:eastAsia="方正小标宋_GBK"/>
          <w:bCs/>
          <w:sz w:val="72"/>
          <w:szCs w:val="72"/>
        </w:rPr>
        <w:t>环境影响报告表</w:t>
      </w:r>
      <w:bookmarkEnd w:id="0"/>
      <w:bookmarkEnd w:id="1"/>
    </w:p>
    <w:p w14:paraId="131FDCC3">
      <w:pPr>
        <w:jc w:val="center"/>
        <w:rPr>
          <w:rFonts w:hint="eastAsia" w:eastAsia="仿宋"/>
          <w:sz w:val="44"/>
          <w:szCs w:val="44"/>
        </w:rPr>
      </w:pPr>
      <w:r>
        <w:rPr>
          <w:rFonts w:hint="eastAsia" w:eastAsia="仿宋"/>
          <w:sz w:val="44"/>
          <w:szCs w:val="44"/>
        </w:rPr>
        <w:t>（污染影响类）</w:t>
      </w:r>
    </w:p>
    <w:p w14:paraId="42EB5CA1">
      <w:pPr>
        <w:jc w:val="center"/>
        <w:rPr>
          <w:rFonts w:eastAsia="仿宋"/>
          <w:sz w:val="44"/>
          <w:szCs w:val="44"/>
        </w:rPr>
      </w:pPr>
      <w:r>
        <w:rPr>
          <w:rFonts w:hint="eastAsia" w:eastAsia="仿宋"/>
          <w:sz w:val="44"/>
          <w:szCs w:val="44"/>
        </w:rPr>
        <w:t>（</w:t>
      </w:r>
      <w:r>
        <w:rPr>
          <w:rFonts w:hint="eastAsia" w:eastAsia="仿宋"/>
          <w:sz w:val="44"/>
          <w:szCs w:val="44"/>
          <w:lang w:val="en-US" w:eastAsia="zh-CN"/>
        </w:rPr>
        <w:t>附风险专题评价</w:t>
      </w:r>
      <w:r>
        <w:rPr>
          <w:rFonts w:hint="eastAsia" w:eastAsia="仿宋"/>
          <w:sz w:val="44"/>
          <w:szCs w:val="44"/>
        </w:rPr>
        <w:t>）</w:t>
      </w:r>
    </w:p>
    <w:p w14:paraId="6E306534">
      <w:pPr>
        <w:jc w:val="center"/>
        <w:rPr>
          <w:rFonts w:hint="eastAsia" w:eastAsia="仿宋"/>
          <w:sz w:val="44"/>
          <w:szCs w:val="44"/>
          <w:lang w:eastAsia="zh-CN"/>
        </w:rPr>
      </w:pPr>
      <w:r>
        <w:rPr>
          <w:rFonts w:hint="eastAsia" w:eastAsia="仿宋"/>
          <w:sz w:val="44"/>
          <w:szCs w:val="44"/>
          <w:lang w:eastAsia="zh-CN"/>
        </w:rPr>
        <w:t>（</w:t>
      </w:r>
      <w:r>
        <w:rPr>
          <w:rFonts w:hint="eastAsia" w:eastAsia="仿宋"/>
          <w:sz w:val="44"/>
          <w:szCs w:val="44"/>
          <w:lang w:val="en-US" w:eastAsia="zh-CN"/>
        </w:rPr>
        <w:t>公示本</w:t>
      </w:r>
      <w:r>
        <w:rPr>
          <w:rFonts w:hint="eastAsia" w:eastAsia="仿宋"/>
          <w:sz w:val="44"/>
          <w:szCs w:val="44"/>
          <w:lang w:eastAsia="zh-CN"/>
        </w:rPr>
        <w:t>）</w:t>
      </w:r>
    </w:p>
    <w:p w14:paraId="6ED1407D">
      <w:pPr>
        <w:rPr>
          <w:rFonts w:eastAsia="仿宋"/>
          <w:sz w:val="44"/>
          <w:szCs w:val="44"/>
        </w:rPr>
      </w:pPr>
    </w:p>
    <w:p w14:paraId="737EC7C1">
      <w:pPr>
        <w:rPr>
          <w:rFonts w:eastAsia="仿宋"/>
          <w:sz w:val="44"/>
          <w:szCs w:val="44"/>
        </w:rPr>
      </w:pPr>
    </w:p>
    <w:p w14:paraId="15883D87">
      <w:pPr>
        <w:rPr>
          <w:rFonts w:hint="eastAsia" w:eastAsia="仿宋"/>
          <w:sz w:val="44"/>
          <w:szCs w:val="44"/>
          <w:lang w:eastAsia="zh-CN"/>
        </w:rPr>
      </w:pPr>
    </w:p>
    <w:p w14:paraId="5A617F0C">
      <w:pPr>
        <w:rPr>
          <w:rFonts w:eastAsia="仿宋"/>
          <w:sz w:val="44"/>
          <w:szCs w:val="44"/>
        </w:rPr>
      </w:pPr>
    </w:p>
    <w:p w14:paraId="4FCC5DE7">
      <w:pPr>
        <w:adjustRightInd w:val="0"/>
        <w:snapToGrid w:val="0"/>
        <w:spacing w:line="288" w:lineRule="auto"/>
        <w:ind w:left="2518" w:leftChars="342" w:hanging="1800" w:hangingChars="500"/>
        <w:rPr>
          <w:rFonts w:hint="default"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lang w:eastAsia="zh-CN"/>
        </w:rPr>
        <w:t>钦州石化产业园区志得化学品仓储物流项目（一期）</w:t>
      </w:r>
      <w:r>
        <w:rPr>
          <w:rFonts w:hint="eastAsia" w:ascii="仿宋_GB2312" w:eastAsia="仿宋_GB2312"/>
          <w:sz w:val="36"/>
          <w:szCs w:val="36"/>
          <w:u w:val="single"/>
          <w:lang w:val="en-US" w:eastAsia="zh-CN"/>
        </w:rPr>
        <w:t xml:space="preserve">                         </w:t>
      </w:r>
    </w:p>
    <w:p w14:paraId="20D5E670">
      <w:pPr>
        <w:adjustRightInd w:val="0"/>
        <w:snapToGrid w:val="0"/>
        <w:spacing w:line="288" w:lineRule="auto"/>
        <w:ind w:firstLine="720" w:firstLineChars="200"/>
        <w:rPr>
          <w:rFonts w:hint="eastAsia" w:ascii="仿宋_GB2312" w:eastAsia="仿宋_GB2312"/>
          <w:sz w:val="36"/>
          <w:szCs w:val="36"/>
          <w:u w:val="single"/>
          <w:lang w:eastAsia="zh-CN"/>
        </w:rPr>
      </w:pPr>
      <w:r>
        <w:rPr>
          <w:rFonts w:hint="eastAsia" w:ascii="仿宋_GB2312" w:eastAsia="仿宋_GB2312"/>
          <w:sz w:val="36"/>
          <w:szCs w:val="36"/>
        </w:rPr>
        <w:t>建设单位：</w:t>
      </w:r>
      <w:r>
        <w:rPr>
          <w:rFonts w:hint="eastAsia" w:ascii="仿宋_GB2312" w:eastAsia="仿宋_GB2312"/>
          <w:sz w:val="36"/>
          <w:szCs w:val="36"/>
          <w:u w:val="single"/>
          <w:lang w:eastAsia="zh-CN"/>
        </w:rPr>
        <w:t>广西志得实业有限公司</w:t>
      </w:r>
    </w:p>
    <w:p w14:paraId="78C195C4">
      <w:pPr>
        <w:adjustRightInd w:val="0"/>
        <w:snapToGrid w:val="0"/>
        <w:spacing w:line="288" w:lineRule="auto"/>
        <w:ind w:firstLine="720" w:firstLineChars="20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color w:val="auto"/>
          <w:sz w:val="36"/>
          <w:szCs w:val="36"/>
          <w:u w:val="single"/>
        </w:rPr>
        <w:t>202</w:t>
      </w:r>
      <w:r>
        <w:rPr>
          <w:rFonts w:hint="eastAsia" w:ascii="仿宋_GB2312" w:eastAsia="仿宋_GB2312"/>
          <w:color w:val="auto"/>
          <w:sz w:val="36"/>
          <w:szCs w:val="36"/>
          <w:u w:val="single"/>
          <w:lang w:val="en-US" w:eastAsia="zh-CN"/>
        </w:rPr>
        <w:t>5</w:t>
      </w:r>
      <w:r>
        <w:rPr>
          <w:rFonts w:hint="eastAsia" w:ascii="仿宋_GB2312" w:eastAsia="仿宋_GB2312"/>
          <w:color w:val="auto"/>
          <w:sz w:val="36"/>
          <w:szCs w:val="36"/>
          <w:u w:val="single"/>
        </w:rPr>
        <w:t>年</w:t>
      </w:r>
      <w:r>
        <w:rPr>
          <w:rFonts w:hint="eastAsia" w:ascii="仿宋_GB2312" w:eastAsia="仿宋_GB2312"/>
          <w:color w:val="auto"/>
          <w:sz w:val="36"/>
          <w:szCs w:val="36"/>
          <w:u w:val="single"/>
          <w:lang w:val="en-US" w:eastAsia="zh-CN"/>
        </w:rPr>
        <w:t>3</w:t>
      </w:r>
      <w:r>
        <w:rPr>
          <w:rFonts w:hint="eastAsia" w:ascii="仿宋_GB2312" w:eastAsia="仿宋_GB2312"/>
          <w:color w:val="auto"/>
          <w:sz w:val="36"/>
          <w:szCs w:val="36"/>
          <w:u w:val="single"/>
        </w:rPr>
        <w:t>月</w:t>
      </w:r>
    </w:p>
    <w:p w14:paraId="1B329F2D">
      <w:pPr>
        <w:adjustRightInd w:val="0"/>
        <w:snapToGrid w:val="0"/>
        <w:spacing w:line="288" w:lineRule="auto"/>
        <w:rPr>
          <w:rFonts w:ascii="仿宋_GB2312" w:eastAsia="仿宋_GB2312"/>
          <w:sz w:val="36"/>
          <w:szCs w:val="36"/>
          <w:u w:val="single"/>
        </w:rPr>
      </w:pPr>
      <w:bookmarkStart w:id="2" w:name="_Hlk57884087"/>
    </w:p>
    <w:p w14:paraId="417DA2A9">
      <w:pPr>
        <w:adjustRightInd w:val="0"/>
        <w:snapToGrid w:val="0"/>
        <w:spacing w:line="288" w:lineRule="auto"/>
        <w:rPr>
          <w:rFonts w:ascii="仿宋_GB2312" w:eastAsia="仿宋_GB2312"/>
          <w:sz w:val="36"/>
          <w:szCs w:val="36"/>
        </w:rPr>
      </w:pPr>
    </w:p>
    <w:p w14:paraId="53442ABF">
      <w:pPr>
        <w:adjustRightInd w:val="0"/>
        <w:snapToGrid w:val="0"/>
        <w:spacing w:line="288" w:lineRule="auto"/>
        <w:rPr>
          <w:rFonts w:ascii="仿宋_GB2312" w:eastAsia="仿宋_GB2312"/>
          <w:sz w:val="36"/>
          <w:szCs w:val="36"/>
        </w:rPr>
      </w:pPr>
    </w:p>
    <w:p w14:paraId="3DB1DD9C">
      <w:pPr>
        <w:adjustRightInd w:val="0"/>
        <w:snapToGrid w:val="0"/>
        <w:spacing w:line="288" w:lineRule="auto"/>
        <w:rPr>
          <w:rFonts w:ascii="仿宋_GB2312" w:eastAsia="仿宋_GB2312"/>
          <w:sz w:val="36"/>
          <w:szCs w:val="36"/>
        </w:rPr>
      </w:pPr>
    </w:p>
    <w:p w14:paraId="0CA7EBDC">
      <w:pPr>
        <w:adjustRightInd w:val="0"/>
        <w:snapToGrid w:val="0"/>
        <w:spacing w:line="288" w:lineRule="auto"/>
        <w:rPr>
          <w:rFonts w:ascii="仿宋_GB2312" w:eastAsia="仿宋_GB2312"/>
          <w:sz w:val="36"/>
          <w:szCs w:val="36"/>
        </w:rPr>
      </w:pPr>
    </w:p>
    <w:p w14:paraId="5A540623">
      <w:pPr>
        <w:adjustRightInd w:val="0"/>
        <w:snapToGrid w:val="0"/>
        <w:spacing w:line="288" w:lineRule="auto"/>
        <w:rPr>
          <w:rFonts w:hint="eastAsia" w:ascii="仿宋_GB2312" w:eastAsia="仿宋_GB2312"/>
          <w:sz w:val="36"/>
          <w:szCs w:val="36"/>
        </w:rPr>
      </w:pPr>
    </w:p>
    <w:bookmarkEnd w:id="2"/>
    <w:p w14:paraId="4E2E3911">
      <w:pPr>
        <w:adjustRightInd w:val="0"/>
        <w:snapToGrid w:val="0"/>
        <w:spacing w:line="288" w:lineRule="auto"/>
        <w:jc w:val="center"/>
        <w:rPr>
          <w:sz w:val="44"/>
          <w:szCs w:val="44"/>
          <w:lang w:val="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宋体" w:hAnsi="宋体" w:cs="宋体"/>
          <w:sz w:val="44"/>
          <w:szCs w:val="44"/>
        </w:rPr>
        <w:t>中华人民共和国生态环境部制</w:t>
      </w:r>
    </w:p>
    <w:p w14:paraId="46C4DD6C">
      <w:pPr>
        <w:pStyle w:val="23"/>
        <w:jc w:val="center"/>
        <w:rPr>
          <w:color w:val="auto"/>
          <w:sz w:val="44"/>
          <w:szCs w:val="44"/>
        </w:rPr>
      </w:pPr>
      <w:bookmarkStart w:id="3" w:name="_Toc29222"/>
      <w:r>
        <w:rPr>
          <w:color w:val="auto"/>
          <w:sz w:val="44"/>
          <w:szCs w:val="44"/>
          <w:lang w:val="zh-CN"/>
        </w:rPr>
        <w:t>目</w:t>
      </w:r>
      <w:r>
        <w:rPr>
          <w:rFonts w:hint="eastAsia"/>
          <w:color w:val="auto"/>
          <w:sz w:val="44"/>
          <w:szCs w:val="44"/>
          <w:lang w:val="zh-CN"/>
        </w:rPr>
        <w:t xml:space="preserve">  </w:t>
      </w:r>
      <w:r>
        <w:rPr>
          <w:color w:val="auto"/>
          <w:sz w:val="44"/>
          <w:szCs w:val="44"/>
          <w:lang w:val="zh-CN"/>
        </w:rPr>
        <w:t>录</w:t>
      </w:r>
      <w:bookmarkEnd w:id="3"/>
    </w:p>
    <w:p w14:paraId="67C182D0">
      <w:pPr>
        <w:pStyle w:val="7"/>
        <w:tabs>
          <w:tab w:val="right" w:leader="dot" w:pos="8844"/>
          <w:tab w:val="clear" w:pos="8296"/>
        </w:tabs>
        <w:spacing w:line="360" w:lineRule="auto"/>
        <w:rPr>
          <w:rFonts w:hint="eastAsia" w:ascii="宋体" w:hAnsi="宋体" w:cs="宋体"/>
        </w:rPr>
      </w:pPr>
      <w:r>
        <w:rPr>
          <w:rFonts w:hint="eastAsia" w:ascii="宋体" w:hAnsi="宋体" w:cs="宋体"/>
        </w:rPr>
        <w:fldChar w:fldCharType="begin"/>
      </w:r>
      <w:r>
        <w:rPr>
          <w:rFonts w:hint="eastAsia" w:ascii="宋体" w:hAnsi="宋体" w:cs="宋体"/>
        </w:rPr>
        <w:instrText xml:space="preserve">TOC \o "1-3" \h \u </w:instrText>
      </w:r>
      <w:r>
        <w:rPr>
          <w:rFonts w:hint="eastAsia" w:ascii="宋体" w:hAnsi="宋体" w:cs="宋体"/>
        </w:rPr>
        <w:fldChar w:fldCharType="separate"/>
      </w:r>
      <w:r>
        <w:rPr>
          <w:rFonts w:hint="eastAsia" w:ascii="宋体" w:hAnsi="宋体" w:cs="宋体"/>
        </w:rPr>
        <w:fldChar w:fldCharType="begin"/>
      </w:r>
      <w:r>
        <w:rPr>
          <w:rFonts w:hint="eastAsia" w:ascii="宋体" w:hAnsi="宋体" w:cs="宋体"/>
        </w:rPr>
        <w:instrText xml:space="preserve"> HYPERLINK \l _Toc3962 </w:instrText>
      </w:r>
      <w:r>
        <w:rPr>
          <w:rFonts w:hint="eastAsia" w:ascii="宋体" w:hAnsi="宋体" w:cs="宋体"/>
        </w:rPr>
        <w:fldChar w:fldCharType="separate"/>
      </w:r>
      <w:r>
        <w:rPr>
          <w:rFonts w:hint="eastAsia" w:ascii="宋体" w:hAnsi="宋体" w:cs="宋体"/>
          <w:snapToGrid w:val="0"/>
        </w:rPr>
        <w:t>一、建设项目基本情况</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_Toc3962 \h </w:instrText>
      </w:r>
      <w:r>
        <w:rPr>
          <w:rFonts w:hint="eastAsia" w:ascii="宋体" w:hAnsi="宋体" w:cs="宋体"/>
        </w:rPr>
        <w:fldChar w:fldCharType="separate"/>
      </w:r>
      <w:r>
        <w:rPr>
          <w:rFonts w:hint="eastAsia" w:ascii="宋体" w:hAnsi="宋体" w:cs="宋体"/>
        </w:rPr>
        <w:t>1</w:t>
      </w:r>
      <w:r>
        <w:rPr>
          <w:rFonts w:hint="eastAsia" w:ascii="宋体" w:hAnsi="宋体" w:cs="宋体"/>
        </w:rPr>
        <w:fldChar w:fldCharType="end"/>
      </w:r>
      <w:r>
        <w:rPr>
          <w:rFonts w:hint="eastAsia" w:ascii="宋体" w:hAnsi="宋体" w:cs="宋体"/>
        </w:rPr>
        <w:fldChar w:fldCharType="end"/>
      </w:r>
    </w:p>
    <w:p w14:paraId="5FA9205D">
      <w:pPr>
        <w:pStyle w:val="7"/>
        <w:tabs>
          <w:tab w:val="right" w:leader="dot" w:pos="8844"/>
          <w:tab w:val="clear" w:pos="8296"/>
        </w:tabs>
        <w:spacing w:line="360" w:lineRule="auto"/>
        <w:rPr>
          <w:rFonts w:hint="eastAsia" w:ascii="宋体" w:hAnsi="宋体" w:cs="宋体"/>
        </w:rPr>
      </w:pPr>
      <w:r>
        <w:rPr>
          <w:rFonts w:hint="eastAsia" w:ascii="宋体" w:hAnsi="宋体" w:cs="宋体"/>
        </w:rPr>
        <w:fldChar w:fldCharType="begin"/>
      </w:r>
      <w:r>
        <w:rPr>
          <w:rFonts w:hint="eastAsia" w:ascii="宋体" w:hAnsi="宋体" w:cs="宋体"/>
        </w:rPr>
        <w:instrText xml:space="preserve"> HYPERLINK \l _Toc2404 </w:instrText>
      </w:r>
      <w:r>
        <w:rPr>
          <w:rFonts w:hint="eastAsia" w:ascii="宋体" w:hAnsi="宋体" w:cs="宋体"/>
        </w:rPr>
        <w:fldChar w:fldCharType="separate"/>
      </w:r>
      <w:r>
        <w:rPr>
          <w:rFonts w:hint="eastAsia" w:ascii="宋体" w:hAnsi="宋体" w:cs="宋体"/>
          <w:snapToGrid w:val="0"/>
        </w:rPr>
        <w:t>二、建设项目工程分析</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_Toc2404 \h </w:instrText>
      </w:r>
      <w:r>
        <w:rPr>
          <w:rFonts w:hint="eastAsia" w:ascii="宋体" w:hAnsi="宋体" w:cs="宋体"/>
        </w:rPr>
        <w:fldChar w:fldCharType="separate"/>
      </w:r>
      <w:r>
        <w:rPr>
          <w:rFonts w:hint="eastAsia" w:ascii="宋体" w:hAnsi="宋体" w:cs="宋体"/>
        </w:rPr>
        <w:t>29</w:t>
      </w:r>
      <w:r>
        <w:rPr>
          <w:rFonts w:hint="eastAsia" w:ascii="宋体" w:hAnsi="宋体" w:cs="宋体"/>
        </w:rPr>
        <w:fldChar w:fldCharType="end"/>
      </w:r>
      <w:r>
        <w:rPr>
          <w:rFonts w:hint="eastAsia" w:ascii="宋体" w:hAnsi="宋体" w:cs="宋体"/>
        </w:rPr>
        <w:fldChar w:fldCharType="end"/>
      </w:r>
    </w:p>
    <w:p w14:paraId="5418E45A">
      <w:pPr>
        <w:pStyle w:val="7"/>
        <w:tabs>
          <w:tab w:val="right" w:leader="dot" w:pos="8844"/>
          <w:tab w:val="clear" w:pos="8296"/>
        </w:tabs>
        <w:spacing w:line="360" w:lineRule="auto"/>
        <w:rPr>
          <w:rFonts w:hint="eastAsia" w:ascii="宋体" w:hAnsi="宋体" w:cs="宋体"/>
        </w:rPr>
      </w:pPr>
      <w:r>
        <w:rPr>
          <w:rFonts w:hint="eastAsia" w:ascii="宋体" w:hAnsi="宋体" w:cs="宋体"/>
        </w:rPr>
        <w:fldChar w:fldCharType="begin"/>
      </w:r>
      <w:r>
        <w:rPr>
          <w:rFonts w:hint="eastAsia" w:ascii="宋体" w:hAnsi="宋体" w:cs="宋体"/>
        </w:rPr>
        <w:instrText xml:space="preserve"> HYPERLINK \l _Toc17641 </w:instrText>
      </w:r>
      <w:r>
        <w:rPr>
          <w:rFonts w:hint="eastAsia" w:ascii="宋体" w:hAnsi="宋体" w:cs="宋体"/>
        </w:rPr>
        <w:fldChar w:fldCharType="separate"/>
      </w:r>
      <w:r>
        <w:rPr>
          <w:rFonts w:hint="eastAsia" w:ascii="宋体" w:hAnsi="宋体" w:cs="宋体"/>
          <w:snapToGrid w:val="0"/>
        </w:rPr>
        <w:t>三、区域环境质量现状、环境保护目标及评价标准</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_Toc17641 \h </w:instrText>
      </w:r>
      <w:r>
        <w:rPr>
          <w:rFonts w:hint="eastAsia" w:ascii="宋体" w:hAnsi="宋体" w:cs="宋体"/>
        </w:rPr>
        <w:fldChar w:fldCharType="separate"/>
      </w:r>
      <w:r>
        <w:rPr>
          <w:rFonts w:hint="eastAsia" w:ascii="宋体" w:hAnsi="宋体" w:cs="宋体"/>
        </w:rPr>
        <w:t>51</w:t>
      </w:r>
      <w:r>
        <w:rPr>
          <w:rFonts w:hint="eastAsia" w:ascii="宋体" w:hAnsi="宋体" w:cs="宋体"/>
        </w:rPr>
        <w:fldChar w:fldCharType="end"/>
      </w:r>
      <w:r>
        <w:rPr>
          <w:rFonts w:hint="eastAsia" w:ascii="宋体" w:hAnsi="宋体" w:cs="宋体"/>
        </w:rPr>
        <w:fldChar w:fldCharType="end"/>
      </w:r>
    </w:p>
    <w:p w14:paraId="4F8C2041">
      <w:pPr>
        <w:pStyle w:val="7"/>
        <w:tabs>
          <w:tab w:val="right" w:leader="dot" w:pos="8844"/>
          <w:tab w:val="clear" w:pos="8296"/>
        </w:tabs>
        <w:spacing w:line="360" w:lineRule="auto"/>
        <w:rPr>
          <w:rFonts w:hint="eastAsia" w:ascii="宋体" w:hAnsi="宋体" w:cs="宋体"/>
        </w:rPr>
      </w:pPr>
      <w:r>
        <w:rPr>
          <w:rFonts w:hint="eastAsia" w:ascii="宋体" w:hAnsi="宋体" w:cs="宋体"/>
        </w:rPr>
        <w:fldChar w:fldCharType="begin"/>
      </w:r>
      <w:r>
        <w:rPr>
          <w:rFonts w:hint="eastAsia" w:ascii="宋体" w:hAnsi="宋体" w:cs="宋体"/>
        </w:rPr>
        <w:instrText xml:space="preserve"> HYPERLINK \l _Toc23231 </w:instrText>
      </w:r>
      <w:r>
        <w:rPr>
          <w:rFonts w:hint="eastAsia" w:ascii="宋体" w:hAnsi="宋体" w:cs="宋体"/>
        </w:rPr>
        <w:fldChar w:fldCharType="separate"/>
      </w:r>
      <w:r>
        <w:rPr>
          <w:rFonts w:hint="eastAsia" w:ascii="宋体" w:hAnsi="宋体" w:cs="宋体"/>
          <w:snapToGrid w:val="0"/>
        </w:rPr>
        <w:t>四、主要环境影响和保护措施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_Toc23231 \h </w:instrText>
      </w:r>
      <w:r>
        <w:rPr>
          <w:rFonts w:hint="eastAsia" w:ascii="宋体" w:hAnsi="宋体" w:cs="宋体"/>
        </w:rPr>
        <w:fldChar w:fldCharType="separate"/>
      </w:r>
      <w:r>
        <w:rPr>
          <w:rFonts w:hint="eastAsia" w:ascii="宋体" w:hAnsi="宋体" w:cs="宋体"/>
        </w:rPr>
        <w:t>66</w:t>
      </w:r>
      <w:r>
        <w:rPr>
          <w:rFonts w:hint="eastAsia" w:ascii="宋体" w:hAnsi="宋体" w:cs="宋体"/>
        </w:rPr>
        <w:fldChar w:fldCharType="end"/>
      </w:r>
      <w:r>
        <w:rPr>
          <w:rFonts w:hint="eastAsia" w:ascii="宋体" w:hAnsi="宋体" w:cs="宋体"/>
        </w:rPr>
        <w:fldChar w:fldCharType="end"/>
      </w:r>
    </w:p>
    <w:p w14:paraId="6433DFD3">
      <w:pPr>
        <w:pStyle w:val="7"/>
        <w:tabs>
          <w:tab w:val="right" w:leader="dot" w:pos="8844"/>
          <w:tab w:val="clear" w:pos="8296"/>
        </w:tabs>
        <w:spacing w:line="360" w:lineRule="auto"/>
        <w:rPr>
          <w:rFonts w:hint="eastAsia" w:ascii="宋体" w:hAnsi="宋体" w:cs="宋体"/>
        </w:rPr>
      </w:pPr>
      <w:r>
        <w:rPr>
          <w:rFonts w:hint="eastAsia" w:ascii="宋体" w:hAnsi="宋体" w:cs="宋体"/>
        </w:rPr>
        <w:fldChar w:fldCharType="begin"/>
      </w:r>
      <w:r>
        <w:rPr>
          <w:rFonts w:hint="eastAsia" w:ascii="宋体" w:hAnsi="宋体" w:cs="宋体"/>
        </w:rPr>
        <w:instrText xml:space="preserve"> HYPERLINK \l _Toc13178 </w:instrText>
      </w:r>
      <w:r>
        <w:rPr>
          <w:rFonts w:hint="eastAsia" w:ascii="宋体" w:hAnsi="宋体" w:cs="宋体"/>
        </w:rPr>
        <w:fldChar w:fldCharType="separate"/>
      </w:r>
      <w:r>
        <w:rPr>
          <w:rFonts w:hint="eastAsia" w:ascii="宋体" w:hAnsi="宋体" w:cs="宋体"/>
          <w:snapToGrid w:val="0"/>
        </w:rPr>
        <w:t>五、环境保护措施监督检查清单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_Toc13178 \h </w:instrText>
      </w:r>
      <w:r>
        <w:rPr>
          <w:rFonts w:hint="eastAsia" w:ascii="宋体" w:hAnsi="宋体" w:cs="宋体"/>
        </w:rPr>
        <w:fldChar w:fldCharType="separate"/>
      </w:r>
      <w:r>
        <w:rPr>
          <w:rFonts w:hint="eastAsia" w:ascii="宋体" w:hAnsi="宋体" w:cs="宋体"/>
        </w:rPr>
        <w:t>90</w:t>
      </w:r>
      <w:r>
        <w:rPr>
          <w:rFonts w:hint="eastAsia" w:ascii="宋体" w:hAnsi="宋体" w:cs="宋体"/>
        </w:rPr>
        <w:fldChar w:fldCharType="end"/>
      </w:r>
      <w:r>
        <w:rPr>
          <w:rFonts w:hint="eastAsia" w:ascii="宋体" w:hAnsi="宋体" w:cs="宋体"/>
        </w:rPr>
        <w:fldChar w:fldCharType="end"/>
      </w:r>
    </w:p>
    <w:p w14:paraId="31EA5170">
      <w:pPr>
        <w:pStyle w:val="7"/>
        <w:tabs>
          <w:tab w:val="right" w:leader="dot" w:pos="8844"/>
          <w:tab w:val="clear" w:pos="8296"/>
        </w:tabs>
        <w:spacing w:line="360" w:lineRule="auto"/>
        <w:rPr>
          <w:rFonts w:hint="eastAsia" w:ascii="宋体" w:hAnsi="宋体" w:cs="宋体"/>
        </w:rPr>
      </w:pPr>
      <w:r>
        <w:rPr>
          <w:rFonts w:hint="eastAsia" w:ascii="宋体" w:hAnsi="宋体" w:cs="宋体"/>
        </w:rPr>
        <w:fldChar w:fldCharType="begin"/>
      </w:r>
      <w:r>
        <w:rPr>
          <w:rFonts w:hint="eastAsia" w:ascii="宋体" w:hAnsi="宋体" w:cs="宋体"/>
        </w:rPr>
        <w:instrText xml:space="preserve"> HYPERLINK \l _Toc16448 </w:instrText>
      </w:r>
      <w:r>
        <w:rPr>
          <w:rFonts w:hint="eastAsia" w:ascii="宋体" w:hAnsi="宋体" w:cs="宋体"/>
        </w:rPr>
        <w:fldChar w:fldCharType="separate"/>
      </w:r>
      <w:r>
        <w:rPr>
          <w:rFonts w:hint="eastAsia" w:ascii="宋体" w:hAnsi="宋体" w:cs="宋体"/>
          <w:snapToGrid w:val="0"/>
        </w:rPr>
        <w:t>六、结论</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_Toc16448 \h </w:instrText>
      </w:r>
      <w:r>
        <w:rPr>
          <w:rFonts w:hint="eastAsia" w:ascii="宋体" w:hAnsi="宋体" w:cs="宋体"/>
        </w:rPr>
        <w:fldChar w:fldCharType="separate"/>
      </w:r>
      <w:r>
        <w:rPr>
          <w:rFonts w:hint="eastAsia" w:ascii="宋体" w:hAnsi="宋体" w:cs="宋体"/>
        </w:rPr>
        <w:t>91</w:t>
      </w:r>
      <w:r>
        <w:rPr>
          <w:rFonts w:hint="eastAsia" w:ascii="宋体" w:hAnsi="宋体" w:cs="宋体"/>
        </w:rPr>
        <w:fldChar w:fldCharType="end"/>
      </w:r>
      <w:r>
        <w:rPr>
          <w:rFonts w:hint="eastAsia" w:ascii="宋体" w:hAnsi="宋体" w:cs="宋体"/>
        </w:rPr>
        <w:fldChar w:fldCharType="end"/>
      </w:r>
    </w:p>
    <w:p w14:paraId="67E21B5E">
      <w:pPr>
        <w:pStyle w:val="7"/>
        <w:tabs>
          <w:tab w:val="right" w:leader="dot" w:pos="8844"/>
          <w:tab w:val="clear" w:pos="8296"/>
        </w:tabs>
        <w:spacing w:line="360" w:lineRule="auto"/>
        <w:rPr>
          <w:rFonts w:hint="eastAsia" w:ascii="宋体" w:hAnsi="宋体" w:cs="宋体"/>
        </w:rPr>
      </w:pPr>
      <w:r>
        <w:rPr>
          <w:rFonts w:hint="eastAsia" w:ascii="宋体" w:hAnsi="宋体" w:cs="宋体"/>
        </w:rPr>
        <w:fldChar w:fldCharType="begin"/>
      </w:r>
      <w:r>
        <w:rPr>
          <w:rFonts w:hint="eastAsia" w:ascii="宋体" w:hAnsi="宋体" w:cs="宋体"/>
        </w:rPr>
        <w:instrText xml:space="preserve"> HYPERLINK \l _Toc25593 </w:instrText>
      </w:r>
      <w:r>
        <w:rPr>
          <w:rFonts w:hint="eastAsia" w:ascii="宋体" w:hAnsi="宋体" w:cs="宋体"/>
        </w:rPr>
        <w:fldChar w:fldCharType="separate"/>
      </w:r>
      <w:r>
        <w:rPr>
          <w:rFonts w:hint="eastAsia" w:ascii="宋体" w:hAnsi="宋体" w:cs="宋体"/>
          <w:snapToGrid w:val="0"/>
        </w:rPr>
        <w:t>附表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_Toc25593 \h </w:instrText>
      </w:r>
      <w:r>
        <w:rPr>
          <w:rFonts w:hint="eastAsia" w:ascii="宋体" w:hAnsi="宋体" w:cs="宋体"/>
        </w:rPr>
        <w:fldChar w:fldCharType="separate"/>
      </w:r>
      <w:r>
        <w:rPr>
          <w:rFonts w:hint="eastAsia" w:ascii="宋体" w:hAnsi="宋体" w:cs="宋体"/>
        </w:rPr>
        <w:t>92</w:t>
      </w:r>
      <w:r>
        <w:rPr>
          <w:rFonts w:hint="eastAsia" w:ascii="宋体" w:hAnsi="宋体" w:cs="宋体"/>
        </w:rPr>
        <w:fldChar w:fldCharType="end"/>
      </w:r>
      <w:r>
        <w:rPr>
          <w:rFonts w:hint="eastAsia" w:ascii="宋体" w:hAnsi="宋体" w:cs="宋体"/>
        </w:rPr>
        <w:fldChar w:fldCharType="end"/>
      </w:r>
    </w:p>
    <w:p w14:paraId="21C66C97">
      <w:pPr>
        <w:pStyle w:val="7"/>
        <w:tabs>
          <w:tab w:val="right" w:leader="dot" w:pos="8844"/>
          <w:tab w:val="clear" w:pos="8296"/>
        </w:tabs>
        <w:spacing w:line="360" w:lineRule="auto"/>
        <w:rPr>
          <w:rFonts w:hint="eastAsia" w:ascii="宋体" w:hAnsi="宋体" w:cs="宋体"/>
        </w:rPr>
      </w:pPr>
      <w:r>
        <w:rPr>
          <w:rFonts w:hint="eastAsia" w:ascii="宋体" w:hAnsi="宋体" w:cs="宋体"/>
        </w:rPr>
        <w:fldChar w:fldCharType="begin"/>
      </w:r>
      <w:r>
        <w:rPr>
          <w:rFonts w:hint="eastAsia" w:ascii="宋体" w:hAnsi="宋体" w:cs="宋体"/>
        </w:rPr>
        <w:instrText xml:space="preserve"> HYPERLINK \l _Toc11741 </w:instrText>
      </w:r>
      <w:r>
        <w:rPr>
          <w:rFonts w:hint="eastAsia" w:ascii="宋体" w:hAnsi="宋体" w:cs="宋体"/>
        </w:rPr>
        <w:fldChar w:fldCharType="separate"/>
      </w:r>
      <w:r>
        <w:rPr>
          <w:rFonts w:hint="eastAsia" w:ascii="宋体" w:hAnsi="宋体" w:cs="宋体"/>
          <w:snapToGrid w:val="0"/>
        </w:rPr>
        <w:t>建设项目污染物排放量汇总表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_Toc11741 \h </w:instrText>
      </w:r>
      <w:r>
        <w:rPr>
          <w:rFonts w:hint="eastAsia" w:ascii="宋体" w:hAnsi="宋体" w:cs="宋体"/>
        </w:rPr>
        <w:fldChar w:fldCharType="separate"/>
      </w:r>
      <w:r>
        <w:rPr>
          <w:rFonts w:hint="eastAsia" w:ascii="宋体" w:hAnsi="宋体" w:cs="宋体"/>
        </w:rPr>
        <w:t>92</w:t>
      </w:r>
      <w:r>
        <w:rPr>
          <w:rFonts w:hint="eastAsia" w:ascii="宋体" w:hAnsi="宋体" w:cs="宋体"/>
        </w:rPr>
        <w:fldChar w:fldCharType="end"/>
      </w:r>
      <w:r>
        <w:rPr>
          <w:rFonts w:hint="eastAsia" w:ascii="宋体" w:hAnsi="宋体" w:cs="宋体"/>
        </w:rPr>
        <w:fldChar w:fldCharType="end"/>
      </w:r>
    </w:p>
    <w:p w14:paraId="17842662">
      <w:pPr>
        <w:pStyle w:val="6"/>
        <w:spacing w:line="240" w:lineRule="auto"/>
        <w:ind w:firstLine="840" w:firstLineChars="300"/>
        <w:rPr>
          <w:rFonts w:hint="eastAsia" w:ascii="宋体" w:hAnsi="宋体" w:cs="宋体"/>
          <w:sz w:val="28"/>
          <w:szCs w:val="28"/>
        </w:rPr>
      </w:pPr>
      <w:r>
        <w:rPr>
          <w:rFonts w:hint="eastAsia" w:ascii="宋体" w:hAnsi="宋体" w:cs="宋体"/>
          <w:sz w:val="28"/>
          <w:szCs w:val="28"/>
        </w:rPr>
        <w:fldChar w:fldCharType="end"/>
      </w:r>
    </w:p>
    <w:p w14:paraId="5586EA40">
      <w:pPr>
        <w:pStyle w:val="7"/>
        <w:rPr>
          <w:rFonts w:hint="eastAsia" w:ascii="宋体" w:hAnsi="宋体" w:cs="宋体"/>
          <w:sz w:val="28"/>
          <w:szCs w:val="28"/>
        </w:rPr>
      </w:pPr>
    </w:p>
    <w:p w14:paraId="1E28CFE9">
      <w:pPr>
        <w:rPr>
          <w:rFonts w:hint="eastAsia" w:ascii="宋体" w:hAnsi="宋体" w:cs="宋体"/>
          <w:sz w:val="28"/>
          <w:szCs w:val="28"/>
        </w:rPr>
      </w:pPr>
    </w:p>
    <w:p w14:paraId="4B99E2DA">
      <w:pPr>
        <w:rPr>
          <w:rFonts w:hint="eastAsia" w:ascii="宋体" w:hAnsi="宋体" w:cs="宋体"/>
          <w:sz w:val="28"/>
          <w:szCs w:val="28"/>
        </w:rPr>
      </w:pPr>
    </w:p>
    <w:p w14:paraId="75DE7717">
      <w:pPr>
        <w:rPr>
          <w:rFonts w:hint="eastAsia" w:ascii="宋体" w:hAnsi="宋体" w:cs="宋体"/>
          <w:sz w:val="28"/>
          <w:szCs w:val="28"/>
        </w:rPr>
      </w:pPr>
    </w:p>
    <w:p w14:paraId="42362935">
      <w:pPr>
        <w:rPr>
          <w:rFonts w:hint="eastAsia" w:ascii="宋体" w:hAnsi="宋体" w:cs="宋体"/>
          <w:sz w:val="28"/>
          <w:szCs w:val="28"/>
        </w:rPr>
      </w:pPr>
    </w:p>
    <w:p w14:paraId="0896FC5A">
      <w:pPr>
        <w:rPr>
          <w:rFonts w:hint="eastAsia" w:ascii="宋体" w:hAnsi="宋体" w:cs="宋体"/>
          <w:sz w:val="28"/>
          <w:szCs w:val="28"/>
        </w:rPr>
      </w:pPr>
    </w:p>
    <w:p w14:paraId="313C59A6">
      <w:pPr>
        <w:rPr>
          <w:rFonts w:hint="eastAsia" w:ascii="宋体" w:hAnsi="宋体" w:cs="宋体"/>
          <w:sz w:val="28"/>
          <w:szCs w:val="28"/>
        </w:rPr>
      </w:pPr>
    </w:p>
    <w:p w14:paraId="31375245">
      <w:pPr>
        <w:rPr>
          <w:rFonts w:hint="eastAsia" w:ascii="宋体" w:hAnsi="宋体" w:cs="宋体"/>
          <w:sz w:val="28"/>
          <w:szCs w:val="28"/>
        </w:rPr>
      </w:pPr>
    </w:p>
    <w:p w14:paraId="16E56DD0">
      <w:pPr>
        <w:rPr>
          <w:rFonts w:hint="eastAsia" w:ascii="宋体" w:hAnsi="宋体" w:cs="宋体"/>
          <w:sz w:val="28"/>
          <w:szCs w:val="28"/>
        </w:rPr>
      </w:pPr>
    </w:p>
    <w:p w14:paraId="55B18263">
      <w:pPr>
        <w:rPr>
          <w:rFonts w:hint="eastAsia" w:ascii="宋体" w:hAnsi="宋体" w:cs="宋体"/>
          <w:sz w:val="28"/>
          <w:szCs w:val="28"/>
        </w:rPr>
      </w:pPr>
    </w:p>
    <w:p w14:paraId="67DC270B">
      <w:pPr>
        <w:rPr>
          <w:rFonts w:hint="eastAsia" w:ascii="宋体" w:hAnsi="宋体" w:cs="宋体"/>
          <w:sz w:val="28"/>
          <w:szCs w:val="28"/>
        </w:rPr>
      </w:pPr>
    </w:p>
    <w:p w14:paraId="17A35D12">
      <w:pPr>
        <w:rPr>
          <w:rFonts w:hint="eastAsia" w:ascii="宋体" w:hAnsi="宋体" w:cs="宋体"/>
          <w:sz w:val="28"/>
          <w:szCs w:val="28"/>
        </w:rPr>
      </w:pPr>
    </w:p>
    <w:p w14:paraId="37DD7FF2">
      <w:pPr>
        <w:rPr>
          <w:rFonts w:hint="eastAsia" w:ascii="宋体" w:hAnsi="宋体" w:cs="宋体"/>
          <w:sz w:val="28"/>
          <w:szCs w:val="28"/>
        </w:rPr>
      </w:pPr>
    </w:p>
    <w:p w14:paraId="450988AE">
      <w:pPr>
        <w:rPr>
          <w:rFonts w:hint="eastAsia" w:ascii="宋体" w:hAnsi="宋体" w:cs="宋体"/>
          <w:sz w:val="28"/>
          <w:szCs w:val="28"/>
        </w:rPr>
      </w:pPr>
    </w:p>
    <w:p w14:paraId="5E043CCA">
      <w:pPr>
        <w:rPr>
          <w:rFonts w:hint="eastAsia" w:ascii="宋体" w:hAnsi="宋体" w:cs="宋体"/>
          <w:sz w:val="28"/>
          <w:szCs w:val="28"/>
        </w:rPr>
      </w:pPr>
    </w:p>
    <w:p w14:paraId="2750F2F2">
      <w:pPr>
        <w:rPr>
          <w:rFonts w:hint="eastAsia" w:ascii="宋体" w:hAnsi="宋体" w:cs="宋体"/>
          <w:sz w:val="28"/>
          <w:szCs w:val="28"/>
        </w:rPr>
      </w:pPr>
    </w:p>
    <w:p w14:paraId="6292E651">
      <w:pPr>
        <w:rPr>
          <w:rFonts w:hint="eastAsia" w:ascii="宋体" w:hAnsi="宋体" w:cs="宋体"/>
          <w:sz w:val="28"/>
          <w:szCs w:val="28"/>
        </w:rPr>
      </w:pPr>
    </w:p>
    <w:p w14:paraId="56A92CD6">
      <w:pPr>
        <w:rPr>
          <w:rFonts w:hint="eastAsia" w:ascii="宋体" w:hAnsi="宋体" w:cs="宋体"/>
          <w:sz w:val="28"/>
          <w:szCs w:val="28"/>
        </w:rPr>
      </w:pPr>
    </w:p>
    <w:p w14:paraId="3C0FCD48">
      <w:pPr>
        <w:rPr>
          <w:rFonts w:hint="eastAsia" w:ascii="宋体" w:hAnsi="宋体" w:cs="宋体"/>
          <w:sz w:val="28"/>
          <w:szCs w:val="28"/>
        </w:rPr>
      </w:pPr>
    </w:p>
    <w:p w14:paraId="455420FD">
      <w:pPr>
        <w:rPr>
          <w:rFonts w:hint="eastAsia" w:ascii="宋体" w:hAnsi="宋体" w:cs="宋体"/>
          <w:sz w:val="28"/>
          <w:szCs w:val="28"/>
          <w:lang w:val="en-US" w:eastAsia="zh-CN"/>
        </w:rPr>
      </w:pPr>
    </w:p>
    <w:p w14:paraId="22C0BD72">
      <w:pPr>
        <w:pStyle w:val="6"/>
        <w:spacing w:line="500" w:lineRule="exact"/>
        <w:ind w:firstLine="482" w:firstLineChars="200"/>
        <w:jc w:val="center"/>
        <w:rPr>
          <w:rFonts w:hint="eastAsia"/>
          <w:b/>
          <w:bCs/>
          <w:sz w:val="24"/>
          <w:szCs w:val="24"/>
        </w:rPr>
      </w:pPr>
      <w:r>
        <w:rPr>
          <w:rFonts w:hint="eastAsia"/>
          <w:b/>
          <w:bCs/>
          <w:sz w:val="24"/>
          <w:szCs w:val="24"/>
        </w:rPr>
        <w:t>钦州石化产业园区志得化学品仓储物流项目（一期）</w:t>
      </w:r>
    </w:p>
    <w:p w14:paraId="30D39DB1">
      <w:pPr>
        <w:pStyle w:val="6"/>
        <w:spacing w:line="500" w:lineRule="exact"/>
        <w:ind w:firstLine="482" w:firstLineChars="200"/>
        <w:jc w:val="center"/>
        <w:rPr>
          <w:b/>
          <w:bCs/>
          <w:sz w:val="24"/>
          <w:szCs w:val="24"/>
        </w:rPr>
      </w:pPr>
      <w:r>
        <w:rPr>
          <w:rFonts w:hint="eastAsia"/>
          <w:b/>
          <w:bCs/>
          <w:sz w:val="24"/>
          <w:szCs w:val="24"/>
        </w:rPr>
        <w:t>环境影响报告</w:t>
      </w:r>
      <w:r>
        <w:rPr>
          <w:rFonts w:hint="eastAsia"/>
          <w:b/>
          <w:bCs/>
          <w:sz w:val="24"/>
          <w:szCs w:val="24"/>
          <w:lang w:val="en-US" w:eastAsia="zh-CN"/>
        </w:rPr>
        <w:t>表</w:t>
      </w:r>
      <w:r>
        <w:rPr>
          <w:rFonts w:hint="eastAsia"/>
          <w:b/>
          <w:bCs/>
          <w:sz w:val="24"/>
          <w:szCs w:val="24"/>
        </w:rPr>
        <w:t>专家</w:t>
      </w:r>
      <w:r>
        <w:rPr>
          <w:b/>
          <w:bCs/>
          <w:sz w:val="24"/>
          <w:szCs w:val="24"/>
        </w:rPr>
        <w:t>意见修改说明</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5390"/>
        <w:gridCol w:w="2993"/>
      </w:tblGrid>
      <w:tr w14:paraId="3DB6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vAlign w:val="center"/>
          </w:tcPr>
          <w:p w14:paraId="542B0CD2">
            <w:pPr>
              <w:jc w:val="center"/>
              <w:rPr>
                <w:b/>
                <w:bCs/>
                <w:color w:val="auto"/>
                <w:sz w:val="21"/>
                <w:szCs w:val="21"/>
              </w:rPr>
            </w:pPr>
            <w:r>
              <w:rPr>
                <w:rFonts w:hint="eastAsia"/>
                <w:b/>
                <w:bCs/>
                <w:color w:val="auto"/>
                <w:sz w:val="21"/>
                <w:szCs w:val="21"/>
              </w:rPr>
              <w:t>序号</w:t>
            </w:r>
          </w:p>
        </w:tc>
        <w:tc>
          <w:tcPr>
            <w:tcW w:w="2975" w:type="pct"/>
            <w:noWrap w:val="0"/>
            <w:vAlign w:val="center"/>
          </w:tcPr>
          <w:p w14:paraId="7D467B03">
            <w:pPr>
              <w:jc w:val="center"/>
              <w:rPr>
                <w:b/>
                <w:bCs/>
                <w:color w:val="auto"/>
                <w:sz w:val="21"/>
                <w:szCs w:val="21"/>
              </w:rPr>
            </w:pPr>
            <w:r>
              <w:rPr>
                <w:rFonts w:hint="eastAsia"/>
                <w:b/>
                <w:bCs/>
                <w:color w:val="auto"/>
                <w:sz w:val="21"/>
                <w:szCs w:val="21"/>
              </w:rPr>
              <w:t>专家</w:t>
            </w:r>
            <w:r>
              <w:rPr>
                <w:b/>
                <w:bCs/>
                <w:color w:val="auto"/>
                <w:sz w:val="21"/>
                <w:szCs w:val="21"/>
              </w:rPr>
              <w:t>意见</w:t>
            </w:r>
          </w:p>
        </w:tc>
        <w:tc>
          <w:tcPr>
            <w:tcW w:w="1652" w:type="pct"/>
            <w:noWrap w:val="0"/>
            <w:vAlign w:val="center"/>
          </w:tcPr>
          <w:p w14:paraId="744F72FF">
            <w:pPr>
              <w:jc w:val="center"/>
              <w:rPr>
                <w:b/>
                <w:bCs/>
                <w:color w:val="auto"/>
                <w:sz w:val="21"/>
                <w:szCs w:val="21"/>
              </w:rPr>
            </w:pPr>
            <w:r>
              <w:rPr>
                <w:b/>
                <w:bCs/>
                <w:color w:val="auto"/>
                <w:sz w:val="21"/>
                <w:szCs w:val="21"/>
              </w:rPr>
              <w:t>修改说明</w:t>
            </w:r>
          </w:p>
        </w:tc>
      </w:tr>
      <w:tr w14:paraId="2B6A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372" w:type="pct"/>
            <w:noWrap w:val="0"/>
            <w:vAlign w:val="center"/>
          </w:tcPr>
          <w:p w14:paraId="7FB1FB00">
            <w:pPr>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975" w:type="pct"/>
            <w:noWrap w:val="0"/>
            <w:vAlign w:val="center"/>
          </w:tcPr>
          <w:p w14:paraId="067B9A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完善项目建设与危险化学品仓储相关法规和技术规范文件符合性分析</w:t>
            </w:r>
            <w:r>
              <w:rPr>
                <w:rFonts w:hint="default" w:ascii="Times New Roman" w:hAnsi="Times New Roman" w:cs="Times New Roman"/>
                <w:color w:val="auto"/>
                <w:sz w:val="21"/>
                <w:szCs w:val="21"/>
                <w:lang w:val="en-US" w:eastAsia="zh-CN"/>
              </w:rPr>
              <w:t>。</w:t>
            </w:r>
          </w:p>
        </w:tc>
        <w:tc>
          <w:tcPr>
            <w:tcW w:w="1652" w:type="pct"/>
            <w:noWrap w:val="0"/>
            <w:vAlign w:val="center"/>
          </w:tcPr>
          <w:p w14:paraId="6EB446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已完善，详见P20~P28。</w:t>
            </w:r>
          </w:p>
        </w:tc>
      </w:tr>
      <w:tr w14:paraId="6B6E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vAlign w:val="center"/>
          </w:tcPr>
          <w:p w14:paraId="48F5C5AC">
            <w:pPr>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975" w:type="pct"/>
            <w:noWrap w:val="0"/>
            <w:vAlign w:val="center"/>
          </w:tcPr>
          <w:p w14:paraId="454D05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核实最近敏感目标与本项目场地的位置，完善敏感目标分布图。</w:t>
            </w:r>
          </w:p>
        </w:tc>
        <w:tc>
          <w:tcPr>
            <w:tcW w:w="1652" w:type="pct"/>
            <w:noWrap w:val="0"/>
            <w:vAlign w:val="center"/>
          </w:tcPr>
          <w:p w14:paraId="302CA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w:t>
            </w:r>
            <w:r>
              <w:rPr>
                <w:rFonts w:hint="default" w:ascii="Times New Roman" w:hAnsi="Times New Roman" w:cs="Times New Roman"/>
                <w:color w:val="auto"/>
                <w:sz w:val="21"/>
                <w:szCs w:val="21"/>
                <w:lang w:val="en-US" w:eastAsia="zh-CN"/>
              </w:rPr>
              <w:t>核实修改</w:t>
            </w:r>
            <w:r>
              <w:rPr>
                <w:rFonts w:hint="default" w:ascii="Times New Roman" w:hAnsi="Times New Roman" w:eastAsia="宋体" w:cs="Times New Roman"/>
                <w:color w:val="auto"/>
                <w:sz w:val="21"/>
                <w:szCs w:val="21"/>
                <w:lang w:val="en-US" w:eastAsia="zh-CN"/>
              </w:rPr>
              <w:t>，见</w:t>
            </w:r>
            <w:r>
              <w:rPr>
                <w:rFonts w:hint="default" w:ascii="Times New Roman" w:hAnsi="Times New Roman" w:cs="Times New Roman"/>
                <w:color w:val="auto"/>
                <w:sz w:val="21"/>
                <w:szCs w:val="21"/>
                <w:lang w:val="en-US" w:eastAsia="zh-CN"/>
              </w:rPr>
              <w:t>P62、风险专项P24、附图3。</w:t>
            </w:r>
          </w:p>
        </w:tc>
      </w:tr>
      <w:tr w14:paraId="12A4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vAlign w:val="center"/>
          </w:tcPr>
          <w:p w14:paraId="1FF128DC">
            <w:pPr>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975" w:type="pct"/>
            <w:noWrap w:val="0"/>
            <w:vAlign w:val="center"/>
          </w:tcPr>
          <w:p w14:paraId="23206A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完善项目涉及的危险化学品理化性能的介绍</w:t>
            </w:r>
            <w:r>
              <w:rPr>
                <w:rFonts w:hint="default" w:ascii="Times New Roman" w:hAnsi="Times New Roman" w:cs="Times New Roman"/>
                <w:color w:val="auto"/>
                <w:sz w:val="21"/>
                <w:szCs w:val="21"/>
                <w:lang w:val="en-US" w:eastAsia="zh-CN"/>
              </w:rPr>
              <w:t>。</w:t>
            </w:r>
          </w:p>
        </w:tc>
        <w:tc>
          <w:tcPr>
            <w:tcW w:w="1652" w:type="pct"/>
            <w:noWrap w:val="0"/>
            <w:vAlign w:val="center"/>
          </w:tcPr>
          <w:p w14:paraId="6752B9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w:t>
            </w:r>
            <w:r>
              <w:rPr>
                <w:rFonts w:hint="default" w:ascii="Times New Roman" w:hAnsi="Times New Roman" w:cs="Times New Roman"/>
                <w:color w:val="auto"/>
                <w:sz w:val="21"/>
                <w:szCs w:val="21"/>
                <w:lang w:val="en-US" w:eastAsia="zh-CN"/>
              </w:rPr>
              <w:t>补充完善，见</w:t>
            </w:r>
            <w:r>
              <w:rPr>
                <w:rFonts w:hint="default" w:ascii="Times New Roman" w:hAnsi="Times New Roman" w:eastAsia="宋体" w:cs="Times New Roman"/>
                <w:color w:val="auto"/>
                <w:sz w:val="21"/>
                <w:szCs w:val="21"/>
                <w:lang w:val="en-US" w:eastAsia="zh-CN"/>
              </w:rPr>
              <w:t>P</w:t>
            </w:r>
            <w:r>
              <w:rPr>
                <w:rFonts w:hint="default" w:ascii="Times New Roman" w:hAnsi="Times New Roman" w:cs="Times New Roman"/>
                <w:color w:val="auto"/>
                <w:sz w:val="21"/>
                <w:szCs w:val="21"/>
                <w:lang w:val="en-US" w:eastAsia="zh-CN"/>
              </w:rPr>
              <w:t>36。</w:t>
            </w:r>
          </w:p>
        </w:tc>
      </w:tr>
      <w:tr w14:paraId="4E72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vAlign w:val="center"/>
          </w:tcPr>
          <w:p w14:paraId="7429EFF0">
            <w:pPr>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975" w:type="pct"/>
            <w:noWrap w:val="0"/>
            <w:vAlign w:val="center"/>
          </w:tcPr>
          <w:p w14:paraId="000CC2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核实大气环境质量状况达标区判定的相关表述。</w:t>
            </w:r>
          </w:p>
        </w:tc>
        <w:tc>
          <w:tcPr>
            <w:tcW w:w="1652" w:type="pct"/>
            <w:noWrap w:val="0"/>
            <w:vAlign w:val="center"/>
          </w:tcPr>
          <w:p w14:paraId="14066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w:t>
            </w:r>
            <w:r>
              <w:rPr>
                <w:rFonts w:hint="default" w:ascii="Times New Roman" w:hAnsi="Times New Roman" w:cs="Times New Roman"/>
                <w:color w:val="auto"/>
                <w:sz w:val="21"/>
                <w:szCs w:val="21"/>
                <w:lang w:val="en-US" w:eastAsia="zh-CN"/>
              </w:rPr>
              <w:t>核实修改</w:t>
            </w:r>
            <w:r>
              <w:rPr>
                <w:rFonts w:hint="default" w:ascii="Times New Roman" w:hAnsi="Times New Roman" w:eastAsia="宋体" w:cs="Times New Roman"/>
                <w:color w:val="auto"/>
                <w:sz w:val="21"/>
                <w:szCs w:val="21"/>
                <w:lang w:val="en-US" w:eastAsia="zh-CN"/>
              </w:rPr>
              <w:t>，见P</w:t>
            </w:r>
            <w:r>
              <w:rPr>
                <w:rFonts w:hint="default" w:ascii="Times New Roman" w:hAnsi="Times New Roman" w:cs="Times New Roman"/>
                <w:color w:val="auto"/>
                <w:sz w:val="21"/>
                <w:szCs w:val="21"/>
                <w:lang w:val="en-US" w:eastAsia="zh-CN"/>
              </w:rPr>
              <w:t>51</w:t>
            </w:r>
            <w:r>
              <w:rPr>
                <w:rFonts w:hint="default" w:ascii="Times New Roman" w:hAnsi="Times New Roman" w:eastAsia="宋体" w:cs="Times New Roman"/>
                <w:color w:val="auto"/>
                <w:sz w:val="21"/>
                <w:szCs w:val="21"/>
                <w:lang w:val="en-US" w:eastAsia="zh-CN"/>
              </w:rPr>
              <w:t>。</w:t>
            </w:r>
          </w:p>
        </w:tc>
      </w:tr>
      <w:tr w14:paraId="7C279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vAlign w:val="center"/>
          </w:tcPr>
          <w:p w14:paraId="06E5F7CE">
            <w:pPr>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975" w:type="pct"/>
            <w:noWrap w:val="0"/>
            <w:vAlign w:val="center"/>
          </w:tcPr>
          <w:p w14:paraId="45F12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核实地下水现状监测点位设置的合理性</w:t>
            </w:r>
            <w:r>
              <w:rPr>
                <w:rFonts w:hint="default" w:ascii="Times New Roman" w:hAnsi="Times New Roman" w:cs="Times New Roman"/>
                <w:color w:val="auto"/>
                <w:sz w:val="21"/>
                <w:szCs w:val="21"/>
                <w:lang w:val="en-US" w:eastAsia="zh-CN"/>
              </w:rPr>
              <w:t>。</w:t>
            </w:r>
          </w:p>
        </w:tc>
        <w:tc>
          <w:tcPr>
            <w:tcW w:w="1652" w:type="pct"/>
            <w:noWrap w:val="0"/>
            <w:vAlign w:val="center"/>
          </w:tcPr>
          <w:p w14:paraId="56E3BA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w:t>
            </w:r>
            <w:r>
              <w:rPr>
                <w:rFonts w:hint="default" w:ascii="Times New Roman" w:hAnsi="Times New Roman" w:cs="Times New Roman"/>
                <w:color w:val="auto"/>
                <w:sz w:val="21"/>
                <w:szCs w:val="21"/>
                <w:lang w:val="en-US" w:eastAsia="zh-CN"/>
              </w:rPr>
              <w:t>修改，见P55~P58，附图12-2、附图13。</w:t>
            </w:r>
          </w:p>
        </w:tc>
      </w:tr>
      <w:tr w14:paraId="7551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vAlign w:val="center"/>
          </w:tcPr>
          <w:p w14:paraId="44E87813">
            <w:pPr>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975" w:type="pct"/>
            <w:noWrap w:val="0"/>
            <w:vAlign w:val="center"/>
          </w:tcPr>
          <w:p w14:paraId="58DA1B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核实完善项目区域雨水和事故废水收集情况，完善收集走向示意图，完善项目废水及事故废水依托园区污水集中处理设施处置的可行性分析</w:t>
            </w:r>
            <w:r>
              <w:rPr>
                <w:rFonts w:hint="default" w:ascii="Times New Roman" w:hAnsi="Times New Roman" w:cs="Times New Roman"/>
                <w:color w:val="auto"/>
                <w:sz w:val="21"/>
                <w:szCs w:val="21"/>
                <w:lang w:val="en-US" w:eastAsia="zh-CN"/>
              </w:rPr>
              <w:t>。</w:t>
            </w:r>
          </w:p>
        </w:tc>
        <w:tc>
          <w:tcPr>
            <w:tcW w:w="1652" w:type="pct"/>
            <w:noWrap w:val="0"/>
            <w:vAlign w:val="center"/>
          </w:tcPr>
          <w:p w14:paraId="5398C1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w:t>
            </w:r>
            <w:r>
              <w:rPr>
                <w:rFonts w:hint="default" w:ascii="Times New Roman" w:hAnsi="Times New Roman" w:cs="Times New Roman"/>
                <w:color w:val="auto"/>
                <w:sz w:val="21"/>
                <w:szCs w:val="21"/>
                <w:lang w:val="en-US" w:eastAsia="zh-CN"/>
              </w:rPr>
              <w:t>核实修改完善</w:t>
            </w:r>
            <w:r>
              <w:rPr>
                <w:rFonts w:hint="default" w:ascii="Times New Roman" w:hAnsi="Times New Roman" w:eastAsia="宋体" w:cs="Times New Roman"/>
                <w:color w:val="auto"/>
                <w:sz w:val="21"/>
                <w:szCs w:val="21"/>
                <w:lang w:val="en-US" w:eastAsia="zh-CN"/>
              </w:rPr>
              <w:t>，见P</w:t>
            </w:r>
            <w:r>
              <w:rPr>
                <w:rFonts w:hint="default" w:ascii="Times New Roman" w:hAnsi="Times New Roman" w:cs="Times New Roman"/>
                <w:color w:val="auto"/>
                <w:sz w:val="21"/>
                <w:szCs w:val="21"/>
                <w:lang w:val="en-US" w:eastAsia="zh-CN"/>
              </w:rPr>
              <w:t>70、风险专项P42、附图2。</w:t>
            </w:r>
          </w:p>
        </w:tc>
      </w:tr>
      <w:tr w14:paraId="41D1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vAlign w:val="center"/>
          </w:tcPr>
          <w:p w14:paraId="58F70465">
            <w:pPr>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2975" w:type="pct"/>
            <w:noWrap w:val="0"/>
            <w:vAlign w:val="center"/>
          </w:tcPr>
          <w:p w14:paraId="15E247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完善贮存物质中易挥发的化学品的管理要求，如盐酸，加强储存容器及储存过程的管理杜绝盐酸储存容器破碎泄漏等造成挥发影响大气环境。</w:t>
            </w:r>
          </w:p>
        </w:tc>
        <w:tc>
          <w:tcPr>
            <w:tcW w:w="1652" w:type="pct"/>
            <w:noWrap w:val="0"/>
            <w:vAlign w:val="center"/>
          </w:tcPr>
          <w:p w14:paraId="4246E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已补充</w:t>
            </w:r>
            <w:r>
              <w:rPr>
                <w:rFonts w:hint="default" w:ascii="Times New Roman" w:hAnsi="Times New Roman" w:cs="Times New Roman"/>
                <w:color w:val="auto"/>
                <w:sz w:val="21"/>
                <w:szCs w:val="21"/>
                <w:lang w:val="en-US" w:eastAsia="zh-CN"/>
              </w:rPr>
              <w:t>完善</w:t>
            </w:r>
            <w:r>
              <w:rPr>
                <w:rFonts w:hint="default" w:ascii="Times New Roman" w:hAnsi="Times New Roman" w:eastAsia="宋体" w:cs="Times New Roman"/>
                <w:color w:val="auto"/>
                <w:sz w:val="21"/>
                <w:szCs w:val="21"/>
                <w:lang w:val="en-US" w:eastAsia="zh-CN"/>
              </w:rPr>
              <w:t>，见</w:t>
            </w:r>
            <w:r>
              <w:rPr>
                <w:rFonts w:hint="default" w:ascii="Times New Roman" w:hAnsi="Times New Roman" w:cs="Times New Roman"/>
                <w:color w:val="auto"/>
                <w:sz w:val="21"/>
                <w:szCs w:val="21"/>
                <w:lang w:val="en-US" w:eastAsia="zh-CN"/>
              </w:rPr>
              <w:t>风险专项</w:t>
            </w:r>
            <w:r>
              <w:rPr>
                <w:rFonts w:hint="default" w:ascii="Times New Roman" w:hAnsi="Times New Roman" w:eastAsia="宋体" w:cs="Times New Roman"/>
                <w:color w:val="auto"/>
                <w:sz w:val="21"/>
                <w:szCs w:val="21"/>
                <w:lang w:val="en-US" w:eastAsia="zh-CN"/>
              </w:rPr>
              <w:t>P</w:t>
            </w:r>
            <w:r>
              <w:rPr>
                <w:rFonts w:hint="default" w:ascii="Times New Roman" w:hAnsi="Times New Roman" w:cs="Times New Roman"/>
                <w:color w:val="auto"/>
                <w:sz w:val="21"/>
                <w:szCs w:val="21"/>
                <w:lang w:val="en-US" w:eastAsia="zh-CN"/>
              </w:rPr>
              <w:t>54。</w:t>
            </w:r>
          </w:p>
        </w:tc>
      </w:tr>
      <w:tr w14:paraId="1631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vAlign w:val="center"/>
          </w:tcPr>
          <w:p w14:paraId="778E9FD5">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2975" w:type="pct"/>
            <w:noWrap w:val="0"/>
            <w:vAlign w:val="center"/>
          </w:tcPr>
          <w:p w14:paraId="75A571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核实危险物质的识别，根据《建设项目环境风险评价技术导则》（HJ 169-2018）附录B.2及报告表2-5，项目还涉及多个急性毒性类别3物质，以及危害水生环境－急性危害类别1物质，核实存储量超过临界量，不要遗漏相关的分析。</w:t>
            </w:r>
          </w:p>
        </w:tc>
        <w:tc>
          <w:tcPr>
            <w:tcW w:w="1652" w:type="pct"/>
            <w:noWrap w:val="0"/>
            <w:vAlign w:val="center"/>
          </w:tcPr>
          <w:p w14:paraId="66DA5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已核实补充完善，见风险专项P3~P33。</w:t>
            </w:r>
          </w:p>
        </w:tc>
      </w:tr>
      <w:tr w14:paraId="6B04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vAlign w:val="center"/>
          </w:tcPr>
          <w:p w14:paraId="1604DDB4">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2975" w:type="pct"/>
            <w:noWrap w:val="0"/>
            <w:vAlign w:val="center"/>
          </w:tcPr>
          <w:p w14:paraId="6F516D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核实大气环境风险预测结果及应对措施，完善应急</w:t>
            </w:r>
            <w:r>
              <w:rPr>
                <w:rFonts w:hint="eastAsia" w:cs="Times New Roman"/>
                <w:color w:val="auto"/>
                <w:sz w:val="21"/>
                <w:szCs w:val="21"/>
                <w:lang w:val="en-US" w:eastAsia="zh-CN"/>
              </w:rPr>
              <w:t>物资</w:t>
            </w:r>
            <w:r>
              <w:rPr>
                <w:rFonts w:hint="default" w:ascii="Times New Roman" w:hAnsi="Times New Roman" w:eastAsia="宋体" w:cs="Times New Roman"/>
                <w:color w:val="auto"/>
                <w:sz w:val="21"/>
                <w:szCs w:val="21"/>
                <w:lang w:val="en-US" w:eastAsia="zh-CN"/>
              </w:rPr>
              <w:t>的配置要求</w:t>
            </w:r>
            <w:r>
              <w:rPr>
                <w:rFonts w:hint="default" w:ascii="Times New Roman" w:hAnsi="Times New Roman" w:cs="Times New Roman"/>
                <w:color w:val="auto"/>
                <w:sz w:val="21"/>
                <w:szCs w:val="21"/>
                <w:lang w:val="en-US" w:eastAsia="zh-CN"/>
              </w:rPr>
              <w:t>。</w:t>
            </w:r>
          </w:p>
        </w:tc>
        <w:tc>
          <w:tcPr>
            <w:tcW w:w="1652" w:type="pct"/>
            <w:noWrap w:val="0"/>
            <w:vAlign w:val="center"/>
          </w:tcPr>
          <w:p w14:paraId="52163D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已补充，见风险专项P45、P53、P54、P63。</w:t>
            </w:r>
          </w:p>
        </w:tc>
      </w:tr>
      <w:tr w14:paraId="5856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vAlign w:val="center"/>
          </w:tcPr>
          <w:p w14:paraId="67609ACF">
            <w:pPr>
              <w:autoSpaceDE w:val="0"/>
              <w:autoSpaceDN w:val="0"/>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2975" w:type="pct"/>
            <w:noWrap w:val="0"/>
            <w:vAlign w:val="center"/>
          </w:tcPr>
          <w:p w14:paraId="6675C4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完善相关附图附件</w:t>
            </w:r>
            <w:r>
              <w:rPr>
                <w:rFonts w:hint="default" w:ascii="Times New Roman" w:hAnsi="Times New Roman" w:cs="Times New Roman"/>
                <w:color w:val="auto"/>
                <w:sz w:val="21"/>
                <w:szCs w:val="21"/>
                <w:lang w:val="en-US" w:eastAsia="zh-CN"/>
              </w:rPr>
              <w:t>。</w:t>
            </w:r>
          </w:p>
        </w:tc>
        <w:tc>
          <w:tcPr>
            <w:tcW w:w="1652" w:type="pct"/>
            <w:noWrap w:val="0"/>
            <w:vAlign w:val="center"/>
          </w:tcPr>
          <w:p w14:paraId="405B7A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已完善，见附图2、附图3、附图12-2、附图13。</w:t>
            </w:r>
          </w:p>
        </w:tc>
      </w:tr>
    </w:tbl>
    <w:p w14:paraId="45B16256">
      <w:pPr>
        <w:pStyle w:val="6"/>
        <w:spacing w:line="240" w:lineRule="auto"/>
        <w:ind w:firstLine="594" w:firstLineChars="300"/>
        <w:rPr>
          <w:rFonts w:hint="eastAsia" w:cs="Times New Roman"/>
          <w:snapToGrid w:val="0"/>
          <w:color w:val="auto"/>
          <w:spacing w:val="-6"/>
          <w:kern w:val="21"/>
          <w:sz w:val="21"/>
          <w:szCs w:val="21"/>
          <w:lang w:val="en-US" w:eastAsia="zh-CN"/>
        </w:rPr>
      </w:pPr>
    </w:p>
    <w:p w14:paraId="05CB98EF">
      <w:pPr>
        <w:pStyle w:val="7"/>
        <w:jc w:val="both"/>
        <w:rPr>
          <w:rFonts w:hint="eastAsia" w:cs="Times New Roman"/>
          <w:snapToGrid w:val="0"/>
          <w:color w:val="auto"/>
          <w:spacing w:val="-6"/>
          <w:kern w:val="21"/>
          <w:sz w:val="21"/>
          <w:szCs w:val="21"/>
          <w:lang w:val="en-US" w:eastAsia="zh-CN"/>
        </w:rPr>
      </w:pPr>
    </w:p>
    <w:p w14:paraId="1C848407">
      <w:pPr>
        <w:rPr>
          <w:rFonts w:hint="eastAsia" w:cs="Times New Roman"/>
          <w:snapToGrid w:val="0"/>
          <w:color w:val="auto"/>
          <w:spacing w:val="-6"/>
          <w:kern w:val="21"/>
          <w:sz w:val="21"/>
          <w:szCs w:val="21"/>
          <w:lang w:val="en-US" w:eastAsia="zh-CN"/>
        </w:rPr>
      </w:pPr>
    </w:p>
    <w:p w14:paraId="15F8F199">
      <w:pPr>
        <w:rPr>
          <w:rFonts w:hint="eastAsia" w:cs="Times New Roman"/>
          <w:snapToGrid w:val="0"/>
          <w:color w:val="auto"/>
          <w:spacing w:val="-6"/>
          <w:kern w:val="21"/>
          <w:sz w:val="21"/>
          <w:szCs w:val="21"/>
          <w:lang w:val="en-US" w:eastAsia="zh-CN"/>
        </w:rPr>
      </w:pPr>
    </w:p>
    <w:p w14:paraId="382CC8B0">
      <w:pPr>
        <w:pStyle w:val="6"/>
        <w:spacing w:line="240" w:lineRule="auto"/>
        <w:ind w:left="0" w:leftChars="0" w:firstLine="0" w:firstLineChars="0"/>
        <w:rPr>
          <w:rFonts w:hint="default" w:cs="Times New Roman"/>
          <w:snapToGrid w:val="0"/>
          <w:color w:val="auto"/>
          <w:spacing w:val="-6"/>
          <w:kern w:val="21"/>
          <w:sz w:val="21"/>
          <w:szCs w:val="21"/>
          <w:lang w:val="en-US" w:eastAsia="zh-CN"/>
        </w:rPr>
      </w:pPr>
    </w:p>
    <w:p w14:paraId="35BC3ACB">
      <w:pPr>
        <w:spacing w:line="240" w:lineRule="auto"/>
        <w:rPr>
          <w:rFonts w:hint="default" w:ascii="Times New Roman" w:hAnsi="Times New Roman" w:eastAsia="宋体" w:cs="Times New Roman"/>
          <w:snapToGrid w:val="0"/>
          <w:color w:val="auto"/>
          <w:spacing w:val="-6"/>
          <w:kern w:val="21"/>
          <w:sz w:val="24"/>
          <w:szCs w:val="24"/>
          <w:u w:val="none"/>
          <w:lang w:val="en-US" w:eastAsia="zh-CN"/>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4093057">
      <w:pPr>
        <w:pStyle w:val="17"/>
        <w:jc w:val="center"/>
        <w:outlineLvl w:val="0"/>
        <w:rPr>
          <w:rFonts w:hint="eastAsia" w:ascii="黑体" w:hAnsi="黑体" w:eastAsia="黑体"/>
          <w:snapToGrid w:val="0"/>
          <w:sz w:val="30"/>
          <w:szCs w:val="30"/>
        </w:rPr>
      </w:pPr>
      <w:bookmarkStart w:id="4" w:name="_Toc3962"/>
      <w:bookmarkStart w:id="5" w:name="_Toc16338"/>
      <w:r>
        <w:rPr>
          <w:rFonts w:hint="eastAsia" w:ascii="黑体" w:hAnsi="黑体" w:eastAsia="黑体"/>
          <w:snapToGrid w:val="0"/>
          <w:sz w:val="30"/>
          <w:szCs w:val="30"/>
        </w:rPr>
        <w:t>一、建设项目基本情况</w:t>
      </w:r>
      <w:bookmarkEnd w:id="4"/>
      <w:bookmarkEnd w:id="5"/>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57"/>
        <w:gridCol w:w="2100"/>
        <w:gridCol w:w="2178"/>
        <w:gridCol w:w="2735"/>
      </w:tblGrid>
      <w:tr w14:paraId="353AA7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7" w:type="dxa"/>
            <w:noWrap w:val="0"/>
            <w:tcMar>
              <w:top w:w="16" w:type="dxa"/>
              <w:left w:w="16" w:type="dxa"/>
              <w:right w:w="16" w:type="dxa"/>
            </w:tcMar>
            <w:vAlign w:val="center"/>
          </w:tcPr>
          <w:p w14:paraId="57148460">
            <w:pPr>
              <w:adjustRightInd w:val="0"/>
              <w:snapToGrid w:val="0"/>
              <w:jc w:val="center"/>
              <w:rPr>
                <w:sz w:val="24"/>
              </w:rPr>
            </w:pPr>
            <w:r>
              <w:rPr>
                <w:sz w:val="24"/>
              </w:rPr>
              <w:t>建设项目名称</w:t>
            </w:r>
          </w:p>
        </w:tc>
        <w:tc>
          <w:tcPr>
            <w:tcW w:w="7013" w:type="dxa"/>
            <w:gridSpan w:val="3"/>
            <w:noWrap w:val="0"/>
            <w:vAlign w:val="center"/>
          </w:tcPr>
          <w:p w14:paraId="6217BD00">
            <w:pPr>
              <w:adjustRightInd w:val="0"/>
              <w:snapToGrid w:val="0"/>
              <w:jc w:val="center"/>
              <w:rPr>
                <w:rFonts w:hint="eastAsia" w:eastAsia="宋体"/>
                <w:sz w:val="24"/>
                <w:lang w:eastAsia="zh-CN"/>
              </w:rPr>
            </w:pPr>
            <w:r>
              <w:rPr>
                <w:rFonts w:hint="eastAsia"/>
                <w:sz w:val="24"/>
                <w:lang w:eastAsia="zh-CN"/>
              </w:rPr>
              <w:t>钦州石化产业园区志得化学品仓储物流项目（一期）</w:t>
            </w:r>
          </w:p>
        </w:tc>
      </w:tr>
      <w:tr w14:paraId="641EC3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7" w:type="dxa"/>
            <w:noWrap w:val="0"/>
            <w:tcMar>
              <w:top w:w="16" w:type="dxa"/>
              <w:left w:w="16" w:type="dxa"/>
              <w:right w:w="16" w:type="dxa"/>
            </w:tcMar>
            <w:vAlign w:val="center"/>
          </w:tcPr>
          <w:p w14:paraId="19F2820F">
            <w:pPr>
              <w:adjustRightInd w:val="0"/>
              <w:snapToGrid w:val="0"/>
              <w:jc w:val="center"/>
              <w:rPr>
                <w:sz w:val="24"/>
              </w:rPr>
            </w:pPr>
            <w:r>
              <w:rPr>
                <w:sz w:val="24"/>
              </w:rPr>
              <w:t>项目代码</w:t>
            </w:r>
          </w:p>
        </w:tc>
        <w:tc>
          <w:tcPr>
            <w:tcW w:w="7013" w:type="dxa"/>
            <w:gridSpan w:val="3"/>
            <w:noWrap w:val="0"/>
            <w:vAlign w:val="center"/>
          </w:tcPr>
          <w:p w14:paraId="44EDA67C">
            <w:pPr>
              <w:adjustRightInd w:val="0"/>
              <w:snapToGrid w:val="0"/>
              <w:jc w:val="center"/>
              <w:rPr>
                <w:rFonts w:hint="default" w:eastAsia="楷体_GB2312"/>
                <w:sz w:val="24"/>
                <w:lang w:val="en-US" w:eastAsia="zh-CN"/>
              </w:rPr>
            </w:pPr>
          </w:p>
        </w:tc>
      </w:tr>
      <w:tr w14:paraId="00E40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7" w:type="dxa"/>
            <w:noWrap w:val="0"/>
            <w:tcMar>
              <w:top w:w="16" w:type="dxa"/>
              <w:left w:w="16" w:type="dxa"/>
              <w:right w:w="16" w:type="dxa"/>
            </w:tcMar>
            <w:vAlign w:val="center"/>
          </w:tcPr>
          <w:p w14:paraId="124250E7">
            <w:pPr>
              <w:adjustRightInd w:val="0"/>
              <w:snapToGrid w:val="0"/>
              <w:jc w:val="center"/>
              <w:rPr>
                <w:sz w:val="24"/>
              </w:rPr>
            </w:pPr>
            <w:r>
              <w:rPr>
                <w:sz w:val="24"/>
              </w:rPr>
              <w:t>建设单位联系人</w:t>
            </w:r>
          </w:p>
        </w:tc>
        <w:tc>
          <w:tcPr>
            <w:tcW w:w="2100" w:type="dxa"/>
            <w:noWrap w:val="0"/>
            <w:vAlign w:val="center"/>
          </w:tcPr>
          <w:p w14:paraId="20B02AB6">
            <w:pPr>
              <w:adjustRightInd w:val="0"/>
              <w:snapToGrid w:val="0"/>
              <w:jc w:val="center"/>
              <w:rPr>
                <w:rFonts w:hint="default" w:eastAsia="宋体"/>
                <w:sz w:val="24"/>
                <w:lang w:val="en-US" w:eastAsia="zh-CN"/>
              </w:rPr>
            </w:pPr>
          </w:p>
        </w:tc>
        <w:tc>
          <w:tcPr>
            <w:tcW w:w="2178" w:type="dxa"/>
            <w:noWrap w:val="0"/>
            <w:vAlign w:val="center"/>
          </w:tcPr>
          <w:p w14:paraId="39C4902E">
            <w:pPr>
              <w:adjustRightInd w:val="0"/>
              <w:snapToGrid w:val="0"/>
              <w:jc w:val="center"/>
              <w:rPr>
                <w:sz w:val="24"/>
              </w:rPr>
            </w:pPr>
            <w:r>
              <w:rPr>
                <w:sz w:val="24"/>
              </w:rPr>
              <w:t>联系方式</w:t>
            </w:r>
          </w:p>
        </w:tc>
        <w:tc>
          <w:tcPr>
            <w:tcW w:w="2735" w:type="dxa"/>
            <w:noWrap w:val="0"/>
            <w:vAlign w:val="center"/>
          </w:tcPr>
          <w:p w14:paraId="58C8F7DE">
            <w:pPr>
              <w:adjustRightInd w:val="0"/>
              <w:snapToGrid w:val="0"/>
              <w:jc w:val="center"/>
              <w:rPr>
                <w:rFonts w:hint="default" w:eastAsia="宋体"/>
                <w:sz w:val="24"/>
                <w:lang w:val="en-US" w:eastAsia="zh-CN"/>
              </w:rPr>
            </w:pPr>
          </w:p>
        </w:tc>
      </w:tr>
      <w:tr w14:paraId="4A523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7" w:type="dxa"/>
            <w:noWrap w:val="0"/>
            <w:tcMar>
              <w:top w:w="16" w:type="dxa"/>
              <w:left w:w="16" w:type="dxa"/>
              <w:right w:w="16" w:type="dxa"/>
            </w:tcMar>
            <w:vAlign w:val="center"/>
          </w:tcPr>
          <w:p w14:paraId="695F9A44">
            <w:pPr>
              <w:adjustRightInd w:val="0"/>
              <w:snapToGrid w:val="0"/>
              <w:jc w:val="center"/>
              <w:rPr>
                <w:sz w:val="24"/>
              </w:rPr>
            </w:pPr>
            <w:r>
              <w:rPr>
                <w:sz w:val="24"/>
              </w:rPr>
              <w:t>建设地点</w:t>
            </w:r>
          </w:p>
        </w:tc>
        <w:tc>
          <w:tcPr>
            <w:tcW w:w="7013" w:type="dxa"/>
            <w:gridSpan w:val="3"/>
            <w:noWrap w:val="0"/>
            <w:vAlign w:val="center"/>
          </w:tcPr>
          <w:p w14:paraId="2526499C">
            <w:pPr>
              <w:adjustRightInd w:val="0"/>
              <w:snapToGrid w:val="0"/>
              <w:jc w:val="center"/>
              <w:rPr>
                <w:rFonts w:hint="eastAsia" w:eastAsia="宋体"/>
                <w:sz w:val="24"/>
                <w:lang w:eastAsia="zh-CN"/>
              </w:rPr>
            </w:pPr>
            <w:r>
              <w:rPr>
                <w:rFonts w:hint="eastAsia"/>
                <w:sz w:val="24"/>
                <w:lang w:eastAsia="zh-CN"/>
              </w:rPr>
              <w:t>钦州市中国（广西）自由贸易试验区钦州港片区金鼓江西岸</w:t>
            </w:r>
          </w:p>
        </w:tc>
      </w:tr>
      <w:tr w14:paraId="710960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7" w:type="dxa"/>
            <w:noWrap w:val="0"/>
            <w:tcMar>
              <w:top w:w="16" w:type="dxa"/>
              <w:left w:w="16" w:type="dxa"/>
              <w:right w:w="16" w:type="dxa"/>
            </w:tcMar>
            <w:vAlign w:val="center"/>
          </w:tcPr>
          <w:p w14:paraId="70BBD6CB">
            <w:pPr>
              <w:adjustRightInd w:val="0"/>
              <w:snapToGrid w:val="0"/>
              <w:jc w:val="center"/>
              <w:rPr>
                <w:sz w:val="24"/>
              </w:rPr>
            </w:pPr>
            <w:r>
              <w:rPr>
                <w:sz w:val="24"/>
              </w:rPr>
              <w:t>地理坐标</w:t>
            </w:r>
          </w:p>
        </w:tc>
        <w:tc>
          <w:tcPr>
            <w:tcW w:w="7013" w:type="dxa"/>
            <w:gridSpan w:val="3"/>
            <w:noWrap w:val="0"/>
            <w:vAlign w:val="center"/>
          </w:tcPr>
          <w:p w14:paraId="41748DC7">
            <w:pPr>
              <w:jc w:val="center"/>
              <w:rPr>
                <w:sz w:val="24"/>
              </w:rPr>
            </w:pPr>
            <w:r>
              <w:rPr>
                <w:sz w:val="24"/>
              </w:rPr>
              <w:t>（</w:t>
            </w:r>
            <w:r>
              <w:rPr>
                <w:rFonts w:hint="eastAsia"/>
                <w:sz w:val="24"/>
                <w:lang w:val="en-US" w:eastAsia="zh-CN"/>
              </w:rPr>
              <w:t>108</w:t>
            </w:r>
            <w:r>
              <w:rPr>
                <w:sz w:val="24"/>
              </w:rPr>
              <w:t>度</w:t>
            </w:r>
            <w:r>
              <w:rPr>
                <w:rFonts w:hint="eastAsia"/>
                <w:sz w:val="24"/>
                <w:lang w:val="en-US" w:eastAsia="zh-CN"/>
              </w:rPr>
              <w:t>37</w:t>
            </w:r>
            <w:r>
              <w:rPr>
                <w:sz w:val="24"/>
              </w:rPr>
              <w:t>分</w:t>
            </w:r>
            <w:r>
              <w:rPr>
                <w:rFonts w:hint="eastAsia"/>
                <w:sz w:val="24"/>
                <w:lang w:val="en-US" w:eastAsia="zh-CN"/>
              </w:rPr>
              <w:t>58.843</w:t>
            </w:r>
            <w:r>
              <w:rPr>
                <w:sz w:val="24"/>
              </w:rPr>
              <w:t>秒，</w:t>
            </w:r>
            <w:r>
              <w:rPr>
                <w:rFonts w:hint="eastAsia"/>
                <w:sz w:val="24"/>
                <w:lang w:val="en-US" w:eastAsia="zh-CN"/>
              </w:rPr>
              <w:t>21</w:t>
            </w:r>
            <w:r>
              <w:rPr>
                <w:sz w:val="24"/>
              </w:rPr>
              <w:t>度</w:t>
            </w:r>
            <w:r>
              <w:rPr>
                <w:rFonts w:hint="eastAsia"/>
                <w:sz w:val="24"/>
                <w:lang w:val="en-US" w:eastAsia="zh-CN"/>
              </w:rPr>
              <w:t>44</w:t>
            </w:r>
            <w:r>
              <w:rPr>
                <w:sz w:val="24"/>
              </w:rPr>
              <w:t>分</w:t>
            </w:r>
            <w:r>
              <w:rPr>
                <w:rFonts w:hint="eastAsia"/>
                <w:sz w:val="24"/>
                <w:lang w:val="en-US" w:eastAsia="zh-CN"/>
              </w:rPr>
              <w:t>34.988</w:t>
            </w:r>
            <w:r>
              <w:rPr>
                <w:sz w:val="24"/>
              </w:rPr>
              <w:t>秒）</w:t>
            </w:r>
          </w:p>
        </w:tc>
      </w:tr>
      <w:tr w14:paraId="445AF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57" w:type="dxa"/>
            <w:noWrap w:val="0"/>
            <w:tcMar>
              <w:top w:w="16" w:type="dxa"/>
              <w:left w:w="16" w:type="dxa"/>
              <w:right w:w="16" w:type="dxa"/>
            </w:tcMar>
            <w:vAlign w:val="center"/>
          </w:tcPr>
          <w:p w14:paraId="1B4A913E">
            <w:pPr>
              <w:adjustRightInd w:val="0"/>
              <w:snapToGrid w:val="0"/>
              <w:jc w:val="center"/>
              <w:rPr>
                <w:sz w:val="24"/>
              </w:rPr>
            </w:pPr>
            <w:r>
              <w:rPr>
                <w:sz w:val="24"/>
              </w:rPr>
              <w:t>国民经济</w:t>
            </w:r>
          </w:p>
          <w:p w14:paraId="145F6495">
            <w:pPr>
              <w:adjustRightInd w:val="0"/>
              <w:snapToGrid w:val="0"/>
              <w:jc w:val="center"/>
              <w:rPr>
                <w:sz w:val="24"/>
              </w:rPr>
            </w:pPr>
            <w:r>
              <w:rPr>
                <w:sz w:val="24"/>
              </w:rPr>
              <w:t>行业类别</w:t>
            </w:r>
          </w:p>
        </w:tc>
        <w:tc>
          <w:tcPr>
            <w:tcW w:w="2100" w:type="dxa"/>
            <w:noWrap w:val="0"/>
            <w:vAlign w:val="center"/>
          </w:tcPr>
          <w:p w14:paraId="3B3F4D36">
            <w:pPr>
              <w:adjustRightInd w:val="0"/>
              <w:snapToGrid w:val="0"/>
              <w:jc w:val="center"/>
              <w:rPr>
                <w:rFonts w:hint="eastAsia"/>
                <w:color w:val="auto"/>
                <w:sz w:val="24"/>
              </w:rPr>
            </w:pPr>
            <w:r>
              <w:rPr>
                <w:rFonts w:hint="eastAsia"/>
                <w:color w:val="auto"/>
                <w:sz w:val="24"/>
                <w:lang w:val="en-US" w:eastAsia="zh-CN"/>
              </w:rPr>
              <w:t>N5942危险化学品仓储</w:t>
            </w:r>
          </w:p>
        </w:tc>
        <w:tc>
          <w:tcPr>
            <w:tcW w:w="2178" w:type="dxa"/>
            <w:noWrap w:val="0"/>
            <w:vAlign w:val="center"/>
          </w:tcPr>
          <w:p w14:paraId="11DD3E06">
            <w:pPr>
              <w:adjustRightInd w:val="0"/>
              <w:snapToGrid w:val="0"/>
              <w:jc w:val="center"/>
              <w:rPr>
                <w:color w:val="auto"/>
                <w:sz w:val="24"/>
              </w:rPr>
            </w:pPr>
            <w:bookmarkStart w:id="6" w:name="_Hlk49843745"/>
            <w:r>
              <w:rPr>
                <w:color w:val="auto"/>
                <w:sz w:val="24"/>
              </w:rPr>
              <w:t>建设项目</w:t>
            </w:r>
          </w:p>
          <w:p w14:paraId="00CF9AC4">
            <w:pPr>
              <w:adjustRightInd w:val="0"/>
              <w:snapToGrid w:val="0"/>
              <w:jc w:val="center"/>
              <w:rPr>
                <w:color w:val="auto"/>
                <w:sz w:val="24"/>
              </w:rPr>
            </w:pPr>
            <w:r>
              <w:rPr>
                <w:color w:val="auto"/>
                <w:sz w:val="24"/>
              </w:rPr>
              <w:t>行业类别</w:t>
            </w:r>
            <w:bookmarkEnd w:id="6"/>
          </w:p>
        </w:tc>
        <w:tc>
          <w:tcPr>
            <w:tcW w:w="2735" w:type="dxa"/>
            <w:noWrap w:val="0"/>
            <w:vAlign w:val="center"/>
          </w:tcPr>
          <w:p w14:paraId="18994A84">
            <w:pPr>
              <w:adjustRightInd w:val="0"/>
              <w:snapToGrid w:val="0"/>
              <w:rPr>
                <w:rFonts w:hint="eastAsia" w:eastAsia="宋体"/>
                <w:color w:val="auto"/>
                <w:sz w:val="24"/>
                <w:lang w:val="en-US" w:eastAsia="zh-CN"/>
              </w:rPr>
            </w:pPr>
            <w:r>
              <w:rPr>
                <w:rFonts w:hint="eastAsia" w:eastAsia="宋体"/>
                <w:color w:val="auto"/>
                <w:sz w:val="24"/>
                <w:lang w:eastAsia="zh-CN"/>
              </w:rPr>
              <w:t>“五十三、装卸搬运和仓储业”中的“危险品仓储 594（不含加油站的油库；不含加气站的气库）”</w:t>
            </w:r>
            <w:r>
              <w:rPr>
                <w:rFonts w:hint="eastAsia" w:eastAsia="宋体"/>
                <w:color w:val="auto"/>
                <w:sz w:val="24"/>
                <w:lang w:val="en-US" w:eastAsia="zh-CN"/>
              </w:rPr>
              <w:t>中的“其他（含有毒、有害、危险品的仓储</w:t>
            </w:r>
            <w:r>
              <w:rPr>
                <w:rFonts w:hint="eastAsia" w:eastAsia="宋体"/>
                <w:color w:val="auto"/>
                <w:sz w:val="24"/>
                <w:highlight w:val="none"/>
                <w:lang w:val="en-US" w:eastAsia="zh-CN"/>
              </w:rPr>
              <w:t>；</w:t>
            </w:r>
            <w:r>
              <w:rPr>
                <w:rFonts w:hint="eastAsia" w:eastAsia="宋体"/>
                <w:color w:val="auto"/>
                <w:sz w:val="24"/>
                <w:lang w:val="en-US" w:eastAsia="zh-CN"/>
              </w:rPr>
              <w:t>含液化天然气库）”</w:t>
            </w:r>
          </w:p>
        </w:tc>
      </w:tr>
      <w:tr w14:paraId="32AE38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57" w:type="dxa"/>
            <w:noWrap w:val="0"/>
            <w:tcMar>
              <w:top w:w="16" w:type="dxa"/>
              <w:left w:w="16" w:type="dxa"/>
              <w:right w:w="16" w:type="dxa"/>
            </w:tcMar>
            <w:vAlign w:val="center"/>
          </w:tcPr>
          <w:p w14:paraId="03DA4E67">
            <w:pPr>
              <w:adjustRightInd w:val="0"/>
              <w:snapToGrid w:val="0"/>
              <w:jc w:val="center"/>
              <w:rPr>
                <w:sz w:val="24"/>
              </w:rPr>
            </w:pPr>
            <w:r>
              <w:rPr>
                <w:sz w:val="24"/>
              </w:rPr>
              <w:t>建设性质</w:t>
            </w:r>
          </w:p>
        </w:tc>
        <w:tc>
          <w:tcPr>
            <w:tcW w:w="2100" w:type="dxa"/>
            <w:noWrap w:val="0"/>
            <w:vAlign w:val="center"/>
          </w:tcPr>
          <w:p w14:paraId="682B911B">
            <w:pPr>
              <w:jc w:val="left"/>
              <w:rPr>
                <w:sz w:val="24"/>
              </w:rPr>
            </w:pPr>
            <w:r>
              <w:rPr>
                <w:sz w:val="24"/>
              </w:rPr>
              <w:t>□新建（迁建）</w:t>
            </w:r>
          </w:p>
          <w:p w14:paraId="0CA4C42E">
            <w:pPr>
              <w:jc w:val="left"/>
              <w:rPr>
                <w:sz w:val="24"/>
              </w:rPr>
            </w:pPr>
            <w:r>
              <w:rPr>
                <w:rFonts w:hint="eastAsia"/>
                <w:sz w:val="24"/>
                <w:lang w:eastAsia="zh-CN"/>
              </w:rPr>
              <w:t>☑</w:t>
            </w:r>
            <w:r>
              <w:rPr>
                <w:sz w:val="24"/>
              </w:rPr>
              <w:t>改建</w:t>
            </w:r>
          </w:p>
          <w:p w14:paraId="2CA6523E">
            <w:pPr>
              <w:jc w:val="left"/>
              <w:rPr>
                <w:sz w:val="24"/>
              </w:rPr>
            </w:pPr>
            <w:r>
              <w:rPr>
                <w:sz w:val="24"/>
              </w:rPr>
              <w:t>□扩建</w:t>
            </w:r>
          </w:p>
          <w:p w14:paraId="4D1014AC">
            <w:pPr>
              <w:jc w:val="left"/>
              <w:rPr>
                <w:sz w:val="24"/>
              </w:rPr>
            </w:pPr>
            <w:r>
              <w:rPr>
                <w:sz w:val="24"/>
              </w:rPr>
              <w:t>□技术改造</w:t>
            </w:r>
          </w:p>
        </w:tc>
        <w:tc>
          <w:tcPr>
            <w:tcW w:w="2178" w:type="dxa"/>
            <w:noWrap w:val="0"/>
            <w:vAlign w:val="center"/>
          </w:tcPr>
          <w:p w14:paraId="0EAB01F7">
            <w:pPr>
              <w:adjustRightInd w:val="0"/>
              <w:snapToGrid w:val="0"/>
              <w:jc w:val="center"/>
              <w:rPr>
                <w:sz w:val="24"/>
              </w:rPr>
            </w:pPr>
            <w:r>
              <w:rPr>
                <w:sz w:val="24"/>
              </w:rPr>
              <w:t>建设项目</w:t>
            </w:r>
          </w:p>
          <w:p w14:paraId="2BF217CE">
            <w:pPr>
              <w:adjustRightInd w:val="0"/>
              <w:snapToGrid w:val="0"/>
              <w:jc w:val="center"/>
              <w:rPr>
                <w:sz w:val="24"/>
              </w:rPr>
            </w:pPr>
            <w:r>
              <w:rPr>
                <w:sz w:val="24"/>
              </w:rPr>
              <w:t>申报情形</w:t>
            </w:r>
          </w:p>
        </w:tc>
        <w:tc>
          <w:tcPr>
            <w:tcW w:w="2735" w:type="dxa"/>
            <w:noWrap w:val="0"/>
            <w:vAlign w:val="center"/>
          </w:tcPr>
          <w:p w14:paraId="2A25A2DF">
            <w:pPr>
              <w:jc w:val="left"/>
              <w:rPr>
                <w:sz w:val="24"/>
              </w:rPr>
            </w:pPr>
            <w:r>
              <w:rPr>
                <w:rFonts w:hint="eastAsia"/>
                <w:sz w:val="24"/>
              </w:rPr>
              <w:t>☑</w:t>
            </w:r>
            <w:r>
              <w:rPr>
                <w:sz w:val="24"/>
              </w:rPr>
              <w:t>首次申报项目</w:t>
            </w:r>
          </w:p>
          <w:p w14:paraId="3EC71280">
            <w:pPr>
              <w:jc w:val="left"/>
              <w:rPr>
                <w:sz w:val="24"/>
              </w:rPr>
            </w:pPr>
            <w:r>
              <w:rPr>
                <w:sz w:val="24"/>
              </w:rPr>
              <w:t>□不予批准后再次申报项目</w:t>
            </w:r>
          </w:p>
          <w:p w14:paraId="68415DD6">
            <w:pPr>
              <w:jc w:val="left"/>
              <w:rPr>
                <w:sz w:val="24"/>
              </w:rPr>
            </w:pPr>
            <w:r>
              <w:rPr>
                <w:sz w:val="24"/>
              </w:rPr>
              <w:t>□超五年重新审核项目</w:t>
            </w:r>
          </w:p>
          <w:p w14:paraId="2408C518">
            <w:pPr>
              <w:jc w:val="left"/>
              <w:rPr>
                <w:sz w:val="24"/>
              </w:rPr>
            </w:pPr>
            <w:r>
              <w:rPr>
                <w:sz w:val="24"/>
              </w:rPr>
              <w:t>□重大变动重新报批项目</w:t>
            </w:r>
          </w:p>
        </w:tc>
      </w:tr>
      <w:tr w14:paraId="39D92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57" w:type="dxa"/>
            <w:noWrap w:val="0"/>
            <w:tcMar>
              <w:top w:w="16" w:type="dxa"/>
              <w:left w:w="16" w:type="dxa"/>
              <w:right w:w="16" w:type="dxa"/>
            </w:tcMar>
            <w:vAlign w:val="center"/>
          </w:tcPr>
          <w:p w14:paraId="707F439E">
            <w:pPr>
              <w:adjustRightInd w:val="0"/>
              <w:snapToGrid w:val="0"/>
              <w:jc w:val="center"/>
              <w:rPr>
                <w:sz w:val="24"/>
              </w:rPr>
            </w:pPr>
            <w:r>
              <w:rPr>
                <w:sz w:val="24"/>
              </w:rPr>
              <w:t>项目审批（核准/</w:t>
            </w:r>
          </w:p>
          <w:p w14:paraId="151DA7EA">
            <w:pPr>
              <w:adjustRightInd w:val="0"/>
              <w:snapToGrid w:val="0"/>
              <w:jc w:val="center"/>
              <w:rPr>
                <w:sz w:val="24"/>
              </w:rPr>
            </w:pPr>
            <w:r>
              <w:rPr>
                <w:sz w:val="24"/>
              </w:rPr>
              <w:t>备案）部门（选填）</w:t>
            </w:r>
          </w:p>
        </w:tc>
        <w:tc>
          <w:tcPr>
            <w:tcW w:w="2100" w:type="dxa"/>
            <w:noWrap w:val="0"/>
            <w:vAlign w:val="center"/>
          </w:tcPr>
          <w:p w14:paraId="6C4503A7">
            <w:pPr>
              <w:adjustRightInd w:val="0"/>
              <w:snapToGrid w:val="0"/>
              <w:jc w:val="center"/>
              <w:rPr>
                <w:sz w:val="24"/>
              </w:rPr>
            </w:pPr>
            <w:r>
              <w:rPr>
                <w:rFonts w:hint="eastAsia"/>
                <w:sz w:val="24"/>
              </w:rPr>
              <w:t>广西自贸区钦州港片区行政审批局</w:t>
            </w:r>
          </w:p>
        </w:tc>
        <w:tc>
          <w:tcPr>
            <w:tcW w:w="2178" w:type="dxa"/>
            <w:noWrap w:val="0"/>
            <w:vAlign w:val="center"/>
          </w:tcPr>
          <w:p w14:paraId="044E8735">
            <w:pPr>
              <w:adjustRightInd w:val="0"/>
              <w:snapToGrid w:val="0"/>
              <w:jc w:val="center"/>
              <w:rPr>
                <w:sz w:val="24"/>
              </w:rPr>
            </w:pPr>
            <w:r>
              <w:rPr>
                <w:sz w:val="24"/>
              </w:rPr>
              <w:t>项目审批（核准/</w:t>
            </w:r>
          </w:p>
          <w:p w14:paraId="5296DABE">
            <w:pPr>
              <w:adjustRightInd w:val="0"/>
              <w:snapToGrid w:val="0"/>
              <w:jc w:val="center"/>
              <w:rPr>
                <w:sz w:val="24"/>
              </w:rPr>
            </w:pPr>
            <w:r>
              <w:rPr>
                <w:sz w:val="24"/>
              </w:rPr>
              <w:t>备案）文号（选填）</w:t>
            </w:r>
          </w:p>
        </w:tc>
        <w:tc>
          <w:tcPr>
            <w:tcW w:w="2735" w:type="dxa"/>
            <w:noWrap w:val="0"/>
            <w:vAlign w:val="center"/>
          </w:tcPr>
          <w:p w14:paraId="2BE0591B">
            <w:pPr>
              <w:adjustRightInd w:val="0"/>
              <w:snapToGrid w:val="0"/>
              <w:jc w:val="center"/>
              <w:rPr>
                <w:sz w:val="24"/>
              </w:rPr>
            </w:pPr>
          </w:p>
        </w:tc>
      </w:tr>
      <w:tr w14:paraId="7F2B02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7" w:type="dxa"/>
            <w:noWrap w:val="0"/>
            <w:tcMar>
              <w:top w:w="16" w:type="dxa"/>
              <w:left w:w="16" w:type="dxa"/>
              <w:right w:w="16" w:type="dxa"/>
            </w:tcMar>
            <w:vAlign w:val="center"/>
          </w:tcPr>
          <w:p w14:paraId="2F738051">
            <w:pPr>
              <w:adjustRightInd w:val="0"/>
              <w:snapToGrid w:val="0"/>
              <w:jc w:val="center"/>
              <w:rPr>
                <w:sz w:val="24"/>
              </w:rPr>
            </w:pPr>
            <w:r>
              <w:rPr>
                <w:sz w:val="24"/>
              </w:rPr>
              <w:t>总投资（万元）</w:t>
            </w:r>
          </w:p>
        </w:tc>
        <w:tc>
          <w:tcPr>
            <w:tcW w:w="2100" w:type="dxa"/>
            <w:noWrap w:val="0"/>
            <w:vAlign w:val="center"/>
          </w:tcPr>
          <w:p w14:paraId="2E4B447C">
            <w:pPr>
              <w:adjustRightInd w:val="0"/>
              <w:snapToGrid w:val="0"/>
              <w:jc w:val="center"/>
              <w:rPr>
                <w:rFonts w:hint="default" w:eastAsia="宋体"/>
                <w:color w:val="000000"/>
                <w:sz w:val="24"/>
                <w:lang w:val="en-US" w:eastAsia="zh-CN"/>
              </w:rPr>
            </w:pPr>
            <w:r>
              <w:rPr>
                <w:rFonts w:hint="eastAsia"/>
                <w:color w:val="000000"/>
                <w:sz w:val="24"/>
                <w:lang w:val="en-US" w:eastAsia="zh-CN"/>
              </w:rPr>
              <w:t>17000</w:t>
            </w:r>
          </w:p>
        </w:tc>
        <w:tc>
          <w:tcPr>
            <w:tcW w:w="2178" w:type="dxa"/>
            <w:noWrap w:val="0"/>
            <w:tcMar>
              <w:top w:w="16" w:type="dxa"/>
              <w:left w:w="16" w:type="dxa"/>
              <w:right w:w="16" w:type="dxa"/>
            </w:tcMar>
            <w:vAlign w:val="center"/>
          </w:tcPr>
          <w:p w14:paraId="4709204B">
            <w:pPr>
              <w:adjustRightInd w:val="0"/>
              <w:snapToGrid w:val="0"/>
              <w:jc w:val="center"/>
              <w:rPr>
                <w:color w:val="000000"/>
                <w:sz w:val="24"/>
              </w:rPr>
            </w:pPr>
            <w:r>
              <w:rPr>
                <w:color w:val="000000"/>
                <w:sz w:val="24"/>
              </w:rPr>
              <w:t>环保投资（万元）</w:t>
            </w:r>
          </w:p>
        </w:tc>
        <w:tc>
          <w:tcPr>
            <w:tcW w:w="2735" w:type="dxa"/>
            <w:noWrap w:val="0"/>
            <w:vAlign w:val="center"/>
          </w:tcPr>
          <w:p w14:paraId="3EB31815">
            <w:pPr>
              <w:adjustRightInd w:val="0"/>
              <w:snapToGrid w:val="0"/>
              <w:jc w:val="center"/>
              <w:rPr>
                <w:rFonts w:hint="default" w:eastAsia="宋体"/>
                <w:color w:val="000000"/>
                <w:sz w:val="24"/>
                <w:lang w:val="en-US" w:eastAsia="zh-CN"/>
              </w:rPr>
            </w:pPr>
            <w:r>
              <w:rPr>
                <w:rFonts w:hint="eastAsia" w:eastAsia="宋体"/>
                <w:color w:val="000000"/>
                <w:sz w:val="24"/>
                <w:lang w:val="en-US" w:eastAsia="zh-CN"/>
              </w:rPr>
              <w:t>341</w:t>
            </w:r>
          </w:p>
        </w:tc>
      </w:tr>
      <w:tr w14:paraId="08E8F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7" w:type="dxa"/>
            <w:noWrap w:val="0"/>
            <w:tcMar>
              <w:top w:w="16" w:type="dxa"/>
              <w:left w:w="16" w:type="dxa"/>
              <w:right w:w="16" w:type="dxa"/>
            </w:tcMar>
            <w:vAlign w:val="center"/>
          </w:tcPr>
          <w:p w14:paraId="08076370">
            <w:pPr>
              <w:adjustRightInd w:val="0"/>
              <w:snapToGrid w:val="0"/>
              <w:jc w:val="center"/>
              <w:rPr>
                <w:sz w:val="24"/>
              </w:rPr>
            </w:pPr>
            <w:r>
              <w:rPr>
                <w:sz w:val="24"/>
              </w:rPr>
              <w:t>环保投资占比（%）</w:t>
            </w:r>
          </w:p>
        </w:tc>
        <w:tc>
          <w:tcPr>
            <w:tcW w:w="2100" w:type="dxa"/>
            <w:noWrap w:val="0"/>
            <w:vAlign w:val="center"/>
          </w:tcPr>
          <w:p w14:paraId="376CA1C5">
            <w:pPr>
              <w:adjustRightInd w:val="0"/>
              <w:snapToGrid w:val="0"/>
              <w:jc w:val="center"/>
              <w:rPr>
                <w:rFonts w:hint="default" w:eastAsia="宋体"/>
                <w:color w:val="000000"/>
                <w:sz w:val="24"/>
                <w:lang w:val="en-US" w:eastAsia="zh-CN"/>
              </w:rPr>
            </w:pPr>
            <w:r>
              <w:rPr>
                <w:rFonts w:hint="eastAsia" w:eastAsia="宋体"/>
                <w:color w:val="000000"/>
                <w:sz w:val="24"/>
                <w:lang w:val="en-US" w:eastAsia="zh-CN"/>
              </w:rPr>
              <w:t>0.</w:t>
            </w:r>
            <w:r>
              <w:rPr>
                <w:rFonts w:hint="eastAsia"/>
                <w:color w:val="000000"/>
                <w:sz w:val="24"/>
                <w:lang w:val="en-US" w:eastAsia="zh-CN"/>
              </w:rPr>
              <w:t>2</w:t>
            </w:r>
            <w:r>
              <w:rPr>
                <w:rFonts w:hint="eastAsia" w:eastAsia="宋体"/>
                <w:color w:val="000000"/>
                <w:sz w:val="24"/>
                <w:lang w:val="en-US" w:eastAsia="zh-CN"/>
              </w:rPr>
              <w:t>0</w:t>
            </w:r>
          </w:p>
        </w:tc>
        <w:tc>
          <w:tcPr>
            <w:tcW w:w="2178" w:type="dxa"/>
            <w:noWrap w:val="0"/>
            <w:tcMar>
              <w:top w:w="16" w:type="dxa"/>
              <w:left w:w="16" w:type="dxa"/>
              <w:right w:w="16" w:type="dxa"/>
            </w:tcMar>
            <w:vAlign w:val="center"/>
          </w:tcPr>
          <w:p w14:paraId="4B00D4E7">
            <w:pPr>
              <w:adjustRightInd w:val="0"/>
              <w:snapToGrid w:val="0"/>
              <w:jc w:val="center"/>
              <w:rPr>
                <w:color w:val="000000"/>
                <w:sz w:val="24"/>
              </w:rPr>
            </w:pPr>
            <w:r>
              <w:rPr>
                <w:color w:val="000000"/>
                <w:sz w:val="24"/>
              </w:rPr>
              <w:t>施工工期</w:t>
            </w:r>
          </w:p>
        </w:tc>
        <w:tc>
          <w:tcPr>
            <w:tcW w:w="2735" w:type="dxa"/>
            <w:noWrap w:val="0"/>
            <w:vAlign w:val="center"/>
          </w:tcPr>
          <w:p w14:paraId="0153C152">
            <w:pPr>
              <w:adjustRightInd w:val="0"/>
              <w:snapToGrid w:val="0"/>
              <w:jc w:val="center"/>
              <w:rPr>
                <w:color w:val="000000"/>
                <w:sz w:val="24"/>
              </w:rPr>
            </w:pPr>
            <w:r>
              <w:rPr>
                <w:rFonts w:hint="eastAsia"/>
                <w:color w:val="000000"/>
                <w:sz w:val="24"/>
                <w:lang w:val="en-US" w:eastAsia="zh-CN"/>
              </w:rPr>
              <w:t>12</w:t>
            </w:r>
            <w:r>
              <w:rPr>
                <w:color w:val="000000"/>
                <w:sz w:val="24"/>
              </w:rPr>
              <w:t>个月</w:t>
            </w:r>
          </w:p>
        </w:tc>
      </w:tr>
      <w:tr w14:paraId="5228A4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7" w:type="dxa"/>
            <w:noWrap w:val="0"/>
            <w:tcMar>
              <w:top w:w="16" w:type="dxa"/>
              <w:left w:w="16" w:type="dxa"/>
              <w:right w:w="16" w:type="dxa"/>
            </w:tcMar>
            <w:vAlign w:val="center"/>
          </w:tcPr>
          <w:p w14:paraId="2C7B644C">
            <w:pPr>
              <w:adjustRightInd w:val="0"/>
              <w:snapToGrid w:val="0"/>
              <w:jc w:val="center"/>
              <w:rPr>
                <w:sz w:val="24"/>
              </w:rPr>
            </w:pPr>
            <w:r>
              <w:rPr>
                <w:sz w:val="24"/>
              </w:rPr>
              <w:t>是否开工建设</w:t>
            </w:r>
          </w:p>
        </w:tc>
        <w:tc>
          <w:tcPr>
            <w:tcW w:w="2100" w:type="dxa"/>
            <w:noWrap w:val="0"/>
            <w:vAlign w:val="center"/>
          </w:tcPr>
          <w:p w14:paraId="350D4991">
            <w:pPr>
              <w:adjustRightInd w:val="0"/>
              <w:snapToGrid w:val="0"/>
              <w:rPr>
                <w:sz w:val="24"/>
              </w:rPr>
            </w:pPr>
            <w:r>
              <w:rPr>
                <w:rFonts w:hint="eastAsia"/>
                <w:sz w:val="24"/>
                <w:lang w:eastAsia="zh-CN"/>
              </w:rPr>
              <w:t>□</w:t>
            </w:r>
            <w:r>
              <w:rPr>
                <w:sz w:val="24"/>
              </w:rPr>
              <w:t>否</w:t>
            </w:r>
          </w:p>
          <w:p w14:paraId="63DA6424">
            <w:pPr>
              <w:adjustRightInd w:val="0"/>
              <w:snapToGrid w:val="0"/>
              <w:rPr>
                <w:rFonts w:hint="default"/>
                <w:sz w:val="24"/>
                <w:lang w:val="en-US"/>
              </w:rPr>
            </w:pPr>
            <w:r>
              <w:rPr>
                <w:sz w:val="24"/>
                <w:highlight w:val="none"/>
              </w:rPr>
              <w:sym w:font="Wingdings 2" w:char="0052"/>
            </w:r>
            <w:r>
              <w:rPr>
                <w:sz w:val="24"/>
              </w:rPr>
              <w:t>是：</w:t>
            </w:r>
            <w:r>
              <w:rPr>
                <w:rFonts w:hint="eastAsia"/>
                <w:sz w:val="24"/>
                <w:u w:val="single"/>
                <w:lang w:val="en-US" w:eastAsia="zh-CN"/>
              </w:rPr>
              <w:t>项目危险品仓库2号、4号、5号仓库主体结构已建设完成。</w:t>
            </w:r>
          </w:p>
        </w:tc>
        <w:tc>
          <w:tcPr>
            <w:tcW w:w="2178" w:type="dxa"/>
            <w:noWrap w:val="0"/>
            <w:tcMar>
              <w:top w:w="16" w:type="dxa"/>
              <w:left w:w="16" w:type="dxa"/>
              <w:right w:w="16" w:type="dxa"/>
            </w:tcMar>
            <w:vAlign w:val="center"/>
          </w:tcPr>
          <w:p w14:paraId="424FC35D">
            <w:pPr>
              <w:adjustRightInd w:val="0"/>
              <w:snapToGrid w:val="0"/>
              <w:jc w:val="center"/>
              <w:rPr>
                <w:sz w:val="24"/>
              </w:rPr>
            </w:pPr>
            <w:r>
              <w:rPr>
                <w:spacing w:val="-6"/>
                <w:sz w:val="24"/>
              </w:rPr>
              <w:t>用地面积（m</w:t>
            </w:r>
            <w:r>
              <w:rPr>
                <w:spacing w:val="-6"/>
                <w:sz w:val="24"/>
                <w:vertAlign w:val="superscript"/>
              </w:rPr>
              <w:t>2</w:t>
            </w:r>
            <w:r>
              <w:rPr>
                <w:spacing w:val="-6"/>
                <w:sz w:val="24"/>
              </w:rPr>
              <w:t>）</w:t>
            </w:r>
          </w:p>
        </w:tc>
        <w:tc>
          <w:tcPr>
            <w:tcW w:w="2735" w:type="dxa"/>
            <w:noWrap w:val="0"/>
            <w:vAlign w:val="center"/>
          </w:tcPr>
          <w:p w14:paraId="1610C318">
            <w:pPr>
              <w:adjustRightInd w:val="0"/>
              <w:snapToGrid w:val="0"/>
              <w:jc w:val="center"/>
              <w:rPr>
                <w:rFonts w:hint="default" w:eastAsia="宋体"/>
                <w:sz w:val="24"/>
                <w:lang w:val="en-US" w:eastAsia="zh-CN"/>
              </w:rPr>
            </w:pPr>
            <w:r>
              <w:rPr>
                <w:rFonts w:hint="eastAsia"/>
                <w:sz w:val="24"/>
                <w:lang w:val="en-US" w:eastAsia="zh-CN"/>
              </w:rPr>
              <w:t>154000.77</w:t>
            </w:r>
          </w:p>
        </w:tc>
      </w:tr>
      <w:tr w14:paraId="33270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1857" w:type="dxa"/>
            <w:noWrap w:val="0"/>
            <w:vAlign w:val="center"/>
          </w:tcPr>
          <w:p w14:paraId="060C7B6E">
            <w:pPr>
              <w:autoSpaceDE w:val="0"/>
              <w:autoSpaceDN w:val="0"/>
              <w:adjustRightInd w:val="0"/>
              <w:snapToGrid w:val="0"/>
              <w:jc w:val="center"/>
              <w:rPr>
                <w:kern w:val="0"/>
                <w:sz w:val="24"/>
              </w:rPr>
            </w:pPr>
            <w:r>
              <w:rPr>
                <w:kern w:val="0"/>
                <w:sz w:val="24"/>
              </w:rPr>
              <w:t>专项评价设置情况</w:t>
            </w:r>
          </w:p>
        </w:tc>
        <w:tc>
          <w:tcPr>
            <w:tcW w:w="7013" w:type="dxa"/>
            <w:gridSpan w:val="3"/>
            <w:noWrap w:val="0"/>
            <w:vAlign w:val="center"/>
          </w:tcPr>
          <w:p w14:paraId="2448CFCD">
            <w:pPr>
              <w:autoSpaceDE w:val="0"/>
              <w:autoSpaceDN w:val="0"/>
              <w:adjustRightInd w:val="0"/>
              <w:snapToGrid w:val="0"/>
              <w:jc w:val="center"/>
              <w:rPr>
                <w:rFonts w:hint="default" w:eastAsia="宋体"/>
                <w:kern w:val="0"/>
                <w:sz w:val="24"/>
                <w:lang w:val="en-US" w:eastAsia="zh-CN"/>
              </w:rPr>
            </w:pPr>
            <w:r>
              <w:rPr>
                <w:rFonts w:hint="eastAsia"/>
                <w:color w:val="auto"/>
                <w:kern w:val="0"/>
                <w:sz w:val="24"/>
                <w:lang w:val="en-US" w:eastAsia="zh-CN"/>
              </w:rPr>
              <w:t>项目储存的磷酸、盐酸、硫酸镍</w:t>
            </w:r>
            <w:r>
              <w:rPr>
                <w:rFonts w:hint="eastAsia"/>
                <w:color w:val="auto"/>
                <w:kern w:val="0"/>
                <w:sz w:val="24"/>
              </w:rPr>
              <w:t>存储量超过临界量</w:t>
            </w:r>
            <w:r>
              <w:rPr>
                <w:rFonts w:hint="eastAsia"/>
                <w:color w:val="auto"/>
                <w:kern w:val="0"/>
                <w:sz w:val="24"/>
                <w:lang w:eastAsia="zh-CN"/>
              </w:rPr>
              <w:t>，</w:t>
            </w:r>
            <w:r>
              <w:rPr>
                <w:rFonts w:hint="eastAsia"/>
                <w:color w:val="auto"/>
                <w:kern w:val="0"/>
                <w:sz w:val="24"/>
                <w:lang w:val="en-US" w:eastAsia="zh-CN"/>
              </w:rPr>
              <w:t>需设置风险专项评价。</w:t>
            </w:r>
          </w:p>
        </w:tc>
      </w:tr>
      <w:tr w14:paraId="069EF1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857" w:type="dxa"/>
            <w:noWrap w:val="0"/>
            <w:vAlign w:val="center"/>
          </w:tcPr>
          <w:p w14:paraId="73993E5F">
            <w:pPr>
              <w:autoSpaceDE w:val="0"/>
              <w:autoSpaceDN w:val="0"/>
              <w:adjustRightInd w:val="0"/>
              <w:snapToGrid w:val="0"/>
              <w:jc w:val="center"/>
              <w:rPr>
                <w:kern w:val="0"/>
                <w:sz w:val="24"/>
              </w:rPr>
            </w:pPr>
            <w:r>
              <w:rPr>
                <w:sz w:val="24"/>
              </w:rPr>
              <w:t>规划情况</w:t>
            </w:r>
          </w:p>
        </w:tc>
        <w:tc>
          <w:tcPr>
            <w:tcW w:w="7013" w:type="dxa"/>
            <w:gridSpan w:val="3"/>
            <w:noWrap w:val="0"/>
            <w:vAlign w:val="center"/>
          </w:tcPr>
          <w:p w14:paraId="11F43B60">
            <w:pPr>
              <w:pStyle w:val="6"/>
              <w:spacing w:line="500" w:lineRule="exact"/>
              <w:ind w:firstLine="0" w:firstLineChars="0"/>
              <w:jc w:val="both"/>
              <w:rPr>
                <w:rFonts w:hint="eastAsia" w:eastAsia="宋体"/>
                <w:kern w:val="0"/>
                <w:sz w:val="24"/>
                <w:lang w:eastAsia="zh-CN"/>
              </w:rPr>
            </w:pPr>
            <w:r>
              <w:rPr>
                <w:rFonts w:hint="eastAsia" w:eastAsia="宋体"/>
                <w:kern w:val="0"/>
                <w:sz w:val="24"/>
                <w:lang w:val="en-US" w:eastAsia="zh-CN"/>
              </w:rPr>
              <w:t>规划名称：《</w:t>
            </w:r>
            <w:r>
              <w:rPr>
                <w:rFonts w:hint="eastAsia" w:eastAsia="宋体"/>
                <w:kern w:val="0"/>
                <w:sz w:val="24"/>
                <w:lang w:eastAsia="zh-CN"/>
              </w:rPr>
              <w:t>广西钦州石化产业园总体发展规划（2020—2035年）》；</w:t>
            </w:r>
          </w:p>
          <w:p w14:paraId="05808D3D">
            <w:pPr>
              <w:pStyle w:val="6"/>
              <w:spacing w:line="500" w:lineRule="exact"/>
              <w:ind w:firstLine="0" w:firstLineChars="0"/>
              <w:jc w:val="both"/>
              <w:rPr>
                <w:rFonts w:hint="eastAsia" w:eastAsia="宋体"/>
                <w:kern w:val="0"/>
                <w:sz w:val="24"/>
                <w:lang w:val="en-US" w:eastAsia="zh-CN"/>
              </w:rPr>
            </w:pPr>
            <w:r>
              <w:rPr>
                <w:rFonts w:hint="eastAsia" w:eastAsia="宋体"/>
                <w:kern w:val="0"/>
                <w:sz w:val="24"/>
                <w:lang w:val="en-US" w:eastAsia="zh-CN"/>
              </w:rPr>
              <w:t>审批机关：广西壮族自治区人民政府；</w:t>
            </w:r>
          </w:p>
          <w:p w14:paraId="10047C6F">
            <w:pPr>
              <w:pStyle w:val="6"/>
              <w:spacing w:line="500" w:lineRule="exact"/>
              <w:ind w:firstLine="0" w:firstLineChars="0"/>
              <w:jc w:val="both"/>
              <w:rPr>
                <w:rFonts w:hint="default" w:eastAsia="宋体"/>
                <w:kern w:val="0"/>
                <w:sz w:val="24"/>
                <w:lang w:val="en-US" w:eastAsia="zh-CN"/>
              </w:rPr>
            </w:pPr>
            <w:r>
              <w:rPr>
                <w:rFonts w:hint="eastAsia" w:eastAsia="宋体"/>
                <w:kern w:val="0"/>
                <w:sz w:val="24"/>
                <w:lang w:val="en-US" w:eastAsia="zh-CN"/>
              </w:rPr>
              <w:t>审批文件名称及文号：《广西壮族自治区人民政府关于广西钦州石化产业园总体发展规划（2020—2035年）的批复》（桂政函〔2021〕153号）；</w:t>
            </w:r>
          </w:p>
        </w:tc>
      </w:tr>
      <w:tr w14:paraId="24A60E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7" w:type="dxa"/>
            <w:noWrap w:val="0"/>
            <w:vAlign w:val="center"/>
          </w:tcPr>
          <w:p w14:paraId="3B49ECB1">
            <w:pPr>
              <w:adjustRightInd w:val="0"/>
              <w:snapToGrid w:val="0"/>
              <w:jc w:val="center"/>
              <w:rPr>
                <w:sz w:val="24"/>
              </w:rPr>
            </w:pPr>
            <w:r>
              <w:rPr>
                <w:sz w:val="24"/>
              </w:rPr>
              <w:t>规划环境影响</w:t>
            </w:r>
          </w:p>
          <w:p w14:paraId="627DAFA5">
            <w:pPr>
              <w:adjustRightInd w:val="0"/>
              <w:snapToGrid w:val="0"/>
              <w:jc w:val="center"/>
              <w:rPr>
                <w:kern w:val="0"/>
                <w:sz w:val="24"/>
              </w:rPr>
            </w:pPr>
            <w:r>
              <w:rPr>
                <w:sz w:val="24"/>
              </w:rPr>
              <w:t>评价情况</w:t>
            </w:r>
          </w:p>
        </w:tc>
        <w:tc>
          <w:tcPr>
            <w:tcW w:w="7013" w:type="dxa"/>
            <w:gridSpan w:val="3"/>
            <w:noWrap w:val="0"/>
            <w:vAlign w:val="center"/>
          </w:tcPr>
          <w:p w14:paraId="15A08E1E">
            <w:pPr>
              <w:pStyle w:val="6"/>
              <w:spacing w:line="500" w:lineRule="exact"/>
              <w:ind w:firstLine="0" w:firstLineChars="0"/>
              <w:rPr>
                <w:rFonts w:hint="eastAsia"/>
                <w:color w:val="auto"/>
                <w:kern w:val="0"/>
                <w:sz w:val="24"/>
                <w:u w:val="none"/>
              </w:rPr>
            </w:pPr>
            <w:r>
              <w:rPr>
                <w:rFonts w:hint="eastAsia"/>
                <w:color w:val="auto"/>
                <w:kern w:val="0"/>
                <w:sz w:val="24"/>
                <w:u w:val="none"/>
              </w:rPr>
              <w:t>规划环评文件：《广西钦州石化产业园总体发展规划环境影响报告书》；</w:t>
            </w:r>
          </w:p>
          <w:p w14:paraId="263C854E">
            <w:pPr>
              <w:pStyle w:val="6"/>
              <w:spacing w:line="500" w:lineRule="exact"/>
              <w:ind w:firstLine="0" w:firstLineChars="0"/>
              <w:rPr>
                <w:rFonts w:hint="eastAsia"/>
                <w:color w:val="auto"/>
                <w:kern w:val="0"/>
                <w:sz w:val="24"/>
                <w:u w:val="none"/>
              </w:rPr>
            </w:pPr>
            <w:r>
              <w:rPr>
                <w:rFonts w:hint="eastAsia"/>
                <w:color w:val="auto"/>
                <w:kern w:val="0"/>
                <w:sz w:val="24"/>
                <w:u w:val="none"/>
              </w:rPr>
              <w:t>召集审查机关：</w:t>
            </w:r>
            <w:r>
              <w:rPr>
                <w:rFonts w:hint="eastAsia"/>
                <w:color w:val="auto"/>
                <w:kern w:val="0"/>
                <w:sz w:val="24"/>
                <w:u w:val="none"/>
                <w:lang w:val="en-US" w:eastAsia="zh-CN"/>
              </w:rPr>
              <w:t>广西壮族自治区生态环境厅</w:t>
            </w:r>
            <w:r>
              <w:rPr>
                <w:rFonts w:hint="eastAsia"/>
                <w:color w:val="auto"/>
                <w:kern w:val="0"/>
                <w:sz w:val="24"/>
                <w:u w:val="none"/>
              </w:rPr>
              <w:t>；</w:t>
            </w:r>
          </w:p>
          <w:p w14:paraId="0B12F95A">
            <w:pPr>
              <w:pStyle w:val="6"/>
              <w:spacing w:line="500" w:lineRule="exact"/>
              <w:ind w:firstLine="0" w:firstLineChars="0"/>
              <w:jc w:val="both"/>
              <w:rPr>
                <w:rFonts w:hint="eastAsia" w:ascii="Times New Roman" w:hAnsi="Times New Roman" w:eastAsia="宋体" w:cs="Times New Roman"/>
                <w:color w:val="auto"/>
                <w:kern w:val="0"/>
                <w:sz w:val="24"/>
                <w:u w:val="none"/>
                <w:lang w:val="en-US" w:eastAsia="zh-CN"/>
              </w:rPr>
            </w:pPr>
            <w:r>
              <w:rPr>
                <w:rFonts w:hint="eastAsia"/>
                <w:color w:val="auto"/>
                <w:kern w:val="0"/>
                <w:sz w:val="24"/>
                <w:u w:val="none"/>
              </w:rPr>
              <w:t>审查文件名称及文号：</w:t>
            </w:r>
            <w:r>
              <w:rPr>
                <w:rFonts w:hint="eastAsia"/>
                <w:color w:val="auto"/>
                <w:kern w:val="0"/>
                <w:sz w:val="24"/>
                <w:u w:val="none"/>
                <w:lang w:eastAsia="zh-CN"/>
              </w:rPr>
              <w:t>《广西壮族自治区生态环境厅关于印发钦州石化产业园总体发展规划环境影响报告书审查意见的函》（桂环函〔2021〕388号）。</w:t>
            </w:r>
          </w:p>
        </w:tc>
      </w:tr>
      <w:tr w14:paraId="4E1E45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857" w:type="dxa"/>
            <w:noWrap w:val="0"/>
            <w:vAlign w:val="center"/>
          </w:tcPr>
          <w:p w14:paraId="7022CCE4">
            <w:pPr>
              <w:autoSpaceDE w:val="0"/>
              <w:autoSpaceDN w:val="0"/>
              <w:adjustRightInd w:val="0"/>
              <w:snapToGrid w:val="0"/>
              <w:jc w:val="center"/>
              <w:rPr>
                <w:kern w:val="0"/>
                <w:sz w:val="24"/>
              </w:rPr>
            </w:pPr>
            <w:r>
              <w:rPr>
                <w:kern w:val="0"/>
                <w:sz w:val="24"/>
              </w:rPr>
              <w:t>规划及规划环境影响评价符合性分析</w:t>
            </w:r>
          </w:p>
        </w:tc>
        <w:tc>
          <w:tcPr>
            <w:tcW w:w="7013" w:type="dxa"/>
            <w:gridSpan w:val="3"/>
            <w:noWrap w:val="0"/>
            <w:vAlign w:val="center"/>
          </w:tcPr>
          <w:p w14:paraId="40B06F29">
            <w:pPr>
              <w:pStyle w:val="6"/>
              <w:spacing w:line="500" w:lineRule="exact"/>
              <w:ind w:firstLine="480"/>
              <w:rPr>
                <w:rFonts w:hint="eastAsia"/>
                <w:color w:val="auto"/>
                <w:kern w:val="0"/>
                <w:sz w:val="24"/>
                <w:u w:val="none"/>
              </w:rPr>
            </w:pPr>
            <w:r>
              <w:rPr>
                <w:rFonts w:hint="eastAsia"/>
                <w:color w:val="auto"/>
                <w:kern w:val="0"/>
                <w:sz w:val="24"/>
                <w:u w:val="none"/>
              </w:rPr>
              <w:t>1、与广西钦州石化产业园总体发展规划（2020—2035年）符合性分析</w:t>
            </w:r>
          </w:p>
          <w:p w14:paraId="72677F5C">
            <w:pPr>
              <w:pStyle w:val="6"/>
              <w:spacing w:line="500" w:lineRule="exact"/>
              <w:ind w:firstLine="480"/>
              <w:rPr>
                <w:rFonts w:hint="eastAsia"/>
                <w:color w:val="auto"/>
                <w:kern w:val="0"/>
                <w:sz w:val="24"/>
                <w:u w:val="none"/>
                <w:lang w:val="en-US" w:eastAsia="zh-CN"/>
              </w:rPr>
            </w:pPr>
            <w:r>
              <w:rPr>
                <w:rFonts w:hint="eastAsia"/>
                <w:color w:val="auto"/>
                <w:kern w:val="0"/>
                <w:sz w:val="24"/>
                <w:u w:val="none"/>
              </w:rPr>
              <w:t>⑴</w:t>
            </w:r>
            <w:r>
              <w:rPr>
                <w:rFonts w:hint="eastAsia"/>
                <w:color w:val="auto"/>
                <w:kern w:val="0"/>
                <w:sz w:val="24"/>
                <w:u w:val="none"/>
                <w:lang w:val="en-US" w:eastAsia="zh-CN"/>
              </w:rPr>
              <w:t>规划发展目标</w:t>
            </w:r>
          </w:p>
          <w:p w14:paraId="4D82E308">
            <w:pPr>
              <w:pStyle w:val="6"/>
              <w:spacing w:line="500" w:lineRule="exact"/>
              <w:ind w:firstLine="480"/>
              <w:rPr>
                <w:rFonts w:hint="eastAsia"/>
                <w:color w:val="auto"/>
                <w:kern w:val="0"/>
                <w:sz w:val="24"/>
                <w:u w:val="none"/>
                <w:lang w:val="en-US" w:eastAsia="zh-CN"/>
              </w:rPr>
            </w:pPr>
            <w:r>
              <w:rPr>
                <w:rFonts w:hint="eastAsia"/>
                <w:color w:val="auto"/>
                <w:kern w:val="0"/>
                <w:sz w:val="24"/>
                <w:u w:val="none"/>
                <w:lang w:val="en-US" w:eastAsia="zh-CN"/>
              </w:rPr>
              <w:t>近期，2020—2025年，重点建设发展中石油广西石化150万吨/年乙烯及下游项目、上海华谊化工新材料一体化项目以及氯气下游MDI与PC项目、恒逸石化120万吨/年己内酰胺一体化项目、浙江桐昆280万吨/年芳烃一体化项目，广西石化实现产品升级产能达1200万吨/年，乙烯规模达到150万吨/年，芳烃规模280万吨/年。</w:t>
            </w:r>
          </w:p>
          <w:p w14:paraId="77411845">
            <w:pPr>
              <w:pStyle w:val="6"/>
              <w:spacing w:line="500" w:lineRule="exact"/>
              <w:ind w:firstLine="480"/>
              <w:rPr>
                <w:rFonts w:hint="eastAsia"/>
                <w:color w:val="auto"/>
                <w:kern w:val="0"/>
                <w:sz w:val="24"/>
                <w:u w:val="none"/>
                <w:lang w:val="en-US" w:eastAsia="zh-CN"/>
              </w:rPr>
            </w:pPr>
            <w:r>
              <w:rPr>
                <w:rFonts w:hint="eastAsia"/>
                <w:color w:val="auto"/>
                <w:kern w:val="0"/>
                <w:sz w:val="24"/>
                <w:u w:val="none"/>
                <w:lang w:val="en-US" w:eastAsia="zh-CN"/>
              </w:rPr>
              <w:t>中期，2026—2030年，重点建设中海油2000万吨/年炼化一体化产业项目等，整个园区产能达4000万吨/年，乙烯规模达到500万吨/年，芳烃规模达到500万吨/年。</w:t>
            </w:r>
          </w:p>
          <w:p w14:paraId="475A9BC3">
            <w:pPr>
              <w:pStyle w:val="6"/>
              <w:spacing w:line="500" w:lineRule="exact"/>
              <w:ind w:firstLine="480"/>
              <w:rPr>
                <w:rFonts w:hint="eastAsia" w:eastAsia="宋体"/>
                <w:color w:val="auto"/>
                <w:kern w:val="0"/>
                <w:sz w:val="24"/>
                <w:u w:val="none"/>
                <w:lang w:eastAsia="zh-CN"/>
              </w:rPr>
            </w:pPr>
            <w:r>
              <w:rPr>
                <w:rFonts w:hint="eastAsia"/>
                <w:color w:val="auto"/>
                <w:kern w:val="0"/>
                <w:sz w:val="24"/>
                <w:u w:val="none"/>
                <w:lang w:val="en-US" w:eastAsia="zh-CN"/>
              </w:rPr>
              <w:t>远期，2031～2035年，着力发展高端特种功能材料、特种功能化学品、精细化专用化学品产业，规划实施后钦州石化产业园将成为能够对标国际先进石化产业集群的全球价值链枢纽</w:t>
            </w:r>
            <w:r>
              <w:rPr>
                <w:rFonts w:hint="eastAsia"/>
                <w:color w:val="auto"/>
                <w:kern w:val="0"/>
                <w:sz w:val="24"/>
                <w:u w:val="none"/>
                <w:lang w:eastAsia="zh-CN"/>
              </w:rPr>
              <w:t>。</w:t>
            </w:r>
          </w:p>
          <w:p w14:paraId="7503AA16">
            <w:pPr>
              <w:pStyle w:val="6"/>
              <w:spacing w:line="500" w:lineRule="exact"/>
              <w:ind w:firstLine="480"/>
              <w:rPr>
                <w:rFonts w:hint="eastAsia"/>
                <w:color w:val="auto"/>
                <w:kern w:val="0"/>
                <w:sz w:val="24"/>
                <w:u w:val="none"/>
                <w:lang w:val="en-US" w:eastAsia="zh-CN"/>
              </w:rPr>
            </w:pPr>
            <w:r>
              <w:rPr>
                <w:rFonts w:hint="eastAsia"/>
                <w:color w:val="auto"/>
                <w:kern w:val="0"/>
                <w:sz w:val="24"/>
                <w:u w:val="none"/>
              </w:rPr>
              <w:t>⑵</w:t>
            </w:r>
            <w:r>
              <w:rPr>
                <w:rFonts w:hint="eastAsia"/>
                <w:color w:val="auto"/>
                <w:kern w:val="0"/>
                <w:sz w:val="24"/>
                <w:u w:val="none"/>
                <w:lang w:val="en-US" w:eastAsia="zh-CN"/>
              </w:rPr>
              <w:t>规划布局</w:t>
            </w:r>
          </w:p>
          <w:p w14:paraId="2A98742F">
            <w:pPr>
              <w:pStyle w:val="6"/>
              <w:spacing w:line="500" w:lineRule="exact"/>
              <w:ind w:firstLine="480"/>
              <w:rPr>
                <w:rFonts w:hint="eastAsia"/>
                <w:color w:val="auto"/>
                <w:kern w:val="0"/>
                <w:sz w:val="24"/>
                <w:u w:val="none"/>
                <w:lang w:val="en-US" w:eastAsia="zh-CN"/>
              </w:rPr>
            </w:pPr>
            <w:r>
              <w:rPr>
                <w:rFonts w:hint="eastAsia"/>
                <w:color w:val="auto"/>
                <w:kern w:val="0"/>
                <w:sz w:val="24"/>
                <w:u w:val="none"/>
                <w:lang w:val="en-US" w:eastAsia="zh-CN"/>
              </w:rPr>
              <w:t>钦州石化产业园总体上规划为“一园、两轴、三片、十区、多点”的空间结构，按照三个片区布局如下：</w:t>
            </w:r>
          </w:p>
          <w:p w14:paraId="2D5400FB">
            <w:pPr>
              <w:pStyle w:val="6"/>
              <w:spacing w:line="500" w:lineRule="exact"/>
              <w:ind w:firstLine="480"/>
              <w:rPr>
                <w:rFonts w:hint="eastAsia"/>
                <w:color w:val="auto"/>
                <w:kern w:val="0"/>
                <w:sz w:val="24"/>
                <w:u w:val="none"/>
                <w:lang w:val="en-US" w:eastAsia="zh-CN"/>
              </w:rPr>
            </w:pPr>
            <w:r>
              <w:rPr>
                <w:rFonts w:hint="eastAsia"/>
                <w:color w:val="auto"/>
                <w:kern w:val="0"/>
                <w:sz w:val="24"/>
                <w:u w:val="none"/>
                <w:lang w:val="en-US" w:eastAsia="zh-CN"/>
              </w:rPr>
              <w:t>金谷片区：为现有项目区，以广西石化、芳烃、华谊、恒逸等为大型龙头产业链项目协同发展特种聚氨酯与高端材料产业区。</w:t>
            </w:r>
          </w:p>
          <w:p w14:paraId="726F3DAF">
            <w:pPr>
              <w:pStyle w:val="6"/>
              <w:spacing w:line="500" w:lineRule="exact"/>
              <w:ind w:firstLine="480"/>
              <w:rPr>
                <w:rFonts w:hint="eastAsia"/>
                <w:color w:val="auto"/>
                <w:kern w:val="0"/>
                <w:sz w:val="24"/>
                <w:u w:val="none"/>
                <w:lang w:val="en-US" w:eastAsia="zh-CN"/>
              </w:rPr>
            </w:pPr>
            <w:r>
              <w:rPr>
                <w:rFonts w:hint="eastAsia"/>
                <w:color w:val="auto"/>
                <w:kern w:val="0"/>
                <w:sz w:val="24"/>
                <w:u w:val="none"/>
                <w:lang w:val="en-US" w:eastAsia="zh-CN"/>
              </w:rPr>
              <w:t>三墩片区：主要布局以桐昆为主的芳烃及下游深加工区、中石油2000万吨炼化一体化项目及化工新材料及精细化工。</w:t>
            </w:r>
          </w:p>
          <w:p w14:paraId="75F1232F">
            <w:pPr>
              <w:pStyle w:val="6"/>
              <w:spacing w:line="500" w:lineRule="exact"/>
              <w:ind w:firstLine="480"/>
              <w:rPr>
                <w:rFonts w:hint="eastAsia"/>
                <w:color w:val="auto"/>
                <w:kern w:val="0"/>
                <w:sz w:val="24"/>
                <w:u w:val="none"/>
                <w:lang w:val="en-US" w:eastAsia="zh-CN"/>
              </w:rPr>
            </w:pPr>
            <w:r>
              <w:rPr>
                <w:rFonts w:hint="eastAsia"/>
                <w:color w:val="auto"/>
                <w:kern w:val="0"/>
                <w:sz w:val="24"/>
                <w:u w:val="none"/>
                <w:lang w:val="en-US" w:eastAsia="zh-CN"/>
              </w:rPr>
              <w:t>鹿耳片区：集中在远期发展特种功能材料及专用化学品项目区，原料主要来源于金谷片区和三墩片区，作为其下游延伸产业链发展。</w:t>
            </w:r>
          </w:p>
          <w:p w14:paraId="76AEECC4">
            <w:pPr>
              <w:pStyle w:val="6"/>
              <w:spacing w:line="500" w:lineRule="exact"/>
              <w:ind w:firstLine="480"/>
              <w:rPr>
                <w:rFonts w:hint="default" w:ascii="Times New Roman" w:hAnsi="Times New Roman" w:cs="Times New Roman"/>
                <w:color w:val="auto"/>
                <w:kern w:val="0"/>
                <w:sz w:val="24"/>
                <w:u w:val="none"/>
              </w:rPr>
            </w:pPr>
            <w:r>
              <w:rPr>
                <w:rFonts w:hint="default" w:ascii="Times New Roman" w:hAnsi="Times New Roman" w:cs="Times New Roman"/>
                <w:color w:val="auto"/>
                <w:kern w:val="0"/>
                <w:sz w:val="24"/>
                <w:u w:val="none"/>
                <w:lang w:val="en-US" w:eastAsia="zh-CN"/>
              </w:rPr>
              <w:t>到2030年，钦州石化产业园将成为全国领先、世界一流的绿色高端石化产业基地，炼化一体化产能达到4000万吨/年，乙烯规模达到500万吨/年，芳烃规模达到500万吨/年，新增总投资893亿元，销售收入1370亿元，税收106亿元，利润76亿元。石化产业从临港核心区域逐步向县域园区延伸，辐射带动周边下游纺织服装、包装、涂料、建材等传统产业及高端装备、电子、制药等新兴产业发展。</w:t>
            </w:r>
          </w:p>
          <w:p w14:paraId="5C4D1B56">
            <w:pPr>
              <w:pStyle w:val="6"/>
              <w:spacing w:line="500" w:lineRule="exact"/>
              <w:ind w:firstLine="480"/>
              <w:rPr>
                <w:rFonts w:hint="default" w:ascii="Times New Roman" w:hAnsi="Times New Roman" w:eastAsia="宋体" w:cs="Times New Roman"/>
                <w:color w:val="auto"/>
                <w:kern w:val="0"/>
                <w:sz w:val="24"/>
                <w:u w:val="none"/>
                <w:lang w:val="en-US" w:eastAsia="zh-CN"/>
              </w:rPr>
            </w:pPr>
            <w:r>
              <w:rPr>
                <w:rFonts w:hint="default" w:ascii="Times New Roman" w:hAnsi="Times New Roman" w:cs="Times New Roman"/>
                <w:color w:val="auto"/>
                <w:kern w:val="0"/>
                <w:sz w:val="24"/>
                <w:u w:val="none"/>
              </w:rPr>
              <w:t>本项目为危险化学品仓储</w:t>
            </w:r>
            <w:r>
              <w:rPr>
                <w:rFonts w:hint="default" w:ascii="Times New Roman" w:hAnsi="Times New Roman" w:cs="Times New Roman"/>
                <w:color w:val="auto"/>
                <w:kern w:val="0"/>
                <w:sz w:val="24"/>
                <w:u w:val="none"/>
                <w:lang w:val="en-US" w:eastAsia="zh-CN"/>
              </w:rPr>
              <w:t>项目</w:t>
            </w:r>
            <w:r>
              <w:rPr>
                <w:rFonts w:hint="default" w:ascii="Times New Roman" w:hAnsi="Times New Roman" w:cs="Times New Roman"/>
                <w:color w:val="auto"/>
                <w:kern w:val="0"/>
                <w:sz w:val="24"/>
                <w:u w:val="none"/>
                <w:lang w:eastAsia="zh-CN"/>
              </w:rPr>
              <w:t>，</w:t>
            </w:r>
            <w:r>
              <w:rPr>
                <w:rFonts w:hint="default" w:ascii="Times New Roman" w:hAnsi="Times New Roman" w:cs="Times New Roman"/>
                <w:color w:val="auto"/>
                <w:kern w:val="0"/>
                <w:sz w:val="24"/>
                <w:u w:val="none"/>
                <w:lang w:val="en-US" w:eastAsia="zh-CN"/>
              </w:rPr>
              <w:t>项目位于《</w:t>
            </w:r>
            <w:r>
              <w:rPr>
                <w:rFonts w:hint="default" w:ascii="Times New Roman" w:hAnsi="Times New Roman" w:eastAsia="宋体" w:cs="Times New Roman"/>
                <w:color w:val="auto"/>
                <w:kern w:val="0"/>
                <w:sz w:val="24"/>
                <w:u w:val="none"/>
                <w:lang w:eastAsia="zh-CN"/>
              </w:rPr>
              <w:t>广西钦州石化产业园总体发展规划</w:t>
            </w:r>
            <w:r>
              <w:rPr>
                <w:rFonts w:hint="default" w:ascii="Times New Roman" w:hAnsi="Times New Roman" w:cs="Times New Roman"/>
                <w:color w:val="auto"/>
                <w:kern w:val="0"/>
                <w:sz w:val="24"/>
                <w:u w:val="none"/>
              </w:rPr>
              <w:t>（2020—2035年）</w:t>
            </w:r>
            <w:r>
              <w:rPr>
                <w:rFonts w:hint="default" w:ascii="Times New Roman" w:hAnsi="Times New Roman" w:cs="Times New Roman"/>
                <w:color w:val="auto"/>
                <w:kern w:val="0"/>
                <w:sz w:val="24"/>
                <w:u w:val="none"/>
                <w:lang w:val="en-US" w:eastAsia="zh-CN"/>
              </w:rPr>
              <w:t>》</w:t>
            </w:r>
            <w:r>
              <w:rPr>
                <w:rFonts w:hint="eastAsia" w:cs="Times New Roman"/>
                <w:color w:val="auto"/>
                <w:kern w:val="0"/>
                <w:sz w:val="24"/>
                <w:u w:val="none"/>
                <w:lang w:val="en-US" w:eastAsia="zh-CN"/>
              </w:rPr>
              <w:t>中金谷片区的金鼓江北作业区</w:t>
            </w:r>
            <w:r>
              <w:rPr>
                <w:rFonts w:hint="default" w:ascii="Times New Roman" w:hAnsi="Times New Roman" w:cs="Times New Roman"/>
                <w:color w:val="auto"/>
                <w:kern w:val="0"/>
                <w:sz w:val="24"/>
                <w:u w:val="none"/>
                <w:lang w:val="en-US" w:eastAsia="zh-CN"/>
              </w:rPr>
              <w:t>，为石化码头及物流仓储区，根据项目土地证（详见附件4），项目用地为工业用地，符合产业定位。</w:t>
            </w:r>
          </w:p>
          <w:p w14:paraId="6A5EE55C">
            <w:pPr>
              <w:pStyle w:val="6"/>
              <w:spacing w:line="500" w:lineRule="exact"/>
              <w:ind w:firstLine="480"/>
              <w:rPr>
                <w:rFonts w:hint="default" w:ascii="Times New Roman" w:hAnsi="Times New Roman" w:cs="Times New Roman"/>
                <w:color w:val="auto"/>
                <w:kern w:val="0"/>
                <w:sz w:val="24"/>
                <w:u w:val="none"/>
                <w:lang w:val="en-US" w:eastAsia="zh-CN"/>
              </w:rPr>
            </w:pPr>
            <w:r>
              <w:rPr>
                <w:rFonts w:hint="default" w:ascii="Times New Roman" w:hAnsi="Times New Roman" w:cs="Times New Roman"/>
                <w:color w:val="auto"/>
                <w:kern w:val="0"/>
                <w:sz w:val="24"/>
                <w:u w:val="none"/>
                <w:lang w:val="en-US" w:eastAsia="zh-CN"/>
              </w:rPr>
              <w:t>2、与规划环评相关要求及符合性分析</w:t>
            </w:r>
          </w:p>
          <w:p w14:paraId="70AA936C">
            <w:pPr>
              <w:pStyle w:val="6"/>
              <w:spacing w:line="500" w:lineRule="exact"/>
              <w:ind w:firstLine="480"/>
              <w:rPr>
                <w:rFonts w:hint="default" w:ascii="Times New Roman" w:hAnsi="Times New Roman" w:cs="Times New Roman"/>
                <w:color w:val="auto"/>
                <w:kern w:val="0"/>
                <w:sz w:val="24"/>
                <w:u w:val="none"/>
                <w:lang w:val="en-US" w:eastAsia="zh-CN"/>
              </w:rPr>
            </w:pPr>
            <w:r>
              <w:rPr>
                <w:rFonts w:hint="default" w:ascii="Times New Roman" w:hAnsi="Times New Roman" w:cs="Times New Roman"/>
                <w:color w:val="auto"/>
                <w:kern w:val="0"/>
                <w:sz w:val="24"/>
                <w:u w:val="none"/>
                <w:lang w:val="en-US" w:eastAsia="zh-CN"/>
              </w:rPr>
              <w:t>项目与规划环评环境准入相符性分析见表1-1。</w:t>
            </w:r>
          </w:p>
          <w:p w14:paraId="169B2E54">
            <w:pPr>
              <w:spacing w:line="500" w:lineRule="exact"/>
              <w:jc w:val="center"/>
              <w:rPr>
                <w:rFonts w:hint="default" w:ascii="Times New Roman" w:hAnsi="Times New Roman" w:eastAsia="宋体" w:cs="Times New Roman"/>
                <w:b/>
                <w:bCs/>
                <w:color w:val="auto"/>
                <w:kern w:val="0"/>
                <w:sz w:val="24"/>
                <w:u w:val="none"/>
              </w:rPr>
            </w:pPr>
            <w:r>
              <w:rPr>
                <w:rFonts w:hint="default" w:ascii="Times New Roman" w:hAnsi="Times New Roman" w:eastAsia="宋体" w:cs="Times New Roman"/>
                <w:b/>
                <w:bCs/>
                <w:color w:val="auto"/>
                <w:kern w:val="0"/>
                <w:sz w:val="24"/>
                <w:u w:val="none"/>
                <w:lang w:val="en-US" w:eastAsia="zh-CN"/>
              </w:rPr>
              <w:t>表1-1 生态</w:t>
            </w:r>
            <w:r>
              <w:rPr>
                <w:rFonts w:hint="default" w:ascii="Times New Roman" w:hAnsi="Times New Roman" w:eastAsia="宋体" w:cs="Times New Roman"/>
                <w:b/>
                <w:bCs/>
                <w:color w:val="auto"/>
                <w:kern w:val="0"/>
                <w:sz w:val="24"/>
                <w:u w:val="none"/>
              </w:rPr>
              <w:t>环境准入</w:t>
            </w:r>
            <w:r>
              <w:rPr>
                <w:rFonts w:hint="default" w:ascii="Times New Roman" w:hAnsi="Times New Roman" w:eastAsia="宋体" w:cs="Times New Roman"/>
                <w:b/>
                <w:bCs/>
                <w:color w:val="auto"/>
                <w:kern w:val="0"/>
                <w:sz w:val="24"/>
                <w:u w:val="none"/>
                <w:lang w:val="en-US" w:eastAsia="zh-CN"/>
              </w:rPr>
              <w:t>清单</w:t>
            </w:r>
            <w:r>
              <w:rPr>
                <w:rFonts w:hint="default" w:ascii="Times New Roman" w:hAnsi="Times New Roman" w:eastAsia="宋体" w:cs="Times New Roman"/>
                <w:b/>
                <w:bCs/>
                <w:color w:val="auto"/>
                <w:kern w:val="0"/>
                <w:sz w:val="24"/>
                <w:u w:val="none"/>
              </w:rPr>
              <w:t>符合性分析</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3619"/>
              <w:gridCol w:w="2529"/>
            </w:tblGrid>
            <w:tr w14:paraId="78C4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op w:val="single" w:color="auto" w:sz="4" w:space="0"/>
                    <w:left w:val="single" w:color="auto" w:sz="4" w:space="0"/>
                    <w:bottom w:val="single" w:color="auto" w:sz="4" w:space="0"/>
                    <w:right w:val="single" w:color="auto" w:sz="4" w:space="0"/>
                  </w:tcBorders>
                  <w:noWrap w:val="0"/>
                  <w:vAlign w:val="center"/>
                </w:tcPr>
                <w:p w14:paraId="3E99E64A">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 w:val="21"/>
                      <w:szCs w:val="21"/>
                      <w:u w:val="none"/>
                    </w:rPr>
                    <w:t>序号</w:t>
                  </w:r>
                </w:p>
              </w:tc>
              <w:tc>
                <w:tcPr>
                  <w:tcW w:w="3619" w:type="dxa"/>
                  <w:tcBorders>
                    <w:top w:val="single" w:color="auto" w:sz="4" w:space="0"/>
                    <w:left w:val="single" w:color="auto" w:sz="4" w:space="0"/>
                    <w:bottom w:val="single" w:color="auto" w:sz="4" w:space="0"/>
                    <w:right w:val="single" w:color="auto" w:sz="4" w:space="0"/>
                  </w:tcBorders>
                  <w:noWrap w:val="0"/>
                  <w:vAlign w:val="center"/>
                </w:tcPr>
                <w:p w14:paraId="3B81ECEA">
                  <w:pPr>
                    <w:adjustRightInd w:val="0"/>
                    <w:snapToGrid w:val="0"/>
                    <w:jc w:val="center"/>
                    <w:rPr>
                      <w:rFonts w:hint="default" w:ascii="Times New Roman" w:hAnsi="Times New Roman" w:eastAsia="宋体" w:cs="Times New Roman"/>
                      <w:color w:val="auto"/>
                      <w:szCs w:val="21"/>
                      <w:u w:val="none"/>
                      <w:lang w:val="en-US" w:eastAsia="zh-CN"/>
                    </w:rPr>
                  </w:pPr>
                  <w:r>
                    <w:rPr>
                      <w:rFonts w:hint="default" w:ascii="Times New Roman" w:hAnsi="Times New Roman" w:eastAsia="宋体" w:cs="Times New Roman"/>
                      <w:color w:val="auto"/>
                      <w:szCs w:val="21"/>
                      <w:u w:val="none"/>
                      <w:lang w:val="en-US" w:eastAsia="zh-CN"/>
                    </w:rPr>
                    <w:t>规划环评生态环境准入清单要求</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5F1A0915">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本项目情况分析</w:t>
                  </w:r>
                </w:p>
              </w:tc>
            </w:tr>
            <w:tr w14:paraId="1742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op w:val="single" w:color="auto" w:sz="4" w:space="0"/>
                    <w:left w:val="single" w:color="auto" w:sz="4" w:space="0"/>
                    <w:bottom w:val="single" w:color="auto" w:sz="4" w:space="0"/>
                    <w:right w:val="single" w:color="auto" w:sz="4" w:space="0"/>
                  </w:tcBorders>
                  <w:noWrap w:val="0"/>
                  <w:vAlign w:val="center"/>
                </w:tcPr>
                <w:p w14:paraId="75D6B711">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w:t>
                  </w:r>
                </w:p>
              </w:tc>
              <w:tc>
                <w:tcPr>
                  <w:tcW w:w="3619" w:type="dxa"/>
                  <w:tcBorders>
                    <w:top w:val="single" w:color="auto" w:sz="4" w:space="0"/>
                    <w:left w:val="single" w:color="auto" w:sz="4" w:space="0"/>
                    <w:bottom w:val="single" w:color="auto" w:sz="4" w:space="0"/>
                    <w:right w:val="single" w:color="auto" w:sz="4" w:space="0"/>
                  </w:tcBorders>
                  <w:noWrap w:val="0"/>
                  <w:vAlign w:val="center"/>
                </w:tcPr>
                <w:p w14:paraId="0EC24770">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建设项目应为石化产业园区产业链范围内的项目，选址应符合石化产业园区规划的功能分区。</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77E1AEFF">
                  <w:pPr>
                    <w:adjustRightInd w:val="0"/>
                    <w:snapToGrid w:val="0"/>
                    <w:jc w:val="left"/>
                    <w:rPr>
                      <w:rFonts w:hint="default" w:ascii="Times New Roman" w:hAnsi="Times New Roman" w:eastAsia="宋体" w:cs="Times New Roman"/>
                      <w:b w:val="0"/>
                      <w:bCs/>
                      <w:color w:val="auto"/>
                      <w:sz w:val="21"/>
                      <w:szCs w:val="21"/>
                      <w:u w:val="none"/>
                    </w:rPr>
                  </w:pPr>
                  <w:r>
                    <w:rPr>
                      <w:rFonts w:hint="default" w:ascii="Times New Roman" w:hAnsi="Times New Roman" w:eastAsia="宋体" w:cs="Times New Roman"/>
                      <w:b w:val="0"/>
                      <w:bCs/>
                      <w:color w:val="auto"/>
                      <w:sz w:val="21"/>
                      <w:szCs w:val="21"/>
                      <w:u w:val="none"/>
                    </w:rPr>
                    <w:t>符合。</w:t>
                  </w:r>
                </w:p>
                <w:p w14:paraId="6908AAA2">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kern w:val="0"/>
                      <w:szCs w:val="21"/>
                      <w:u w:val="none"/>
                    </w:rPr>
                    <w:t>项目</w:t>
                  </w:r>
                  <w:r>
                    <w:rPr>
                      <w:rFonts w:hint="default" w:ascii="Times New Roman" w:hAnsi="Times New Roman" w:eastAsia="宋体" w:cs="Times New Roman"/>
                      <w:kern w:val="0"/>
                      <w:szCs w:val="21"/>
                      <w:u w:val="none"/>
                      <w:lang w:eastAsia="zh-CN"/>
                    </w:rPr>
                    <w:t>位于石化码头及物流仓储区，</w:t>
                  </w:r>
                  <w:r>
                    <w:rPr>
                      <w:rFonts w:hint="default" w:ascii="Times New Roman" w:hAnsi="Times New Roman" w:eastAsia="宋体" w:cs="Times New Roman"/>
                      <w:kern w:val="0"/>
                      <w:szCs w:val="21"/>
                      <w:u w:val="none"/>
                      <w:lang w:val="en-US" w:eastAsia="zh-CN"/>
                    </w:rPr>
                    <w:t>规划用地为</w:t>
                  </w:r>
                  <w:r>
                    <w:rPr>
                      <w:rFonts w:hint="default" w:ascii="Times New Roman" w:hAnsi="Times New Roman" w:cs="Times New Roman"/>
                      <w:kern w:val="0"/>
                      <w:szCs w:val="21"/>
                      <w:u w:val="none"/>
                      <w:lang w:val="en-US" w:eastAsia="zh-CN"/>
                    </w:rPr>
                    <w:t>工业</w:t>
                  </w:r>
                  <w:r>
                    <w:rPr>
                      <w:rFonts w:hint="default" w:ascii="Times New Roman" w:hAnsi="Times New Roman" w:eastAsia="宋体" w:cs="Times New Roman"/>
                      <w:kern w:val="0"/>
                      <w:szCs w:val="21"/>
                      <w:u w:val="none"/>
                      <w:lang w:val="en-US" w:eastAsia="zh-CN"/>
                    </w:rPr>
                    <w:t>用地，项目属于危险化学品仓储，用地及功能区符合园区规划要求</w:t>
                  </w:r>
                  <w:r>
                    <w:rPr>
                      <w:rFonts w:hint="default" w:ascii="Times New Roman" w:hAnsi="Times New Roman" w:eastAsia="宋体" w:cs="Times New Roman"/>
                      <w:color w:val="auto"/>
                      <w:sz w:val="21"/>
                      <w:szCs w:val="21"/>
                      <w:u w:val="none"/>
                    </w:rPr>
                    <w:t>。</w:t>
                  </w:r>
                </w:p>
              </w:tc>
            </w:tr>
            <w:tr w14:paraId="5CAD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op w:val="single" w:color="auto" w:sz="4" w:space="0"/>
                    <w:left w:val="single" w:color="auto" w:sz="4" w:space="0"/>
                    <w:bottom w:val="single" w:color="auto" w:sz="4" w:space="0"/>
                    <w:right w:val="single" w:color="auto" w:sz="4" w:space="0"/>
                  </w:tcBorders>
                  <w:noWrap w:val="0"/>
                  <w:vAlign w:val="center"/>
                </w:tcPr>
                <w:p w14:paraId="70449A83">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w:t>
                  </w:r>
                </w:p>
              </w:tc>
              <w:tc>
                <w:tcPr>
                  <w:tcW w:w="3619" w:type="dxa"/>
                  <w:tcBorders>
                    <w:top w:val="single" w:color="auto" w:sz="4" w:space="0"/>
                    <w:left w:val="single" w:color="auto" w:sz="4" w:space="0"/>
                    <w:bottom w:val="single" w:color="auto" w:sz="4" w:space="0"/>
                    <w:right w:val="single" w:color="auto" w:sz="4" w:space="0"/>
                  </w:tcBorders>
                  <w:noWrap w:val="0"/>
                  <w:vAlign w:val="center"/>
                </w:tcPr>
                <w:p w14:paraId="0E18BB63">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建设项目污染防治和环境影响方面的准入要求。（1）引进的项目必须符合国家的产业政策，积极引进国家鼓励类项目，不得引进限制类和淘汰类项目；禁止建设不符合国家产业政策和准入条件、布局不合理、环境容量不足的项目（含新建、改建、扩建、</w:t>
                  </w:r>
                  <w:r>
                    <w:rPr>
                      <w:rFonts w:hint="default" w:ascii="Times New Roman" w:hAnsi="Times New Roman" w:cs="Times New Roman"/>
                      <w:color w:val="auto"/>
                      <w:sz w:val="21"/>
                      <w:szCs w:val="21"/>
                      <w:u w:val="none"/>
                      <w:lang w:eastAsia="zh-CN"/>
                    </w:rPr>
                    <w:t>易地搬迁</w:t>
                  </w:r>
                  <w:r>
                    <w:rPr>
                      <w:rFonts w:hint="default" w:ascii="Times New Roman" w:hAnsi="Times New Roman" w:eastAsia="宋体" w:cs="Times New Roman"/>
                      <w:color w:val="auto"/>
                      <w:sz w:val="21"/>
                      <w:szCs w:val="21"/>
                      <w:u w:val="none"/>
                    </w:rPr>
                    <w:t>、技术改造项目），严格控制可能对环境产生影响项目的建设，限制发展、淘汰技术落后、高能耗、高污染的项目。</w:t>
                  </w:r>
                </w:p>
                <w:p w14:paraId="7D810A86">
                  <w:pPr>
                    <w:adjustRightInd w:val="0"/>
                    <w:snapToGrid w:val="0"/>
                    <w:jc w:val="left"/>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2）园区实现集中供热，各企业不得自建供热锅炉（企业利用自产燃料气除外）；采用雨污分流制，雨水监控达标后通过雨水管网就近排入水体，各企业废水预处理后纳入园区污水处理厂处理，涵盖了工业区内大型企业、港口各作业区的污水处理，并配套中水回用系统</w:t>
                  </w:r>
                  <w:r>
                    <w:rPr>
                      <w:rFonts w:hint="default" w:ascii="Times New Roman" w:hAnsi="Times New Roman" w:eastAsia="宋体" w:cs="Times New Roman"/>
                      <w:color w:val="auto"/>
                      <w:sz w:val="21"/>
                      <w:szCs w:val="21"/>
                      <w:u w:val="none"/>
                      <w:lang w:eastAsia="zh-CN"/>
                    </w:rPr>
                    <w:t>。</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60206189">
                  <w:pPr>
                    <w:adjustRightInd w:val="0"/>
                    <w:snapToGrid w:val="0"/>
                    <w:jc w:val="left"/>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符合。</w:t>
                  </w:r>
                </w:p>
                <w:p w14:paraId="71E1C1D7">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项目符合国家的产业政策，符合石化产业园区规划要求，项目不属于</w:t>
                  </w:r>
                  <w:r>
                    <w:rPr>
                      <w:rFonts w:hint="default" w:ascii="Times New Roman" w:hAnsi="Times New Roman" w:eastAsia="宋体" w:cs="Times New Roman"/>
                      <w:color w:val="auto"/>
                      <w:sz w:val="21"/>
                      <w:szCs w:val="21"/>
                      <w:u w:val="none"/>
                    </w:rPr>
                    <w:t>限制发展、淘汰技术落后、高能耗、高污染的项目。</w:t>
                  </w:r>
                </w:p>
                <w:p w14:paraId="4D2528E0">
                  <w:pPr>
                    <w:widowControl/>
                    <w:jc w:val="left"/>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项目不涉及供热，不建设锅炉；项目采用雨污分流制，初期雨水经初期雨水收集池收集后排入</w:t>
                  </w:r>
                  <w:r>
                    <w:rPr>
                      <w:rFonts w:hint="eastAsia" w:cs="Times New Roman"/>
                      <w:color w:val="auto"/>
                      <w:sz w:val="21"/>
                      <w:szCs w:val="21"/>
                      <w:u w:val="none"/>
                      <w:lang w:val="en-US" w:eastAsia="zh-CN"/>
                    </w:rPr>
                    <w:t>钦州港工业污水集中处理厂</w:t>
                  </w:r>
                  <w:r>
                    <w:rPr>
                      <w:rFonts w:hint="default" w:ascii="Times New Roman" w:hAnsi="Times New Roman" w:eastAsia="宋体" w:cs="Times New Roman"/>
                      <w:color w:val="auto"/>
                      <w:sz w:val="21"/>
                      <w:szCs w:val="21"/>
                      <w:u w:val="none"/>
                      <w:lang w:val="en-US" w:eastAsia="zh-CN"/>
                    </w:rPr>
                    <w:t>处理，后期雨水排入金鼓江。</w:t>
                  </w:r>
                </w:p>
              </w:tc>
            </w:tr>
            <w:tr w14:paraId="4B47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op w:val="single" w:color="auto" w:sz="4" w:space="0"/>
                    <w:left w:val="single" w:color="auto" w:sz="4" w:space="0"/>
                    <w:bottom w:val="single" w:color="auto" w:sz="4" w:space="0"/>
                    <w:right w:val="single" w:color="auto" w:sz="4" w:space="0"/>
                  </w:tcBorders>
                  <w:noWrap w:val="0"/>
                  <w:vAlign w:val="center"/>
                </w:tcPr>
                <w:p w14:paraId="4929995F">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3</w:t>
                  </w:r>
                </w:p>
              </w:tc>
              <w:tc>
                <w:tcPr>
                  <w:tcW w:w="3619" w:type="dxa"/>
                  <w:tcBorders>
                    <w:top w:val="single" w:color="auto" w:sz="4" w:space="0"/>
                    <w:left w:val="single" w:color="auto" w:sz="4" w:space="0"/>
                    <w:bottom w:val="single" w:color="auto" w:sz="4" w:space="0"/>
                    <w:right w:val="single" w:color="auto" w:sz="4" w:space="0"/>
                  </w:tcBorders>
                  <w:noWrap w:val="0"/>
                  <w:vAlign w:val="center"/>
                </w:tcPr>
                <w:p w14:paraId="2353F377">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挥发性有机物（VOCs）的治理应纳入企业的环保措施。</w:t>
                  </w:r>
                </w:p>
                <w:p w14:paraId="3D0A0188">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（1）在石油炼制与石油化工行业，鼓励采用先进的清洁生产技术，提高原油的转化和利用效率。对于设备与管线组件、工艺排气、废气燃烧塔（火炬）、废水处理等过程产生的含VOCs废气污染防治技术措施包括：</w:t>
                  </w:r>
                </w:p>
                <w:p w14:paraId="004B5FFC">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①对泵、压缩机、阀门、法兰等易发生泄漏的设备与管线组件，制定泄漏检测与修复（LDAR）计划，定期检测、及时修复，防止或减少跑、冒、滴、漏现象；</w:t>
                  </w:r>
                </w:p>
                <w:p w14:paraId="5C9D67B5">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②对生产装置排放的含VOCs工艺排气宜优先回收利用，不能（或不能完全）回收利用的经处理后达标排放；应急情况下的泄放气可导入燃烧塔（火炬），经过充分燃烧后排放；</w:t>
                  </w:r>
                </w:p>
                <w:p w14:paraId="31DF56BD">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③废水收集和处理过程产生的含VOCs废气经收集处理后达标排放。</w:t>
                  </w:r>
                </w:p>
                <w:p w14:paraId="11BEB11A">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（2）在油类（燃油、溶剂）的储存、运输过程中的VOCs污染防治技术措施包括：</w:t>
                  </w:r>
                </w:p>
                <w:p w14:paraId="49E9D243">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①储油库、加油站和油罐车宜配备相应的油气收集系统，储油库、加油站宜配备相应的油气回收系统；</w:t>
                  </w:r>
                </w:p>
                <w:p w14:paraId="326DFC49">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②油类（燃油、溶剂等）储罐宜采用高效密封的内（外）浮顶罐，当采用固定顶罐时，通过密闭排气系统将含 VOCs气体输送至回收设备；</w:t>
                  </w:r>
                </w:p>
                <w:p w14:paraId="68A817C7">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③油类（燃油、溶剂等）运载工具（汽车油罐车、铁路油槽车、油轮等）在装载过程中排放的VOCs密闭收集输送至回收设备，也可返回储罐或送入气体管网。</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4940564E">
                  <w:pPr>
                    <w:widowControl/>
                    <w:jc w:val="left"/>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符合。</w:t>
                  </w:r>
                </w:p>
                <w:p w14:paraId="3F942B29">
                  <w:pPr>
                    <w:widowControl/>
                    <w:jc w:val="left"/>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本项目不属于工业生产类项目，项目贮存的液体不涉及易挥发性有机物。</w:t>
                  </w:r>
                </w:p>
              </w:tc>
            </w:tr>
            <w:tr w14:paraId="3F8F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op w:val="single" w:color="auto" w:sz="4" w:space="0"/>
                    <w:left w:val="single" w:color="auto" w:sz="4" w:space="0"/>
                    <w:bottom w:val="single" w:color="auto" w:sz="4" w:space="0"/>
                    <w:right w:val="single" w:color="auto" w:sz="4" w:space="0"/>
                  </w:tcBorders>
                  <w:noWrap w:val="0"/>
                  <w:vAlign w:val="center"/>
                </w:tcPr>
                <w:p w14:paraId="04805793">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w:t>
                  </w:r>
                </w:p>
              </w:tc>
              <w:tc>
                <w:tcPr>
                  <w:tcW w:w="3619" w:type="dxa"/>
                  <w:tcBorders>
                    <w:top w:val="single" w:color="auto" w:sz="4" w:space="0"/>
                    <w:left w:val="single" w:color="auto" w:sz="4" w:space="0"/>
                    <w:bottom w:val="single" w:color="auto" w:sz="4" w:space="0"/>
                    <w:right w:val="single" w:color="auto" w:sz="4" w:space="0"/>
                  </w:tcBorders>
                  <w:noWrap w:val="0"/>
                  <w:vAlign w:val="center"/>
                </w:tcPr>
                <w:p w14:paraId="0D8343E8">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其他方面的准入条件。</w:t>
                  </w:r>
                </w:p>
                <w:p w14:paraId="66E47C88">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按照《钦州港临海工业园区发展环境影响跟踪评价报告书》（北海市碧蓝海洋环境保护服务有限公司，2014年10月）的要求，要适当提高企业进入园区的门槛。进入园区的项目不仅要达到经济规模，采用工艺技术符合国家要求，而且还要求原料和产品对环境的友好性。入区必须进行环境影响评价和安全评价，并要求企业建立起切实可行的环境管理制度和清洁生产机制。入驻企业须强制通过清洁生产审计，必要的话入驻企业“三废”排放标准可参照国外先进水平严格要求。入驻企业投资强度应达到7000万元/ha，单位土地面积年工业增加值产出强度要达到15～18亿元/km</w:t>
                  </w:r>
                  <w:r>
                    <w:rPr>
                      <w:rFonts w:hint="default" w:ascii="Times New Roman" w:hAnsi="Times New Roman" w:eastAsia="宋体" w:cs="Times New Roman"/>
                      <w:color w:val="auto"/>
                      <w:sz w:val="21"/>
                      <w:szCs w:val="21"/>
                      <w:u w:val="none"/>
                      <w:vertAlign w:val="superscript"/>
                    </w:rPr>
                    <w:t>2</w:t>
                  </w:r>
                  <w:r>
                    <w:rPr>
                      <w:rFonts w:hint="default" w:ascii="Times New Roman" w:hAnsi="Times New Roman" w:eastAsia="宋体" w:cs="Times New Roman"/>
                      <w:color w:val="auto"/>
                      <w:sz w:val="21"/>
                      <w:szCs w:val="21"/>
                      <w:u w:val="none"/>
                    </w:rPr>
                    <w:t>。</w:t>
                  </w:r>
                </w:p>
                <w:p w14:paraId="1A84D5B5">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（2）工业技术的选择，要选择原料和能源消耗低、污染物排放少的工业技术，单位工业增加值的能耗、水耗和污染物排放量应达到同行业国际先进水平且必须低于地方制定的标准；</w:t>
                  </w:r>
                </w:p>
                <w:p w14:paraId="6D4C1AD5">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（3）企业污染物排放浓度达到国家或地方规定的排放标准和总量指标；</w:t>
                  </w:r>
                </w:p>
                <w:p w14:paraId="434CE9B8">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4）按照生态工业园区标准建设产业区，采用循环经济原则，将工业园内各企业的工业三废和有害排放物作为资源在企业间循环利用，变废为宝，化害为利。企业的清洁生产水平需达到国际先进水平，对于有助于循环经济“补链”的企业优先引进；</w:t>
                  </w:r>
                </w:p>
                <w:p w14:paraId="471E04FF">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5）所有入园企业都必须依法进行环境影响评价。该规划中所包含的近期（一般为五年内）建设项目，对轻污染项目，经请示环境主管部门的同意后，可以对大气环境、水环境、生态环境现状和评价专题内容可以适当简化。</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2302FA7E">
                  <w:pPr>
                    <w:widowControl/>
                    <w:jc w:val="left"/>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符合。项目为危险化学品仓储项目，不属于</w:t>
                  </w:r>
                  <w:r>
                    <w:rPr>
                      <w:rFonts w:hint="default" w:ascii="Times New Roman" w:hAnsi="Times New Roman" w:cs="Times New Roman"/>
                      <w:kern w:val="0"/>
                      <w:sz w:val="21"/>
                      <w:szCs w:val="21"/>
                      <w:u w:val="none"/>
                    </w:rPr>
                    <w:t>工业生产类项目</w:t>
                  </w:r>
                  <w:r>
                    <w:rPr>
                      <w:rFonts w:hint="default" w:ascii="Times New Roman" w:hAnsi="Times New Roman" w:eastAsia="宋体" w:cs="Times New Roman"/>
                      <w:color w:val="auto"/>
                      <w:sz w:val="21"/>
                      <w:szCs w:val="21"/>
                      <w:u w:val="none"/>
                      <w:lang w:val="en-US" w:eastAsia="zh-CN"/>
                    </w:rPr>
                    <w:t>。项目运行过程中消耗少量的水资源和电源。项目废气、废水、噪声污染物达标排放，固体废物合理处置。</w:t>
                  </w:r>
                </w:p>
              </w:tc>
            </w:tr>
            <w:tr w14:paraId="7B32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7" w:type="dxa"/>
                  <w:gridSpan w:val="3"/>
                  <w:tcBorders>
                    <w:top w:val="single" w:color="auto" w:sz="4" w:space="0"/>
                    <w:left w:val="single" w:color="auto" w:sz="4" w:space="0"/>
                    <w:bottom w:val="single" w:color="auto" w:sz="4" w:space="0"/>
                    <w:right w:val="single" w:color="auto" w:sz="4" w:space="0"/>
                  </w:tcBorders>
                  <w:noWrap w:val="0"/>
                  <w:vAlign w:val="center"/>
                </w:tcPr>
                <w:p w14:paraId="06807576">
                  <w:pPr>
                    <w:widowControl/>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Cs w:val="21"/>
                      <w:u w:val="none"/>
                      <w:lang w:val="en-US" w:eastAsia="zh-CN"/>
                    </w:rPr>
                    <w:t>规划环评入园区内项目负面清单</w:t>
                  </w:r>
                </w:p>
              </w:tc>
            </w:tr>
            <w:tr w14:paraId="1859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op w:val="single" w:color="auto" w:sz="4" w:space="0"/>
                    <w:left w:val="single" w:color="auto" w:sz="4" w:space="0"/>
                    <w:bottom w:val="single" w:color="auto" w:sz="4" w:space="0"/>
                    <w:right w:val="single" w:color="auto" w:sz="4" w:space="0"/>
                  </w:tcBorders>
                  <w:noWrap w:val="0"/>
                  <w:vAlign w:val="center"/>
                </w:tcPr>
                <w:p w14:paraId="3E22D2CB">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w:t>
                  </w:r>
                </w:p>
              </w:tc>
              <w:tc>
                <w:tcPr>
                  <w:tcW w:w="3619" w:type="dxa"/>
                  <w:tcBorders>
                    <w:top w:val="single" w:color="auto" w:sz="4" w:space="0"/>
                    <w:left w:val="single" w:color="auto" w:sz="4" w:space="0"/>
                    <w:bottom w:val="single" w:color="auto" w:sz="4" w:space="0"/>
                    <w:right w:val="single" w:color="auto" w:sz="4" w:space="0"/>
                  </w:tcBorders>
                  <w:noWrap w:val="0"/>
                  <w:vAlign w:val="center"/>
                </w:tcPr>
                <w:p w14:paraId="69DA8C8E">
                  <w:pPr>
                    <w:adjustRightInd w:val="0"/>
                    <w:snapToGrid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《市场准入负面清单（2019年版）》</w:t>
                  </w:r>
                  <w:r>
                    <w:rPr>
                      <w:rFonts w:hint="default" w:ascii="Times New Roman" w:hAnsi="Times New Roman" w:eastAsia="宋体" w:cs="Times New Roman"/>
                      <w:color w:val="auto"/>
                      <w:sz w:val="21"/>
                      <w:szCs w:val="21"/>
                      <w:lang w:eastAsia="zh-CN"/>
                    </w:rPr>
                    <w:t>；</w:t>
                  </w:r>
                </w:p>
                <w:p w14:paraId="676EB64E">
                  <w:pPr>
                    <w:adjustRightInd w:val="0"/>
                    <w:snapToGrid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不符合园区的产业定位和产业发展规划的项目</w:t>
                  </w:r>
                  <w:r>
                    <w:rPr>
                      <w:rFonts w:hint="default" w:ascii="Times New Roman" w:hAnsi="Times New Roman" w:eastAsia="宋体" w:cs="Times New Roman"/>
                      <w:color w:val="auto"/>
                      <w:sz w:val="21"/>
                      <w:szCs w:val="21"/>
                      <w:lang w:eastAsia="zh-CN"/>
                    </w:rPr>
                    <w:t>；</w:t>
                  </w:r>
                </w:p>
                <w:p w14:paraId="56745829">
                  <w:pPr>
                    <w:adjustRightInd w:val="0"/>
                    <w:snapToGrid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《产业结构调整指导目录（2019年本）》限制、淘汰类项目</w:t>
                  </w:r>
                  <w:r>
                    <w:rPr>
                      <w:rFonts w:hint="default" w:ascii="Times New Roman" w:hAnsi="Times New Roman" w:eastAsia="宋体" w:cs="Times New Roman"/>
                      <w:color w:val="auto"/>
                      <w:sz w:val="21"/>
                      <w:szCs w:val="21"/>
                      <w:lang w:eastAsia="zh-CN"/>
                    </w:rPr>
                    <w:t>；</w:t>
                  </w:r>
                </w:p>
                <w:p w14:paraId="07A2430B">
                  <w:pPr>
                    <w:adjustRightInd w:val="0"/>
                    <w:snapToGrid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不符合地方产业指导名录规定的项目</w:t>
                  </w:r>
                  <w:r>
                    <w:rPr>
                      <w:rFonts w:hint="default" w:ascii="Times New Roman" w:hAnsi="Times New Roman" w:eastAsia="宋体" w:cs="Times New Roman"/>
                      <w:color w:val="auto"/>
                      <w:sz w:val="21"/>
                      <w:szCs w:val="21"/>
                      <w:lang w:eastAsia="zh-CN"/>
                    </w:rPr>
                    <w:t>；</w:t>
                  </w:r>
                </w:p>
                <w:p w14:paraId="2EA42C51">
                  <w:pPr>
                    <w:adjustRightInd w:val="0"/>
                    <w:snapToGrid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工艺技术落后，不符合广西、钦州产业发展方向，不符合行业准入条件和有关规定，不利于地方产业结构优化升级，需要督促改造和禁止新建的装备及产品</w:t>
                  </w:r>
                  <w:r>
                    <w:rPr>
                      <w:rFonts w:hint="default" w:ascii="Times New Roman" w:hAnsi="Times New Roman" w:eastAsia="宋体" w:cs="Times New Roman"/>
                      <w:color w:val="auto"/>
                      <w:sz w:val="21"/>
                      <w:szCs w:val="21"/>
                      <w:lang w:eastAsia="zh-CN"/>
                    </w:rPr>
                    <w:t>；</w:t>
                  </w:r>
                </w:p>
                <w:p w14:paraId="0BC4F145">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不符合国家、地方有关法律法规规定，严重浪费资源、污染环境、不具备安全生产条件，需要淘汰的落后工艺技术、装备及产品</w:t>
                  </w:r>
                  <w:r>
                    <w:rPr>
                      <w:rFonts w:hint="default" w:ascii="Times New Roman" w:hAnsi="Times New Roman" w:eastAsia="宋体" w:cs="Times New Roman"/>
                      <w:color w:val="auto"/>
                      <w:sz w:val="21"/>
                      <w:szCs w:val="21"/>
                      <w:lang w:eastAsia="zh-CN"/>
                    </w:rPr>
                    <w:t>。</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275ACDCB">
                  <w:pPr>
                    <w:widowControl/>
                    <w:jc w:val="left"/>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符合。</w:t>
                  </w:r>
                </w:p>
                <w:p w14:paraId="7DF211BA">
                  <w:pPr>
                    <w:widowControl/>
                    <w:jc w:val="left"/>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项目不属于</w:t>
                  </w:r>
                  <w:r>
                    <w:rPr>
                      <w:rFonts w:hint="default" w:ascii="Times New Roman" w:hAnsi="Times New Roman" w:eastAsia="宋体" w:cs="Times New Roman"/>
                      <w:color w:val="auto"/>
                      <w:sz w:val="21"/>
                      <w:szCs w:val="21"/>
                    </w:rPr>
                    <w:t>《市场准入负面清单（20</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年版）》</w:t>
                  </w:r>
                  <w:r>
                    <w:rPr>
                      <w:rFonts w:hint="default" w:ascii="Times New Roman" w:hAnsi="Times New Roman" w:eastAsia="宋体" w:cs="Times New Roman"/>
                      <w:color w:val="auto"/>
                      <w:sz w:val="21"/>
                      <w:szCs w:val="21"/>
                      <w:lang w:val="en-US" w:eastAsia="zh-CN"/>
                    </w:rPr>
                    <w:t>中禁止准入类项目；不属于《产业结构调整指导目录（2024年本）》中限制、淘汰类项目；项目符合国家、地方产业政策及有关法律法规。</w:t>
                  </w:r>
                </w:p>
              </w:tc>
            </w:tr>
          </w:tbl>
          <w:p w14:paraId="35BCF032">
            <w:pPr>
              <w:pStyle w:val="6"/>
              <w:spacing w:line="500" w:lineRule="exact"/>
              <w:ind w:firstLine="480"/>
              <w:rPr>
                <w:rFonts w:hint="default"/>
                <w:color w:val="auto"/>
                <w:kern w:val="0"/>
                <w:sz w:val="24"/>
                <w:u w:val="none"/>
                <w:lang w:val="en-US" w:eastAsia="zh-CN"/>
              </w:rPr>
            </w:pPr>
            <w:r>
              <w:rPr>
                <w:rFonts w:hint="eastAsia"/>
                <w:color w:val="auto"/>
                <w:kern w:val="0"/>
                <w:sz w:val="24"/>
                <w:u w:val="none"/>
                <w:lang w:val="en-US" w:eastAsia="zh-CN"/>
              </w:rPr>
              <w:t>3、审查意见相关要求及相符性分析</w:t>
            </w:r>
          </w:p>
          <w:p w14:paraId="21FA15C3">
            <w:pPr>
              <w:pStyle w:val="6"/>
              <w:spacing w:line="500" w:lineRule="exact"/>
              <w:ind w:firstLine="480"/>
              <w:rPr>
                <w:rFonts w:hint="eastAsia"/>
                <w:color w:val="auto"/>
                <w:kern w:val="0"/>
                <w:sz w:val="24"/>
                <w:u w:val="none"/>
                <w:lang w:val="en-US" w:eastAsia="zh-CN"/>
              </w:rPr>
            </w:pPr>
            <w:r>
              <w:rPr>
                <w:rFonts w:hint="eastAsia"/>
                <w:color w:val="auto"/>
                <w:kern w:val="0"/>
                <w:sz w:val="24"/>
                <w:u w:val="none"/>
                <w:lang w:val="en-US" w:eastAsia="zh-CN"/>
              </w:rPr>
              <w:t>⑴对近期建设项目环评的意见</w:t>
            </w:r>
          </w:p>
          <w:p w14:paraId="317F599C">
            <w:pPr>
              <w:pStyle w:val="6"/>
              <w:spacing w:line="500" w:lineRule="exact"/>
              <w:ind w:firstLine="480"/>
              <w:rPr>
                <w:rFonts w:hint="eastAsia"/>
                <w:color w:val="auto"/>
                <w:kern w:val="0"/>
                <w:sz w:val="24"/>
                <w:u w:val="none"/>
                <w:lang w:val="en-US" w:eastAsia="zh-CN"/>
              </w:rPr>
            </w:pPr>
            <w:r>
              <w:rPr>
                <w:rFonts w:hint="eastAsia"/>
                <w:color w:val="auto"/>
                <w:kern w:val="0"/>
                <w:sz w:val="24"/>
                <w:u w:val="none"/>
                <w:lang w:val="en-US" w:eastAsia="zh-CN"/>
              </w:rPr>
              <w:t>《规划》所包含的近期建设项目在开展环境影响评价时，应落实《规划》环评提出的各项要求，重点开展工程分析、海域排污论证、化学品输送及仓储、危险废物处理处置、环境风险评价和环保措施的可行性论证，重点关注控制挥发性有机物排放的环保措施、应急体系建设等内容，强化以新带老、危险化学品输送及仓储污染防治、环境风险防范及应急设施建设等措施的落实。规划协调性分析及环境现状调查内容可适当简化。</w:t>
            </w:r>
          </w:p>
          <w:p w14:paraId="7257BB51">
            <w:pPr>
              <w:pStyle w:val="6"/>
              <w:spacing w:line="500" w:lineRule="exact"/>
              <w:ind w:firstLine="480"/>
              <w:rPr>
                <w:rFonts w:hint="eastAsia"/>
                <w:color w:val="auto"/>
                <w:kern w:val="0"/>
                <w:sz w:val="24"/>
                <w:u w:val="none"/>
                <w:lang w:val="en-US" w:eastAsia="zh-CN"/>
              </w:rPr>
            </w:pPr>
            <w:r>
              <w:rPr>
                <w:rFonts w:hint="eastAsia"/>
                <w:color w:val="auto"/>
                <w:kern w:val="0"/>
                <w:sz w:val="24"/>
                <w:u w:val="none"/>
                <w:lang w:val="en-US" w:eastAsia="zh-CN"/>
              </w:rPr>
              <w:t>⑵与审查意见符合性分析</w:t>
            </w:r>
          </w:p>
          <w:p w14:paraId="0D3D901F">
            <w:pPr>
              <w:pStyle w:val="6"/>
              <w:spacing w:line="500" w:lineRule="exact"/>
              <w:ind w:firstLine="480"/>
              <w:rPr>
                <w:rFonts w:hint="eastAsia"/>
                <w:color w:val="auto"/>
                <w:kern w:val="0"/>
                <w:sz w:val="24"/>
                <w:u w:val="none"/>
                <w:lang w:val="en-US" w:eastAsia="zh-CN"/>
              </w:rPr>
            </w:pPr>
            <w:r>
              <w:rPr>
                <w:rFonts w:hint="eastAsia"/>
                <w:color w:val="auto"/>
                <w:kern w:val="0"/>
                <w:sz w:val="24"/>
                <w:u w:val="none"/>
                <w:lang w:val="en-US" w:eastAsia="zh-CN"/>
              </w:rPr>
              <w:t>项目环评详细深入论证项目工程分析、核定污染物排放量，着重分析了风险防范措施及与园区的衔接性，项目的建设对周边大气、水、声、土壤环境影响在可接受范围。</w:t>
            </w:r>
          </w:p>
          <w:p w14:paraId="0D58AAD1">
            <w:pPr>
              <w:pStyle w:val="6"/>
              <w:spacing w:line="500" w:lineRule="exact"/>
              <w:ind w:firstLine="480"/>
              <w:rPr>
                <w:rFonts w:hint="eastAsia" w:ascii="Times New Roman" w:hAnsi="Times New Roman" w:eastAsia="宋体" w:cs="Times New Roman"/>
                <w:color w:val="auto"/>
                <w:kern w:val="0"/>
                <w:sz w:val="24"/>
                <w:u w:val="none"/>
                <w:lang w:val="en-US" w:eastAsia="zh-CN"/>
              </w:rPr>
            </w:pPr>
            <w:r>
              <w:rPr>
                <w:rFonts w:hint="eastAsia"/>
                <w:color w:val="auto"/>
                <w:kern w:val="0"/>
                <w:sz w:val="24"/>
                <w:u w:val="none"/>
                <w:lang w:val="en-US" w:eastAsia="zh-CN"/>
              </w:rPr>
              <w:t>因此，项目符合规划环评审查意见的要求。</w:t>
            </w:r>
          </w:p>
        </w:tc>
      </w:tr>
      <w:tr w14:paraId="721D0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7" w:type="dxa"/>
            <w:noWrap w:val="0"/>
            <w:vAlign w:val="center"/>
          </w:tcPr>
          <w:p w14:paraId="6B91DEE7">
            <w:pPr>
              <w:autoSpaceDE w:val="0"/>
              <w:autoSpaceDN w:val="0"/>
              <w:adjustRightInd w:val="0"/>
              <w:snapToGrid w:val="0"/>
              <w:jc w:val="center"/>
              <w:rPr>
                <w:kern w:val="0"/>
                <w:szCs w:val="21"/>
              </w:rPr>
            </w:pPr>
            <w:r>
              <w:rPr>
                <w:kern w:val="0"/>
                <w:szCs w:val="21"/>
              </w:rPr>
              <w:t>其他符合性分析</w:t>
            </w:r>
          </w:p>
        </w:tc>
        <w:tc>
          <w:tcPr>
            <w:tcW w:w="7013" w:type="dxa"/>
            <w:gridSpan w:val="3"/>
            <w:noWrap w:val="0"/>
            <w:vAlign w:val="center"/>
          </w:tcPr>
          <w:p w14:paraId="08548B4E">
            <w:pPr>
              <w:pStyle w:val="6"/>
              <w:spacing w:line="500" w:lineRule="exact"/>
              <w:ind w:firstLine="480"/>
              <w:rPr>
                <w:rFonts w:hint="eastAsia"/>
                <w:kern w:val="0"/>
                <w:sz w:val="24"/>
              </w:rPr>
            </w:pPr>
            <w:r>
              <w:rPr>
                <w:rFonts w:hint="eastAsia"/>
                <w:kern w:val="0"/>
                <w:sz w:val="24"/>
              </w:rPr>
              <w:t>1、选址合理性分析</w:t>
            </w:r>
          </w:p>
          <w:p w14:paraId="7C839E1C">
            <w:pPr>
              <w:pStyle w:val="6"/>
              <w:spacing w:line="500" w:lineRule="exact"/>
              <w:ind w:firstLine="480"/>
              <w:rPr>
                <w:rFonts w:hint="eastAsia"/>
                <w:color w:val="0000FF"/>
                <w:kern w:val="0"/>
                <w:sz w:val="24"/>
              </w:rPr>
            </w:pPr>
            <w:r>
              <w:rPr>
                <w:rFonts w:hint="eastAsia"/>
                <w:kern w:val="0"/>
                <w:sz w:val="24"/>
              </w:rPr>
              <w:t>项目位于</w:t>
            </w:r>
            <w:r>
              <w:rPr>
                <w:rFonts w:hint="eastAsia"/>
                <w:kern w:val="0"/>
                <w:sz w:val="24"/>
                <w:lang w:eastAsia="zh-CN"/>
              </w:rPr>
              <w:t>钦州市中国（广西）自由贸易试验区钦州港片区金鼓江西岸</w:t>
            </w:r>
            <w:r>
              <w:rPr>
                <w:rFonts w:hint="eastAsia"/>
                <w:color w:val="auto"/>
                <w:kern w:val="0"/>
                <w:sz w:val="24"/>
              </w:rPr>
              <w:t>，根据</w:t>
            </w:r>
            <w:r>
              <w:rPr>
                <w:rFonts w:hint="eastAsia"/>
                <w:color w:val="auto"/>
                <w:kern w:val="0"/>
                <w:sz w:val="24"/>
                <w:lang w:val="en-US" w:eastAsia="zh-CN"/>
              </w:rPr>
              <w:t>项目地块土地证（桂〔2022〕钦州市不动产权第0063493号）详见附件4，项目用地为工业用地</w:t>
            </w:r>
            <w:r>
              <w:rPr>
                <w:rFonts w:hint="eastAsia"/>
                <w:color w:val="auto"/>
                <w:kern w:val="0"/>
                <w:sz w:val="24"/>
              </w:rPr>
              <w:t>。</w:t>
            </w:r>
          </w:p>
          <w:p w14:paraId="057053CA">
            <w:pPr>
              <w:pStyle w:val="6"/>
              <w:spacing w:line="500" w:lineRule="exact"/>
              <w:ind w:firstLine="480"/>
              <w:rPr>
                <w:rFonts w:hint="eastAsia" w:ascii="Times New Roman" w:hAnsi="Times New Roman" w:eastAsia="宋体" w:cs="Times New Roman"/>
                <w:color w:val="auto"/>
                <w:kern w:val="0"/>
                <w:sz w:val="24"/>
                <w:u w:val="none"/>
              </w:rPr>
            </w:pPr>
            <w:r>
              <w:rPr>
                <w:rFonts w:hint="eastAsia"/>
                <w:color w:val="auto"/>
                <w:sz w:val="24"/>
                <w:szCs w:val="24"/>
                <w:u w:val="none"/>
                <w:lang w:val="en-US" w:eastAsia="zh-CN"/>
              </w:rPr>
              <w:t>根</w:t>
            </w:r>
            <w:r>
              <w:rPr>
                <w:rFonts w:hint="eastAsia" w:ascii="Times New Roman" w:hAnsi="Times New Roman" w:eastAsia="宋体" w:cs="Times New Roman"/>
                <w:color w:val="auto"/>
                <w:kern w:val="0"/>
                <w:sz w:val="24"/>
                <w:u w:val="none"/>
              </w:rPr>
              <w:t>据《广西钦州石化产业园总体发展规划（2020—2035年）》，本项目</w:t>
            </w:r>
            <w:r>
              <w:rPr>
                <w:rFonts w:hint="eastAsia" w:cs="Times New Roman"/>
                <w:color w:val="auto"/>
                <w:kern w:val="0"/>
                <w:sz w:val="24"/>
                <w:u w:val="none"/>
                <w:lang w:val="en-US" w:eastAsia="zh-CN"/>
              </w:rPr>
              <w:t>位于石化码头及物流仓储区</w:t>
            </w:r>
            <w:r>
              <w:rPr>
                <w:rFonts w:hint="eastAsia" w:ascii="Times New Roman" w:hAnsi="Times New Roman" w:eastAsia="宋体" w:cs="Times New Roman"/>
                <w:color w:val="auto"/>
                <w:kern w:val="0"/>
                <w:sz w:val="24"/>
                <w:u w:val="none"/>
              </w:rPr>
              <w:t>，符合</w:t>
            </w:r>
            <w:r>
              <w:rPr>
                <w:rFonts w:hint="eastAsia" w:cs="Times New Roman"/>
                <w:color w:val="auto"/>
                <w:kern w:val="0"/>
                <w:sz w:val="24"/>
                <w:u w:val="none"/>
                <w:lang w:val="en-US" w:eastAsia="zh-CN"/>
              </w:rPr>
              <w:t>园区产业规划</w:t>
            </w:r>
            <w:r>
              <w:rPr>
                <w:rFonts w:hint="eastAsia" w:ascii="Times New Roman" w:hAnsi="Times New Roman" w:eastAsia="宋体" w:cs="Times New Roman"/>
                <w:color w:val="auto"/>
                <w:kern w:val="0"/>
                <w:sz w:val="24"/>
                <w:u w:val="none"/>
              </w:rPr>
              <w:t>。项目所在区域具备良好的基础建设条件，水源、电力等生产要素供应能满足项目运营要求。</w:t>
            </w:r>
          </w:p>
          <w:p w14:paraId="1B94DAD7">
            <w:pPr>
              <w:pStyle w:val="6"/>
              <w:spacing w:line="500" w:lineRule="exact"/>
              <w:ind w:firstLine="480"/>
              <w:rPr>
                <w:rFonts w:hint="eastAsia"/>
                <w:color w:val="auto"/>
                <w:kern w:val="0"/>
                <w:sz w:val="24"/>
                <w:u w:val="none"/>
              </w:rPr>
            </w:pPr>
            <w:r>
              <w:rPr>
                <w:rFonts w:hint="eastAsia"/>
                <w:color w:val="auto"/>
                <w:kern w:val="0"/>
                <w:sz w:val="24"/>
                <w:u w:val="none"/>
              </w:rPr>
              <w:t>项目不涉及风景名胜区、自然保护区、饮用水源保护区</w:t>
            </w:r>
            <w:r>
              <w:rPr>
                <w:rFonts w:hint="eastAsia"/>
                <w:color w:val="auto"/>
                <w:kern w:val="0"/>
                <w:sz w:val="24"/>
                <w:u w:val="none"/>
                <w:lang w:val="en-US" w:eastAsia="zh-CN"/>
              </w:rPr>
              <w:t>等环境敏感区</w:t>
            </w:r>
            <w:r>
              <w:rPr>
                <w:rFonts w:hint="eastAsia"/>
                <w:color w:val="auto"/>
                <w:kern w:val="0"/>
                <w:sz w:val="24"/>
                <w:u w:val="none"/>
              </w:rPr>
              <w:t>。项目不占用基本农田，不违反《自然资源要素支撑产业高质量发展指导目录（2024年本）》，项目用地符合国家土地政策、用地政策。</w:t>
            </w:r>
            <w:r>
              <w:rPr>
                <w:rFonts w:hint="eastAsia"/>
                <w:color w:val="auto"/>
                <w:kern w:val="0"/>
                <w:sz w:val="24"/>
                <w:u w:val="none"/>
                <w:lang w:val="en-US" w:eastAsia="zh-CN"/>
              </w:rPr>
              <w:t>根据《中国（广西）自由贸易试验区钦州港片区自然资源和建设局关于志得化学品仓储物流项目的选址意见》，详见附件3，中国（广西）自由贸易试验区钦州港片区自然资源和建设局同意本项目的选址。</w:t>
            </w:r>
            <w:r>
              <w:rPr>
                <w:rFonts w:hint="eastAsia"/>
                <w:color w:val="auto"/>
                <w:kern w:val="0"/>
                <w:sz w:val="24"/>
                <w:u w:val="none"/>
              </w:rPr>
              <w:t>项目在施工期和运营期认真落实本环评提出的生态环境保护措施后，生态环境影响可接受，因此，从生态环境保护角度分析，项目选址可行。</w:t>
            </w:r>
          </w:p>
          <w:p w14:paraId="714AEC49">
            <w:pPr>
              <w:pStyle w:val="6"/>
              <w:spacing w:line="500" w:lineRule="exact"/>
              <w:ind w:firstLine="480"/>
              <w:rPr>
                <w:rFonts w:hint="eastAsia"/>
                <w:kern w:val="0"/>
                <w:sz w:val="24"/>
              </w:rPr>
            </w:pPr>
            <w:r>
              <w:rPr>
                <w:rFonts w:hint="eastAsia"/>
                <w:kern w:val="0"/>
                <w:sz w:val="24"/>
              </w:rPr>
              <w:t>2、产业政策符合性分析</w:t>
            </w:r>
          </w:p>
          <w:p w14:paraId="62FA0539">
            <w:pPr>
              <w:pStyle w:val="6"/>
              <w:spacing w:line="500" w:lineRule="exact"/>
              <w:ind w:firstLine="480"/>
              <w:rPr>
                <w:rFonts w:hint="eastAsia"/>
                <w:kern w:val="0"/>
                <w:sz w:val="24"/>
                <w:u w:val="none"/>
              </w:rPr>
            </w:pPr>
            <w:r>
              <w:rPr>
                <w:rFonts w:hint="eastAsia"/>
                <w:kern w:val="0"/>
                <w:sz w:val="24"/>
                <w:u w:val="none"/>
              </w:rPr>
              <w:t>根据《产业结构调整指导目录（2</w:t>
            </w:r>
            <w:r>
              <w:rPr>
                <w:rFonts w:hint="eastAsia"/>
                <w:kern w:val="0"/>
                <w:sz w:val="24"/>
                <w:u w:val="none"/>
                <w:lang w:val="en-US" w:eastAsia="zh-CN"/>
              </w:rPr>
              <w:t>024</w:t>
            </w:r>
            <w:r>
              <w:rPr>
                <w:rFonts w:hint="eastAsia"/>
                <w:kern w:val="0"/>
                <w:sz w:val="24"/>
                <w:u w:val="none"/>
              </w:rPr>
              <w:t>年本）》，本项目不属于鼓励、限制、淘汰类项目</w:t>
            </w:r>
            <w:r>
              <w:rPr>
                <w:rFonts w:hint="eastAsia"/>
                <w:kern w:val="0"/>
                <w:sz w:val="24"/>
                <w:u w:val="none"/>
                <w:lang w:eastAsia="zh-CN"/>
              </w:rPr>
              <w:t>，根据国务院《促进产业结构结构调整暂行规定》（国发〔2005〕40号），不属于鼓励类、限制类和淘汰类，且符合国家相关法律法规、政策规定的，为允许类。</w:t>
            </w:r>
            <w:r>
              <w:rPr>
                <w:rFonts w:hint="eastAsia"/>
                <w:kern w:val="0"/>
                <w:sz w:val="24"/>
                <w:u w:val="none"/>
              </w:rPr>
              <w:t>不属于《西部地区鼓励类产业目录》中鼓励类项目；本项目为</w:t>
            </w:r>
            <w:r>
              <w:rPr>
                <w:rFonts w:hint="eastAsia"/>
                <w:kern w:val="0"/>
                <w:sz w:val="24"/>
                <w:u w:val="none"/>
                <w:lang w:val="en-US" w:eastAsia="zh-CN"/>
              </w:rPr>
              <w:t>危险化学品仓储项目</w:t>
            </w:r>
            <w:r>
              <w:rPr>
                <w:rFonts w:hint="eastAsia"/>
                <w:kern w:val="0"/>
                <w:sz w:val="24"/>
                <w:u w:val="none"/>
              </w:rPr>
              <w:t>，</w:t>
            </w:r>
            <w:r>
              <w:rPr>
                <w:rFonts w:hint="eastAsia"/>
                <w:kern w:val="0"/>
                <w:sz w:val="24"/>
                <w:u w:val="none"/>
                <w:lang w:val="en-US" w:eastAsia="zh-CN"/>
              </w:rPr>
              <w:t>不属于</w:t>
            </w:r>
            <w:r>
              <w:rPr>
                <w:rFonts w:hint="eastAsia"/>
                <w:kern w:val="0"/>
                <w:sz w:val="24"/>
                <w:u w:val="none"/>
              </w:rPr>
              <w:t>《北钦防一体化产业协同发展负面清单（</w:t>
            </w:r>
            <w:r>
              <w:rPr>
                <w:rFonts w:hint="eastAsia"/>
                <w:kern w:val="0"/>
                <w:sz w:val="24"/>
                <w:u w:val="none"/>
                <w:lang w:val="en-US" w:eastAsia="zh-CN"/>
              </w:rPr>
              <w:t>工业类</w:t>
            </w:r>
            <w:r>
              <w:rPr>
                <w:rFonts w:hint="eastAsia"/>
                <w:kern w:val="0"/>
                <w:sz w:val="24"/>
                <w:u w:val="none"/>
              </w:rPr>
              <w:t>2021年本）》</w:t>
            </w:r>
            <w:r>
              <w:rPr>
                <w:rFonts w:hint="eastAsia"/>
                <w:kern w:val="0"/>
                <w:sz w:val="24"/>
                <w:u w:val="none"/>
                <w:lang w:val="en-US" w:eastAsia="zh-CN"/>
              </w:rPr>
              <w:t>中负面清单</w:t>
            </w:r>
            <w:r>
              <w:rPr>
                <w:rFonts w:hint="eastAsia"/>
                <w:kern w:val="0"/>
                <w:sz w:val="24"/>
                <w:u w:val="none"/>
              </w:rPr>
              <w:t>。项目符合《自然资源要素支撑产业高质量发展指导目录（2024年本）》的相关要求。综上，项目符合国家、地方产业政策。</w:t>
            </w:r>
          </w:p>
          <w:p w14:paraId="229B33C0">
            <w:pPr>
              <w:pStyle w:val="6"/>
              <w:spacing w:line="500" w:lineRule="exact"/>
              <w:ind w:firstLine="480"/>
              <w:rPr>
                <w:rFonts w:hint="eastAsia" w:ascii="Times New Roman" w:hAnsi="Times New Roman" w:eastAsia="宋体" w:cs="Times New Roman"/>
                <w:kern w:val="0"/>
                <w:sz w:val="24"/>
                <w:u w:val="none"/>
              </w:rPr>
            </w:pPr>
            <w:r>
              <w:rPr>
                <w:rFonts w:hint="eastAsia" w:ascii="Times New Roman" w:hAnsi="Times New Roman" w:eastAsia="宋体" w:cs="Times New Roman"/>
                <w:kern w:val="0"/>
                <w:sz w:val="24"/>
                <w:u w:val="none"/>
              </w:rPr>
              <w:t>3、生态环境分区管控相符性分析</w:t>
            </w:r>
          </w:p>
          <w:p w14:paraId="7DC63B06">
            <w:pPr>
              <w:spacing w:line="500" w:lineRule="exact"/>
              <w:ind w:firstLine="480" w:firstLineChars="200"/>
              <w:rPr>
                <w:rFonts w:hint="eastAsia" w:eastAsia="宋体"/>
                <w:bCs/>
                <w:kern w:val="0"/>
                <w:sz w:val="24"/>
                <w:lang w:val="en-US" w:eastAsia="zh-CN"/>
              </w:rPr>
            </w:pPr>
            <w:r>
              <w:rPr>
                <w:bCs/>
                <w:kern w:val="0"/>
                <w:sz w:val="24"/>
              </w:rPr>
              <w:t>根据《钦州市</w:t>
            </w:r>
            <w:r>
              <w:rPr>
                <w:rFonts w:hint="eastAsia"/>
                <w:bCs/>
                <w:kern w:val="0"/>
                <w:sz w:val="24"/>
                <w:lang w:eastAsia="zh-CN"/>
              </w:rPr>
              <w:t>“</w:t>
            </w:r>
            <w:r>
              <w:rPr>
                <w:bCs/>
                <w:kern w:val="0"/>
                <w:sz w:val="24"/>
              </w:rPr>
              <w:t>三线一单</w:t>
            </w:r>
            <w:r>
              <w:rPr>
                <w:rFonts w:hint="eastAsia"/>
                <w:bCs/>
                <w:kern w:val="0"/>
                <w:sz w:val="24"/>
                <w:lang w:eastAsia="zh-CN"/>
              </w:rPr>
              <w:t>”</w:t>
            </w:r>
            <w:r>
              <w:rPr>
                <w:bCs/>
                <w:kern w:val="0"/>
                <w:sz w:val="24"/>
              </w:rPr>
              <w:t>生态环</w:t>
            </w:r>
            <w:r>
              <w:rPr>
                <w:rFonts w:hint="eastAsia"/>
                <w:bCs/>
                <w:kern w:val="0"/>
                <w:sz w:val="24"/>
              </w:rPr>
              <w:t>境分区管控实施意见》（钦政发〔2021〕13号）</w:t>
            </w:r>
            <w:r>
              <w:rPr>
                <w:rFonts w:hint="eastAsia"/>
                <w:bCs/>
                <w:color w:val="000000"/>
                <w:kern w:val="0"/>
                <w:sz w:val="24"/>
              </w:rPr>
              <w:t>及《钦州市</w:t>
            </w:r>
            <w:r>
              <w:rPr>
                <w:rFonts w:hint="eastAsia"/>
                <w:bCs/>
                <w:color w:val="000000"/>
                <w:kern w:val="0"/>
                <w:sz w:val="24"/>
                <w:lang w:val="en-US" w:eastAsia="zh-CN"/>
              </w:rPr>
              <w:t>陆域</w:t>
            </w:r>
            <w:r>
              <w:rPr>
                <w:rFonts w:hint="eastAsia"/>
                <w:bCs/>
                <w:color w:val="000000"/>
                <w:kern w:val="0"/>
                <w:sz w:val="24"/>
              </w:rPr>
              <w:t>环境管控单元分类图》</w:t>
            </w:r>
            <w:r>
              <w:rPr>
                <w:rFonts w:hint="eastAsia"/>
                <w:bCs/>
                <w:kern w:val="0"/>
                <w:sz w:val="24"/>
              </w:rPr>
              <w:t>，</w:t>
            </w:r>
            <w:r>
              <w:rPr>
                <w:rFonts w:hint="eastAsia"/>
                <w:bCs/>
                <w:color w:val="auto"/>
                <w:kern w:val="0"/>
                <w:sz w:val="24"/>
              </w:rPr>
              <w:t>（详见附图</w:t>
            </w:r>
            <w:r>
              <w:rPr>
                <w:rFonts w:hint="eastAsia"/>
                <w:bCs/>
                <w:color w:val="auto"/>
                <w:kern w:val="0"/>
                <w:sz w:val="24"/>
                <w:lang w:val="en-US" w:eastAsia="zh-CN"/>
              </w:rPr>
              <w:t>8</w:t>
            </w:r>
            <w:r>
              <w:rPr>
                <w:rFonts w:hint="eastAsia"/>
                <w:bCs/>
                <w:color w:val="auto"/>
                <w:kern w:val="0"/>
                <w:sz w:val="24"/>
              </w:rPr>
              <w:t>）</w:t>
            </w:r>
            <w:r>
              <w:rPr>
                <w:rFonts w:hint="eastAsia"/>
                <w:bCs/>
                <w:color w:val="auto"/>
                <w:kern w:val="0"/>
                <w:sz w:val="24"/>
                <w:lang w:eastAsia="zh-CN"/>
              </w:rPr>
              <w:t>，本项目所在区域</w:t>
            </w:r>
            <w:r>
              <w:rPr>
                <w:rFonts w:hint="eastAsia"/>
                <w:bCs/>
                <w:color w:val="000000"/>
                <w:kern w:val="0"/>
                <w:sz w:val="24"/>
                <w:lang w:eastAsia="zh-CN"/>
              </w:rPr>
              <w:t>属于钦州港经济技术开发区重点管控单元，</w:t>
            </w:r>
            <w:r>
              <w:rPr>
                <w:rFonts w:hint="eastAsia"/>
                <w:bCs/>
                <w:kern w:val="0"/>
                <w:sz w:val="24"/>
              </w:rPr>
              <w:t>不在</w:t>
            </w:r>
            <w:r>
              <w:rPr>
                <w:rFonts w:hint="eastAsia"/>
                <w:bCs/>
                <w:kern w:val="0"/>
                <w:sz w:val="24"/>
                <w:lang w:eastAsia="zh-CN"/>
              </w:rPr>
              <w:t>钦州市近岸海域</w:t>
            </w:r>
            <w:r>
              <w:rPr>
                <w:rFonts w:hint="eastAsia"/>
                <w:bCs/>
                <w:kern w:val="0"/>
                <w:sz w:val="24"/>
              </w:rPr>
              <w:t>优先保护单元内，不涉及</w:t>
            </w:r>
            <w:r>
              <w:rPr>
                <w:rFonts w:hint="eastAsia"/>
                <w:bCs/>
                <w:kern w:val="0"/>
                <w:sz w:val="24"/>
                <w:lang w:eastAsia="zh-CN"/>
              </w:rPr>
              <w:t>生态保护红线</w:t>
            </w:r>
            <w:r>
              <w:rPr>
                <w:rFonts w:hint="eastAsia"/>
                <w:bCs/>
                <w:kern w:val="0"/>
                <w:sz w:val="24"/>
              </w:rPr>
              <w:t>区域。</w:t>
            </w:r>
          </w:p>
          <w:p w14:paraId="74CA8711">
            <w:pPr>
              <w:spacing w:line="500" w:lineRule="exact"/>
              <w:jc w:val="center"/>
              <w:rPr>
                <w:rFonts w:hint="eastAsia" w:ascii="Times New Roman" w:hAnsi="Times New Roman" w:eastAsia="宋体" w:cs="Times New Roman"/>
                <w:b/>
                <w:bCs/>
                <w:kern w:val="0"/>
                <w:sz w:val="24"/>
              </w:rPr>
            </w:pPr>
            <w:r>
              <w:rPr>
                <w:rFonts w:hint="eastAsia" w:ascii="Times New Roman" w:hAnsi="Times New Roman" w:eastAsia="宋体" w:cs="Times New Roman"/>
                <w:b/>
                <w:bCs/>
                <w:kern w:val="0"/>
                <w:sz w:val="24"/>
              </w:rPr>
              <w:t>表1-</w:t>
            </w:r>
            <w:r>
              <w:rPr>
                <w:rFonts w:hint="eastAsia" w:cs="Times New Roman"/>
                <w:b/>
                <w:bCs/>
                <w:kern w:val="0"/>
                <w:sz w:val="24"/>
                <w:lang w:val="en-US" w:eastAsia="zh-CN"/>
              </w:rPr>
              <w:t>2</w:t>
            </w:r>
            <w:r>
              <w:rPr>
                <w:rFonts w:hint="eastAsia" w:ascii="Times New Roman" w:hAnsi="Times New Roman" w:eastAsia="宋体" w:cs="Times New Roman"/>
                <w:b/>
                <w:bCs/>
                <w:kern w:val="0"/>
                <w:sz w:val="24"/>
              </w:rPr>
              <w:t xml:space="preserve">  </w:t>
            </w:r>
            <w:r>
              <w:rPr>
                <w:rFonts w:hint="eastAsia" w:ascii="Times New Roman" w:hAnsi="Times New Roman" w:eastAsia="宋体"/>
                <w:b/>
                <w:bCs/>
                <w:iCs w:val="0"/>
                <w:kern w:val="0"/>
                <w:sz w:val="24"/>
                <w:szCs w:val="24"/>
                <w:u w:val="none"/>
                <w:lang w:eastAsia="zh-CN"/>
              </w:rPr>
              <w:t>钦州市</w:t>
            </w:r>
            <w:r>
              <w:rPr>
                <w:rFonts w:hint="eastAsia" w:ascii="Times New Roman" w:hAnsi="Times New Roman" w:eastAsia="宋体"/>
                <w:b/>
                <w:bCs/>
                <w:iCs w:val="0"/>
                <w:kern w:val="0"/>
                <w:sz w:val="24"/>
                <w:szCs w:val="24"/>
                <w:u w:val="none"/>
              </w:rPr>
              <w:t>生态环境准入及管控要求清单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3745"/>
              <w:gridCol w:w="1954"/>
              <w:gridCol w:w="595"/>
            </w:tblGrid>
            <w:tr w14:paraId="7FF3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3BF0BE0E">
                  <w:pPr>
                    <w:adjustRightInd w:val="0"/>
                    <w:snapToGrid w:val="0"/>
                    <w:spacing w:line="240" w:lineRule="auto"/>
                    <w:ind w:firstLine="0" w:firstLineChars="0"/>
                    <w:jc w:val="center"/>
                    <w:rPr>
                      <w:rFonts w:ascii="Times New Roman" w:hAnsi="Times New Roman" w:eastAsia="宋体" w:cs="Times New Roman"/>
                      <w:b w:val="0"/>
                      <w:bCs w:val="0"/>
                      <w:szCs w:val="21"/>
                      <w:u w:val="none"/>
                    </w:rPr>
                  </w:pPr>
                  <w:r>
                    <w:rPr>
                      <w:rFonts w:ascii="Times New Roman" w:hAnsi="Times New Roman" w:eastAsia="宋体" w:cs="Times New Roman"/>
                      <w:b w:val="0"/>
                      <w:bCs w:val="0"/>
                      <w:szCs w:val="21"/>
                      <w:u w:val="none"/>
                    </w:rPr>
                    <w:t>管控类别</w:t>
                  </w:r>
                </w:p>
              </w:tc>
              <w:tc>
                <w:tcPr>
                  <w:tcW w:w="3745" w:type="dxa"/>
                  <w:tcBorders>
                    <w:top w:val="single" w:color="auto" w:sz="4" w:space="0"/>
                    <w:left w:val="nil"/>
                    <w:bottom w:val="single" w:color="auto" w:sz="4" w:space="0"/>
                    <w:right w:val="single" w:color="auto" w:sz="4" w:space="0"/>
                  </w:tcBorders>
                  <w:noWrap w:val="0"/>
                  <w:vAlign w:val="center"/>
                </w:tcPr>
                <w:p w14:paraId="1C4B8318">
                  <w:pPr>
                    <w:adjustRightInd w:val="0"/>
                    <w:snapToGrid w:val="0"/>
                    <w:spacing w:line="240" w:lineRule="auto"/>
                    <w:ind w:firstLine="0" w:firstLineChars="0"/>
                    <w:jc w:val="center"/>
                    <w:rPr>
                      <w:rFonts w:ascii="Times New Roman" w:hAnsi="Times New Roman" w:eastAsia="宋体" w:cs="Times New Roman"/>
                      <w:b w:val="0"/>
                      <w:bCs w:val="0"/>
                      <w:szCs w:val="21"/>
                      <w:u w:val="none"/>
                    </w:rPr>
                  </w:pPr>
                  <w:r>
                    <w:rPr>
                      <w:rFonts w:ascii="Times New Roman" w:hAnsi="Times New Roman" w:eastAsia="宋体" w:cs="Times New Roman"/>
                      <w:b w:val="0"/>
                      <w:bCs w:val="0"/>
                      <w:szCs w:val="21"/>
                      <w:u w:val="none"/>
                    </w:rPr>
                    <w:t>生态环境准入及管控要求</w:t>
                  </w:r>
                </w:p>
              </w:tc>
              <w:tc>
                <w:tcPr>
                  <w:tcW w:w="1954" w:type="dxa"/>
                  <w:tcBorders>
                    <w:top w:val="single" w:color="auto" w:sz="4" w:space="0"/>
                    <w:left w:val="nil"/>
                    <w:bottom w:val="single" w:color="auto" w:sz="4" w:space="0"/>
                    <w:right w:val="single" w:color="auto" w:sz="4" w:space="0"/>
                  </w:tcBorders>
                  <w:noWrap w:val="0"/>
                  <w:vAlign w:val="center"/>
                </w:tcPr>
                <w:p w14:paraId="40E37B13">
                  <w:pPr>
                    <w:adjustRightInd w:val="0"/>
                    <w:snapToGrid w:val="0"/>
                    <w:spacing w:line="240" w:lineRule="auto"/>
                    <w:ind w:firstLine="0" w:firstLineChars="0"/>
                    <w:jc w:val="center"/>
                    <w:rPr>
                      <w:rFonts w:ascii="Times New Roman" w:hAnsi="Times New Roman" w:eastAsia="宋体" w:cs="Times New Roman"/>
                      <w:b w:val="0"/>
                      <w:bCs w:val="0"/>
                      <w:szCs w:val="21"/>
                      <w:u w:val="none"/>
                    </w:rPr>
                  </w:pPr>
                  <w:r>
                    <w:rPr>
                      <w:rFonts w:ascii="Times New Roman" w:hAnsi="Times New Roman" w:eastAsia="宋体" w:cs="Times New Roman"/>
                      <w:b w:val="0"/>
                      <w:bCs w:val="0"/>
                      <w:szCs w:val="21"/>
                      <w:u w:val="none"/>
                    </w:rPr>
                    <w:t>本项目</w:t>
                  </w:r>
                </w:p>
              </w:tc>
              <w:tc>
                <w:tcPr>
                  <w:tcW w:w="595" w:type="dxa"/>
                  <w:tcBorders>
                    <w:top w:val="single" w:color="auto" w:sz="4" w:space="0"/>
                    <w:left w:val="nil"/>
                    <w:bottom w:val="single" w:color="auto" w:sz="4" w:space="0"/>
                    <w:right w:val="single" w:color="auto" w:sz="4" w:space="0"/>
                  </w:tcBorders>
                  <w:noWrap w:val="0"/>
                  <w:vAlign w:val="center"/>
                </w:tcPr>
                <w:p w14:paraId="65B523A7">
                  <w:pPr>
                    <w:adjustRightInd w:val="0"/>
                    <w:snapToGrid w:val="0"/>
                    <w:spacing w:line="240" w:lineRule="auto"/>
                    <w:ind w:firstLine="0" w:firstLineChars="0"/>
                    <w:jc w:val="center"/>
                    <w:rPr>
                      <w:rFonts w:ascii="Times New Roman" w:hAnsi="Times New Roman" w:eastAsia="宋体" w:cs="Times New Roman"/>
                      <w:b w:val="0"/>
                      <w:bCs w:val="0"/>
                      <w:szCs w:val="21"/>
                      <w:u w:val="none"/>
                    </w:rPr>
                  </w:pPr>
                  <w:r>
                    <w:rPr>
                      <w:rFonts w:ascii="Times New Roman" w:hAnsi="Times New Roman" w:eastAsia="宋体" w:cs="Times New Roman"/>
                      <w:b w:val="0"/>
                      <w:bCs w:val="0"/>
                      <w:szCs w:val="21"/>
                      <w:u w:val="none"/>
                    </w:rPr>
                    <w:t>相符性</w:t>
                  </w:r>
                </w:p>
              </w:tc>
            </w:tr>
            <w:tr w14:paraId="6FC3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restart"/>
                  <w:tcBorders>
                    <w:top w:val="nil"/>
                    <w:left w:val="single" w:color="auto" w:sz="4" w:space="0"/>
                    <w:right w:val="single" w:color="auto" w:sz="4" w:space="0"/>
                  </w:tcBorders>
                  <w:noWrap w:val="0"/>
                  <w:vAlign w:val="center"/>
                </w:tcPr>
                <w:p w14:paraId="5C81D80C">
                  <w:pPr>
                    <w:adjustRightInd w:val="0"/>
                    <w:snapToGrid w:val="0"/>
                    <w:spacing w:line="240" w:lineRule="auto"/>
                    <w:ind w:firstLine="0" w:firstLineChars="0"/>
                    <w:jc w:val="center"/>
                    <w:rPr>
                      <w:rFonts w:ascii="Times New Roman" w:hAnsi="Times New Roman" w:eastAsia="宋体" w:cs="Times New Roman"/>
                      <w:szCs w:val="21"/>
                      <w:u w:val="none"/>
                    </w:rPr>
                  </w:pPr>
                  <w:r>
                    <w:rPr>
                      <w:rFonts w:ascii="Times New Roman" w:hAnsi="Times New Roman" w:eastAsia="宋体" w:cs="Times New Roman"/>
                      <w:bCs/>
                      <w:szCs w:val="21"/>
                      <w:u w:val="none"/>
                    </w:rPr>
                    <w:t>空间布局约束</w:t>
                  </w:r>
                </w:p>
              </w:tc>
              <w:tc>
                <w:tcPr>
                  <w:tcW w:w="3745" w:type="dxa"/>
                  <w:tcBorders>
                    <w:top w:val="single" w:color="auto" w:sz="4" w:space="0"/>
                    <w:left w:val="nil"/>
                    <w:bottom w:val="single" w:color="auto" w:sz="4" w:space="0"/>
                    <w:right w:val="single" w:color="auto" w:sz="4" w:space="0"/>
                  </w:tcBorders>
                  <w:noWrap w:val="0"/>
                  <w:vAlign w:val="center"/>
                </w:tcPr>
                <w:p w14:paraId="0FD1A717">
                  <w:pPr>
                    <w:widowControl/>
                    <w:adjustRightInd w:val="0"/>
                    <w:snapToGrid w:val="0"/>
                    <w:spacing w:line="240" w:lineRule="auto"/>
                    <w:ind w:firstLine="0" w:firstLineChars="0"/>
                    <w:textAlignment w:val="center"/>
                    <w:rPr>
                      <w:rFonts w:ascii="Times New Roman" w:hAnsi="Times New Roman" w:eastAsia="宋体" w:cs="Times New Roman"/>
                      <w:kern w:val="0"/>
                      <w:szCs w:val="21"/>
                      <w:u w:val="none"/>
                    </w:rPr>
                  </w:pPr>
                  <w:r>
                    <w:rPr>
                      <w:rFonts w:hint="eastAsia" w:ascii="Times New Roman" w:hAnsi="Times New Roman"/>
                      <w:kern w:val="0"/>
                      <w:szCs w:val="21"/>
                      <w:u w:val="none"/>
                      <w:lang w:bidi="ar"/>
                    </w:rPr>
                    <w:t>1. 自然保护地、森林公园、湿地公园、水源保护区、风景名胜区、公益林、天然林等具有法律地位，有管理条例、规定、办法管控的各类保护地，其管控要求原则上按照各类保护地的现行规定进行管理，重叠区域以最严格的要求进行管理。纳入生态保护红线管理的各类自然保护地，还应执行《关于在国土空间规划中统筹划定落实三条控制线的指导意见》相关要求以及国家、自治区有关生态保护红线内各类开发活动的准入及管控规定和要求。</w:t>
                  </w:r>
                </w:p>
              </w:tc>
              <w:tc>
                <w:tcPr>
                  <w:tcW w:w="1954" w:type="dxa"/>
                  <w:tcBorders>
                    <w:top w:val="single" w:color="auto" w:sz="4" w:space="0"/>
                    <w:left w:val="nil"/>
                    <w:bottom w:val="single" w:color="auto" w:sz="4" w:space="0"/>
                    <w:right w:val="single" w:color="auto" w:sz="4" w:space="0"/>
                  </w:tcBorders>
                  <w:noWrap w:val="0"/>
                  <w:vAlign w:val="center"/>
                </w:tcPr>
                <w:p w14:paraId="2CFD531C">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lang w:eastAsia="zh-CN"/>
                    </w:rPr>
                    <w:t>项目不在自然保护地、森林公园、湿地公园、水源保护区、风景名胜区、公益林、天然林等</w:t>
                  </w:r>
                  <w:r>
                    <w:rPr>
                      <w:rFonts w:hint="eastAsia" w:ascii="Times New Roman" w:hAnsi="Times New Roman"/>
                      <w:kern w:val="0"/>
                      <w:szCs w:val="21"/>
                      <w:u w:val="none"/>
                      <w:lang w:bidi="ar"/>
                    </w:rPr>
                    <w:t>生态保护红线</w:t>
                  </w:r>
                  <w:r>
                    <w:rPr>
                      <w:rFonts w:hint="eastAsia" w:ascii="Times New Roman" w:hAnsi="Times New Roman"/>
                      <w:kern w:val="0"/>
                      <w:szCs w:val="21"/>
                      <w:u w:val="none"/>
                      <w:lang w:eastAsia="zh-CN" w:bidi="ar"/>
                    </w:rPr>
                    <w:t>内。</w:t>
                  </w:r>
                </w:p>
              </w:tc>
              <w:tc>
                <w:tcPr>
                  <w:tcW w:w="595" w:type="dxa"/>
                  <w:tcBorders>
                    <w:top w:val="single" w:color="auto" w:sz="4" w:space="0"/>
                    <w:left w:val="nil"/>
                    <w:bottom w:val="single" w:color="auto" w:sz="4" w:space="0"/>
                    <w:right w:val="single" w:color="auto" w:sz="4" w:space="0"/>
                  </w:tcBorders>
                  <w:noWrap w:val="0"/>
                  <w:vAlign w:val="center"/>
                </w:tcPr>
                <w:p w14:paraId="7EB0A6FE">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62AB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35BADCF4">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1C321DDB">
                  <w:pPr>
                    <w:widowControl/>
                    <w:adjustRightInd w:val="0"/>
                    <w:snapToGrid w:val="0"/>
                    <w:spacing w:line="240" w:lineRule="auto"/>
                    <w:ind w:firstLine="0" w:firstLineChars="0"/>
                    <w:textAlignment w:val="center"/>
                    <w:rPr>
                      <w:rFonts w:ascii="Times New Roman" w:hAnsi="Times New Roman" w:eastAsia="宋体" w:cs="Times New Roman"/>
                      <w:szCs w:val="21"/>
                      <w:u w:val="none"/>
                    </w:rPr>
                  </w:pPr>
                  <w:r>
                    <w:rPr>
                      <w:rFonts w:hint="eastAsia" w:ascii="Times New Roman" w:hAnsi="Times New Roman"/>
                      <w:kern w:val="0"/>
                      <w:szCs w:val="21"/>
                      <w:u w:val="none"/>
                      <w:lang w:bidi="ar"/>
                    </w:rPr>
                    <w:t>2. 红树林依据《广西壮族自治区红树林资源保护条例》进行管理。开展红树林修复要依法依规进行，并符合红树林资源保护规划等相关要求。</w:t>
                  </w:r>
                </w:p>
              </w:tc>
              <w:tc>
                <w:tcPr>
                  <w:tcW w:w="1954" w:type="dxa"/>
                  <w:tcBorders>
                    <w:top w:val="single" w:color="auto" w:sz="4" w:space="0"/>
                    <w:left w:val="nil"/>
                    <w:bottom w:val="single" w:color="auto" w:sz="4" w:space="0"/>
                    <w:right w:val="single" w:color="auto" w:sz="4" w:space="0"/>
                  </w:tcBorders>
                  <w:noWrap w:val="0"/>
                  <w:vAlign w:val="center"/>
                </w:tcPr>
                <w:p w14:paraId="43A6E5C8">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项目</w:t>
                  </w:r>
                  <w:r>
                    <w:rPr>
                      <w:rFonts w:hint="eastAsia" w:ascii="Times New Roman" w:hAnsi="Times New Roman" w:eastAsia="宋体" w:cs="Times New Roman"/>
                      <w:kern w:val="0"/>
                      <w:szCs w:val="21"/>
                      <w:u w:val="none"/>
                      <w:lang w:eastAsia="zh-CN"/>
                    </w:rPr>
                    <w:t>不涉及</w:t>
                  </w:r>
                  <w:r>
                    <w:rPr>
                      <w:rFonts w:hint="eastAsia" w:ascii="Times New Roman" w:hAnsi="Times New Roman" w:eastAsia="宋体"/>
                      <w:kern w:val="0"/>
                      <w:szCs w:val="21"/>
                      <w:u w:val="none"/>
                      <w:lang w:bidi="ar"/>
                    </w:rPr>
                    <w:t>红树林</w:t>
                  </w:r>
                  <w:r>
                    <w:rPr>
                      <w:rFonts w:hint="eastAsia" w:ascii="Times New Roman" w:hAnsi="Times New Roman" w:eastAsia="宋体"/>
                      <w:kern w:val="0"/>
                      <w:szCs w:val="21"/>
                      <w:u w:val="none"/>
                      <w:lang w:eastAsia="zh-CN" w:bidi="ar"/>
                    </w:rPr>
                    <w:t>。</w:t>
                  </w:r>
                </w:p>
              </w:tc>
              <w:tc>
                <w:tcPr>
                  <w:tcW w:w="595" w:type="dxa"/>
                  <w:tcBorders>
                    <w:top w:val="single" w:color="auto" w:sz="4" w:space="0"/>
                    <w:left w:val="nil"/>
                    <w:bottom w:val="single" w:color="auto" w:sz="4" w:space="0"/>
                    <w:right w:val="single" w:color="auto" w:sz="4" w:space="0"/>
                  </w:tcBorders>
                  <w:noWrap w:val="0"/>
                  <w:vAlign w:val="center"/>
                </w:tcPr>
                <w:p w14:paraId="7D737764">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6E0F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033AC924">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79BA0015">
                  <w:pPr>
                    <w:widowControl/>
                    <w:adjustRightInd w:val="0"/>
                    <w:snapToGrid w:val="0"/>
                    <w:spacing w:line="240" w:lineRule="auto"/>
                    <w:ind w:firstLine="0" w:firstLineChars="0"/>
                    <w:textAlignment w:val="center"/>
                    <w:rPr>
                      <w:rFonts w:ascii="Times New Roman" w:hAnsi="Times New Roman" w:eastAsia="宋体" w:cs="Times New Roman"/>
                      <w:kern w:val="0"/>
                      <w:szCs w:val="21"/>
                      <w:u w:val="none"/>
                    </w:rPr>
                  </w:pPr>
                  <w:r>
                    <w:rPr>
                      <w:rFonts w:hint="eastAsia" w:ascii="Times New Roman" w:hAnsi="Times New Roman"/>
                      <w:kern w:val="0"/>
                      <w:szCs w:val="21"/>
                      <w:u w:val="none"/>
                      <w:lang w:bidi="ar"/>
                    </w:rPr>
                    <w:t>3. 重要湿地依据《广西壮族自治区湿地保护条例》进行管理。</w:t>
                  </w:r>
                </w:p>
              </w:tc>
              <w:tc>
                <w:tcPr>
                  <w:tcW w:w="1954" w:type="dxa"/>
                  <w:tcBorders>
                    <w:top w:val="single" w:color="auto" w:sz="4" w:space="0"/>
                    <w:left w:val="nil"/>
                    <w:bottom w:val="single" w:color="auto" w:sz="4" w:space="0"/>
                    <w:right w:val="single" w:color="auto" w:sz="4" w:space="0"/>
                  </w:tcBorders>
                  <w:noWrap w:val="0"/>
                  <w:vAlign w:val="center"/>
                </w:tcPr>
                <w:p w14:paraId="6BEADE6D">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项目</w:t>
                  </w:r>
                  <w:r>
                    <w:rPr>
                      <w:rFonts w:hint="eastAsia" w:ascii="Times New Roman" w:hAnsi="Times New Roman" w:eastAsia="宋体" w:cs="Times New Roman"/>
                      <w:kern w:val="0"/>
                      <w:szCs w:val="21"/>
                      <w:u w:val="none"/>
                      <w:lang w:eastAsia="zh-CN"/>
                    </w:rPr>
                    <w:t>不涉及</w:t>
                  </w:r>
                  <w:r>
                    <w:rPr>
                      <w:rFonts w:hint="eastAsia" w:ascii="Times New Roman" w:hAnsi="Times New Roman"/>
                      <w:kern w:val="0"/>
                      <w:szCs w:val="21"/>
                      <w:u w:val="none"/>
                      <w:lang w:bidi="ar"/>
                    </w:rPr>
                    <w:t>重要湿地</w:t>
                  </w:r>
                  <w:r>
                    <w:rPr>
                      <w:rFonts w:hint="eastAsia" w:ascii="Times New Roman" w:hAnsi="Times New Roman"/>
                      <w:kern w:val="0"/>
                      <w:szCs w:val="21"/>
                      <w:u w:val="none"/>
                      <w:lang w:eastAsia="zh-CN" w:bidi="ar"/>
                    </w:rPr>
                    <w:t>。</w:t>
                  </w:r>
                </w:p>
              </w:tc>
              <w:tc>
                <w:tcPr>
                  <w:tcW w:w="595" w:type="dxa"/>
                  <w:tcBorders>
                    <w:top w:val="single" w:color="auto" w:sz="4" w:space="0"/>
                    <w:left w:val="nil"/>
                    <w:bottom w:val="single" w:color="auto" w:sz="4" w:space="0"/>
                    <w:right w:val="single" w:color="auto" w:sz="4" w:space="0"/>
                  </w:tcBorders>
                  <w:noWrap w:val="0"/>
                  <w:vAlign w:val="center"/>
                </w:tcPr>
                <w:p w14:paraId="1E2B60BD">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4307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1F7516B3">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1473E301">
                  <w:pPr>
                    <w:widowControl/>
                    <w:numPr>
                      <w:ilvl w:val="0"/>
                      <w:numId w:val="2"/>
                    </w:numPr>
                    <w:adjustRightInd w:val="0"/>
                    <w:snapToGrid w:val="0"/>
                    <w:spacing w:line="240" w:lineRule="auto"/>
                    <w:ind w:firstLine="0" w:firstLineChars="0"/>
                    <w:textAlignment w:val="center"/>
                    <w:rPr>
                      <w:rFonts w:ascii="Times New Roman" w:hAnsi="Times New Roman" w:eastAsia="宋体" w:cs="Times New Roman"/>
                      <w:kern w:val="0"/>
                      <w:szCs w:val="21"/>
                      <w:u w:val="none"/>
                    </w:rPr>
                  </w:pPr>
                  <w:r>
                    <w:rPr>
                      <w:rFonts w:hint="eastAsia" w:ascii="Times New Roman" w:hAnsi="Times New Roman"/>
                      <w:kern w:val="0"/>
                      <w:szCs w:val="21"/>
                      <w:u w:val="none"/>
                      <w:lang w:bidi="ar"/>
                    </w:rPr>
                    <w:t>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一资”产业在十万大山、五皇山、六万大山、茅尾海等生物多样性保护区及水源涵养区等重点生态功能区布局，鼓励发展生态保护型旅游业、生态农业，统筹推进特色农业和旅游业融合发展。</w:t>
                  </w:r>
                </w:p>
              </w:tc>
              <w:tc>
                <w:tcPr>
                  <w:tcW w:w="1954" w:type="dxa"/>
                  <w:tcBorders>
                    <w:top w:val="single" w:color="auto" w:sz="4" w:space="0"/>
                    <w:left w:val="nil"/>
                    <w:bottom w:val="single" w:color="auto" w:sz="4" w:space="0"/>
                    <w:right w:val="single" w:color="auto" w:sz="4" w:space="0"/>
                  </w:tcBorders>
                  <w:noWrap w:val="0"/>
                  <w:vAlign w:val="center"/>
                </w:tcPr>
                <w:p w14:paraId="3B23FBD8">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项目</w:t>
                  </w:r>
                  <w:r>
                    <w:rPr>
                      <w:rFonts w:hint="eastAsia" w:ascii="Times New Roman" w:hAnsi="Times New Roman" w:eastAsia="宋体" w:cs="Times New Roman"/>
                      <w:kern w:val="0"/>
                      <w:szCs w:val="21"/>
                      <w:u w:val="none"/>
                      <w:lang w:eastAsia="zh-CN"/>
                    </w:rPr>
                    <w:t>位于石化码头及物流仓储区，不</w:t>
                  </w:r>
                  <w:r>
                    <w:rPr>
                      <w:rFonts w:hint="eastAsia" w:cs="Times New Roman"/>
                      <w:kern w:val="0"/>
                      <w:szCs w:val="21"/>
                      <w:u w:val="none"/>
                      <w:lang w:val="en-US" w:eastAsia="zh-CN"/>
                    </w:rPr>
                    <w:t>占用</w:t>
                  </w:r>
                  <w:r>
                    <w:rPr>
                      <w:rFonts w:hint="eastAsia" w:ascii="Times New Roman" w:hAnsi="Times New Roman"/>
                      <w:kern w:val="0"/>
                      <w:szCs w:val="21"/>
                      <w:u w:val="none"/>
                      <w:lang w:bidi="ar"/>
                    </w:rPr>
                    <w:t>自然保护区、湿地保护区及生态环境极为敏感地区</w:t>
                  </w:r>
                  <w:r>
                    <w:rPr>
                      <w:rFonts w:hint="eastAsia" w:ascii="Times New Roman" w:hAnsi="Times New Roman"/>
                      <w:kern w:val="0"/>
                      <w:szCs w:val="21"/>
                      <w:u w:val="none"/>
                      <w:lang w:eastAsia="zh-CN" w:bidi="ar"/>
                    </w:rPr>
                    <w:t>，不在</w:t>
                  </w:r>
                  <w:r>
                    <w:rPr>
                      <w:rFonts w:hint="eastAsia" w:ascii="Times New Roman" w:hAnsi="Times New Roman"/>
                      <w:kern w:val="0"/>
                      <w:szCs w:val="21"/>
                      <w:u w:val="none"/>
                      <w:lang w:bidi="ar"/>
                    </w:rPr>
                    <w:t>水源保护区、湿地、永久基本农田、陡坡区、地质灾害高易发区</w:t>
                  </w:r>
                  <w:r>
                    <w:rPr>
                      <w:rFonts w:hint="eastAsia" w:ascii="Times New Roman" w:hAnsi="Times New Roman"/>
                      <w:kern w:val="0"/>
                      <w:szCs w:val="21"/>
                      <w:u w:val="none"/>
                      <w:lang w:eastAsia="zh-CN" w:bidi="ar"/>
                    </w:rPr>
                    <w:t>内。</w:t>
                  </w:r>
                </w:p>
              </w:tc>
              <w:tc>
                <w:tcPr>
                  <w:tcW w:w="595" w:type="dxa"/>
                  <w:tcBorders>
                    <w:top w:val="single" w:color="auto" w:sz="4" w:space="0"/>
                    <w:left w:val="nil"/>
                    <w:bottom w:val="single" w:color="auto" w:sz="4" w:space="0"/>
                    <w:right w:val="single" w:color="auto" w:sz="4" w:space="0"/>
                  </w:tcBorders>
                  <w:noWrap w:val="0"/>
                  <w:vAlign w:val="center"/>
                </w:tcPr>
                <w:p w14:paraId="69656A98">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01E0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5F1113F0">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548A86C4">
                  <w:pPr>
                    <w:widowControl/>
                    <w:numPr>
                      <w:ilvl w:val="0"/>
                      <w:numId w:val="2"/>
                    </w:numPr>
                    <w:adjustRightInd w:val="0"/>
                    <w:snapToGrid w:val="0"/>
                    <w:spacing w:line="240" w:lineRule="auto"/>
                    <w:ind w:left="0" w:leftChars="0" w:firstLine="0" w:firstLineChars="0"/>
                    <w:textAlignment w:val="center"/>
                    <w:rPr>
                      <w:rFonts w:ascii="Times New Roman" w:hAnsi="Times New Roman" w:eastAsia="宋体" w:cs="Times New Roman"/>
                      <w:kern w:val="0"/>
                      <w:szCs w:val="21"/>
                      <w:u w:val="none"/>
                    </w:rPr>
                  </w:pPr>
                  <w:r>
                    <w:rPr>
                      <w:rFonts w:hint="eastAsia" w:ascii="Times New Roman" w:hAnsi="Times New Roman"/>
                      <w:kern w:val="0"/>
                      <w:szCs w:val="21"/>
                      <w:u w:val="none"/>
                      <w:lang w:bidi="ar"/>
                    </w:rPr>
                    <w:t>以供给侧结构性改革为导向，坚持培育新增产能与淘汰落后产能相结合，严格审批，防止新增落后产能。严格控制“两高”和产能过剩行业新上项目，遏制高耗能产业无序发展和低水平扩张。</w:t>
                  </w:r>
                </w:p>
              </w:tc>
              <w:tc>
                <w:tcPr>
                  <w:tcW w:w="1954" w:type="dxa"/>
                  <w:tcBorders>
                    <w:top w:val="single" w:color="auto" w:sz="4" w:space="0"/>
                    <w:left w:val="nil"/>
                    <w:bottom w:val="single" w:color="auto" w:sz="4" w:space="0"/>
                    <w:right w:val="single" w:color="auto" w:sz="4" w:space="0"/>
                  </w:tcBorders>
                  <w:noWrap w:val="0"/>
                  <w:vAlign w:val="center"/>
                </w:tcPr>
                <w:p w14:paraId="5B8C6063">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b w:val="0"/>
                      <w:bCs w:val="0"/>
                      <w:szCs w:val="21"/>
                      <w:u w:val="none"/>
                      <w:lang w:eastAsia="zh-CN"/>
                    </w:rPr>
                    <w:t>项目为</w:t>
                  </w:r>
                  <w:r>
                    <w:rPr>
                      <w:rFonts w:hint="eastAsia" w:ascii="Times New Roman" w:hAnsi="Times New Roman" w:eastAsia="宋体" w:cs="Times New Roman"/>
                      <w:b w:val="0"/>
                      <w:bCs w:val="0"/>
                      <w:szCs w:val="21"/>
                      <w:u w:val="none"/>
                      <w:lang w:val="en-US" w:eastAsia="zh-CN"/>
                    </w:rPr>
                    <w:t>危险化学品仓储项目</w:t>
                  </w:r>
                  <w:r>
                    <w:rPr>
                      <w:rFonts w:hint="eastAsia" w:ascii="Times New Roman" w:hAnsi="Times New Roman" w:eastAsia="宋体" w:cs="Times New Roman"/>
                      <w:kern w:val="0"/>
                      <w:szCs w:val="21"/>
                      <w:u w:val="none"/>
                      <w:lang w:eastAsia="zh-CN"/>
                    </w:rPr>
                    <w:t>，</w:t>
                  </w:r>
                  <w:r>
                    <w:rPr>
                      <w:rFonts w:hint="eastAsia" w:ascii="Times New Roman" w:hAnsi="Times New Roman" w:eastAsia="宋体" w:cs="Times New Roman"/>
                      <w:kern w:val="0"/>
                      <w:szCs w:val="21"/>
                      <w:u w:val="none"/>
                    </w:rPr>
                    <w:t>不</w:t>
                  </w:r>
                  <w:r>
                    <w:rPr>
                      <w:rFonts w:hint="eastAsia" w:ascii="Times New Roman" w:hAnsi="Times New Roman" w:eastAsia="宋体" w:cs="Times New Roman"/>
                      <w:kern w:val="0"/>
                      <w:szCs w:val="21"/>
                      <w:u w:val="none"/>
                      <w:lang w:eastAsia="zh-CN"/>
                    </w:rPr>
                    <w:t>属于“</w:t>
                  </w:r>
                  <w:r>
                    <w:rPr>
                      <w:rFonts w:hint="eastAsia" w:ascii="Times New Roman" w:hAnsi="Times New Roman" w:eastAsia="宋体" w:cs="Times New Roman"/>
                      <w:kern w:val="0"/>
                      <w:szCs w:val="21"/>
                      <w:u w:val="none"/>
                      <w:lang w:val="en-US" w:eastAsia="zh-CN"/>
                    </w:rPr>
                    <w:t>两高</w:t>
                  </w:r>
                  <w:r>
                    <w:rPr>
                      <w:rFonts w:hint="eastAsia" w:ascii="Times New Roman" w:hAnsi="Times New Roman" w:eastAsia="宋体" w:cs="Times New Roman"/>
                      <w:kern w:val="0"/>
                      <w:szCs w:val="21"/>
                      <w:u w:val="none"/>
                      <w:lang w:eastAsia="zh-CN"/>
                    </w:rPr>
                    <w:t>”项目。</w:t>
                  </w:r>
                </w:p>
              </w:tc>
              <w:tc>
                <w:tcPr>
                  <w:tcW w:w="595" w:type="dxa"/>
                  <w:tcBorders>
                    <w:top w:val="single" w:color="auto" w:sz="4" w:space="0"/>
                    <w:left w:val="nil"/>
                    <w:bottom w:val="single" w:color="auto" w:sz="4" w:space="0"/>
                    <w:right w:val="single" w:color="auto" w:sz="4" w:space="0"/>
                  </w:tcBorders>
                  <w:noWrap w:val="0"/>
                  <w:vAlign w:val="center"/>
                </w:tcPr>
                <w:p w14:paraId="196249C0">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08B2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52801450">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6AB51DEC">
                  <w:pPr>
                    <w:widowControl/>
                    <w:numPr>
                      <w:ilvl w:val="0"/>
                      <w:numId w:val="2"/>
                    </w:numPr>
                    <w:adjustRightInd w:val="0"/>
                    <w:snapToGrid w:val="0"/>
                    <w:spacing w:line="240" w:lineRule="auto"/>
                    <w:ind w:left="0" w:leftChars="0" w:firstLine="0" w:firstLineChars="0"/>
                    <w:textAlignment w:val="center"/>
                    <w:rPr>
                      <w:rFonts w:ascii="Times New Roman" w:hAnsi="Times New Roman" w:eastAsia="宋体" w:cs="Times New Roman"/>
                      <w:kern w:val="0"/>
                      <w:szCs w:val="21"/>
                      <w:u w:val="none"/>
                    </w:rPr>
                  </w:pPr>
                  <w:r>
                    <w:rPr>
                      <w:rFonts w:hint="eastAsia" w:ascii="Times New Roman" w:hAnsi="Times New Roman"/>
                      <w:kern w:val="0"/>
                      <w:szCs w:val="21"/>
                      <w:u w:val="none"/>
                      <w:lang w:bidi="ar"/>
                    </w:rPr>
                    <w:t>全市产业准入执行《广西壮族自治区人民政府办公厅关于印发北钦防一体化产业协同发展限制布局清单（工业类2021年版）的通知》（桂政办函〔2021〕4号）要求，限制布局炼铁、炼钢、铝冶炼、平板玻璃制造。</w:t>
                  </w:r>
                </w:p>
              </w:tc>
              <w:tc>
                <w:tcPr>
                  <w:tcW w:w="1954" w:type="dxa"/>
                  <w:tcBorders>
                    <w:top w:val="single" w:color="auto" w:sz="4" w:space="0"/>
                    <w:left w:val="nil"/>
                    <w:bottom w:val="single" w:color="auto" w:sz="4" w:space="0"/>
                    <w:right w:val="single" w:color="auto" w:sz="4" w:space="0"/>
                  </w:tcBorders>
                  <w:noWrap w:val="0"/>
                  <w:vAlign w:val="center"/>
                </w:tcPr>
                <w:p w14:paraId="74D77FD2">
                  <w:pPr>
                    <w:widowControl/>
                    <w:adjustRightInd w:val="0"/>
                    <w:snapToGrid w:val="0"/>
                    <w:spacing w:line="240" w:lineRule="auto"/>
                    <w:ind w:firstLine="0" w:firstLineChars="0"/>
                    <w:jc w:val="both"/>
                    <w:textAlignment w:val="center"/>
                    <w:rPr>
                      <w:rFonts w:ascii="Times New Roman" w:hAnsi="Times New Roman" w:eastAsia="宋体" w:cs="Times New Roman"/>
                      <w:kern w:val="0"/>
                      <w:szCs w:val="21"/>
                      <w:u w:val="none"/>
                    </w:rPr>
                  </w:pPr>
                  <w:r>
                    <w:rPr>
                      <w:rFonts w:hint="eastAsia"/>
                      <w:kern w:val="0"/>
                      <w:sz w:val="21"/>
                      <w:szCs w:val="21"/>
                      <w:u w:val="none"/>
                      <w:lang w:eastAsia="zh-CN"/>
                    </w:rPr>
                    <w:t>项目不属于</w:t>
                  </w:r>
                  <w:r>
                    <w:rPr>
                      <w:rFonts w:hint="eastAsia" w:ascii="Times New Roman" w:hAnsi="Times New Roman"/>
                      <w:kern w:val="0"/>
                      <w:szCs w:val="21"/>
                      <w:u w:val="none"/>
                      <w:lang w:bidi="ar"/>
                    </w:rPr>
                    <w:t>（桂政办函〔2021〕4号）</w:t>
                  </w:r>
                  <w:r>
                    <w:rPr>
                      <w:rFonts w:hint="eastAsia" w:ascii="Times New Roman" w:hAnsi="Times New Roman"/>
                      <w:kern w:val="0"/>
                      <w:szCs w:val="21"/>
                      <w:u w:val="none"/>
                      <w:lang w:eastAsia="zh-CN" w:bidi="ar"/>
                    </w:rPr>
                    <w:t>中限制类，满足要求</w:t>
                  </w:r>
                  <w:r>
                    <w:rPr>
                      <w:rFonts w:hint="eastAsia"/>
                      <w:kern w:val="0"/>
                      <w:sz w:val="21"/>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6039CFE8">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rPr>
                    <w:t>符合</w:t>
                  </w:r>
                </w:p>
              </w:tc>
            </w:tr>
            <w:tr w14:paraId="07AF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4EEFD805">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46CBC920">
                  <w:pPr>
                    <w:widowControl/>
                    <w:numPr>
                      <w:ilvl w:val="0"/>
                      <w:numId w:val="2"/>
                    </w:numPr>
                    <w:adjustRightInd w:val="0"/>
                    <w:snapToGrid w:val="0"/>
                    <w:spacing w:line="240" w:lineRule="auto"/>
                    <w:ind w:left="0" w:leftChars="0" w:firstLine="0" w:firstLineChars="0"/>
                    <w:textAlignment w:val="center"/>
                    <w:rPr>
                      <w:rFonts w:ascii="Times New Roman" w:hAnsi="Times New Roman" w:eastAsia="宋体" w:cs="Times New Roman"/>
                      <w:kern w:val="0"/>
                      <w:szCs w:val="21"/>
                      <w:u w:val="none"/>
                    </w:rPr>
                  </w:pPr>
                  <w:r>
                    <w:rPr>
                      <w:rFonts w:hint="eastAsia" w:ascii="Times New Roman" w:hAnsi="Times New Roman"/>
                      <w:kern w:val="0"/>
                      <w:szCs w:val="21"/>
                      <w:u w:val="none"/>
                      <w:lang w:bidi="ar"/>
                    </w:rPr>
                    <w:t>新建、扩建的石化、化工、焦化项目应按照《关于加强高耗能、高排放建设项目生态环境源头防控的指导意见》布设在依法合规设立并经规划环评的产业园区。</w:t>
                  </w:r>
                </w:p>
              </w:tc>
              <w:tc>
                <w:tcPr>
                  <w:tcW w:w="1954" w:type="dxa"/>
                  <w:tcBorders>
                    <w:top w:val="single" w:color="auto" w:sz="4" w:space="0"/>
                    <w:left w:val="nil"/>
                    <w:bottom w:val="single" w:color="auto" w:sz="4" w:space="0"/>
                    <w:right w:val="single" w:color="auto" w:sz="4" w:space="0"/>
                  </w:tcBorders>
                  <w:noWrap w:val="0"/>
                  <w:vAlign w:val="center"/>
                </w:tcPr>
                <w:p w14:paraId="04BEAEC8">
                  <w:pPr>
                    <w:widowControl/>
                    <w:adjustRightInd w:val="0"/>
                    <w:snapToGrid w:val="0"/>
                    <w:spacing w:line="240" w:lineRule="auto"/>
                    <w:ind w:firstLine="0" w:firstLineChars="0"/>
                    <w:jc w:val="both"/>
                    <w:textAlignment w:val="center"/>
                    <w:rPr>
                      <w:rFonts w:ascii="Times New Roman" w:hAnsi="Times New Roman" w:eastAsia="宋体" w:cs="Times New Roman"/>
                      <w:kern w:val="0"/>
                      <w:szCs w:val="21"/>
                      <w:u w:val="none"/>
                    </w:rPr>
                  </w:pPr>
                  <w:r>
                    <w:rPr>
                      <w:rFonts w:hint="eastAsia" w:ascii="Times New Roman" w:hAnsi="Times New Roman" w:eastAsia="宋体" w:cs="Times New Roman"/>
                      <w:b w:val="0"/>
                      <w:bCs w:val="0"/>
                      <w:szCs w:val="21"/>
                      <w:u w:val="none"/>
                      <w:lang w:eastAsia="zh-CN"/>
                    </w:rPr>
                    <w:t>项目为</w:t>
                  </w:r>
                  <w:r>
                    <w:rPr>
                      <w:rFonts w:hint="eastAsia" w:ascii="Times New Roman" w:hAnsi="Times New Roman" w:eastAsia="宋体" w:cs="Times New Roman"/>
                      <w:b w:val="0"/>
                      <w:bCs w:val="0"/>
                      <w:szCs w:val="21"/>
                      <w:u w:val="none"/>
                      <w:lang w:val="en-US" w:eastAsia="zh-CN"/>
                    </w:rPr>
                    <w:t>危险化学品仓储项目。</w:t>
                  </w:r>
                </w:p>
              </w:tc>
              <w:tc>
                <w:tcPr>
                  <w:tcW w:w="595" w:type="dxa"/>
                  <w:tcBorders>
                    <w:top w:val="single" w:color="auto" w:sz="4" w:space="0"/>
                    <w:left w:val="nil"/>
                    <w:bottom w:val="single" w:color="auto" w:sz="4" w:space="0"/>
                    <w:right w:val="single" w:color="auto" w:sz="4" w:space="0"/>
                  </w:tcBorders>
                  <w:noWrap w:val="0"/>
                  <w:vAlign w:val="center"/>
                </w:tcPr>
                <w:p w14:paraId="2A6E13A9">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21AF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408A808D">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29DAB7D6">
                  <w:pPr>
                    <w:widowControl/>
                    <w:numPr>
                      <w:ilvl w:val="0"/>
                      <w:numId w:val="2"/>
                    </w:numPr>
                    <w:adjustRightInd w:val="0"/>
                    <w:snapToGrid w:val="0"/>
                    <w:spacing w:line="240" w:lineRule="auto"/>
                    <w:ind w:left="0" w:leftChars="0" w:firstLine="0" w:firstLineChars="0"/>
                    <w:textAlignment w:val="center"/>
                    <w:rPr>
                      <w:rFonts w:ascii="Times New Roman" w:hAnsi="Times New Roman" w:eastAsia="宋体" w:cs="Times New Roman"/>
                      <w:kern w:val="0"/>
                      <w:szCs w:val="21"/>
                      <w:u w:val="none"/>
                    </w:rPr>
                  </w:pPr>
                  <w:r>
                    <w:rPr>
                      <w:rFonts w:hint="eastAsia" w:ascii="Times New Roman" w:hAnsi="Times New Roman"/>
                      <w:kern w:val="0"/>
                      <w:szCs w:val="21"/>
                      <w:u w:val="none"/>
                      <w:lang w:bidi="ar"/>
                    </w:rPr>
                    <w:t>海洋开发和海岸开发各类活动，大陆自然岸线保有率标准不低于35%、无居民海岛岸线长度保有率标准不低于85%。</w:t>
                  </w:r>
                </w:p>
              </w:tc>
              <w:tc>
                <w:tcPr>
                  <w:tcW w:w="1954" w:type="dxa"/>
                  <w:tcBorders>
                    <w:top w:val="single" w:color="auto" w:sz="4" w:space="0"/>
                    <w:left w:val="nil"/>
                    <w:bottom w:val="single" w:color="auto" w:sz="4" w:space="0"/>
                    <w:right w:val="single" w:color="auto" w:sz="4" w:space="0"/>
                  </w:tcBorders>
                  <w:noWrap w:val="0"/>
                  <w:vAlign w:val="center"/>
                </w:tcPr>
                <w:p w14:paraId="31C9F133">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项目不涉及水域养殖活动</w:t>
                  </w:r>
                  <w:r>
                    <w:rPr>
                      <w:rFonts w:hint="eastAsia" w:ascii="Times New Roman" w:hAnsi="Times New Roman" w:eastAsia="宋体" w:cs="Times New Roman"/>
                      <w:kern w:val="0"/>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3C28A8A9">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0A2D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5DE7DA06">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56B82D52">
                  <w:pPr>
                    <w:numPr>
                      <w:ilvl w:val="0"/>
                      <w:numId w:val="2"/>
                    </w:numPr>
                    <w:adjustRightInd w:val="0"/>
                    <w:snapToGrid w:val="0"/>
                    <w:spacing w:line="240" w:lineRule="auto"/>
                    <w:ind w:left="0" w:leftChars="0" w:firstLine="0" w:firstLineChars="0"/>
                    <w:rPr>
                      <w:rFonts w:ascii="Times New Roman" w:hAnsi="Times New Roman" w:eastAsia="宋体" w:cs="Times New Roman"/>
                      <w:kern w:val="0"/>
                      <w:szCs w:val="21"/>
                      <w:u w:val="none"/>
                    </w:rPr>
                  </w:pPr>
                  <w:r>
                    <w:rPr>
                      <w:rFonts w:hint="eastAsia" w:ascii="Times New Roman" w:hAnsi="Times New Roman"/>
                      <w:kern w:val="0"/>
                      <w:szCs w:val="21"/>
                      <w:u w:val="none"/>
                    </w:rPr>
                    <w:t>推进海域资源市场化配置，严控新增围填海造地，完善围填海总量管控，除国家重大战略项目外，全面停止新增围填海项目审批，全面清理非法占用海洋生态保护红线区域的围填海项目。</w:t>
                  </w:r>
                </w:p>
              </w:tc>
              <w:tc>
                <w:tcPr>
                  <w:tcW w:w="1954" w:type="dxa"/>
                  <w:tcBorders>
                    <w:top w:val="single" w:color="auto" w:sz="4" w:space="0"/>
                    <w:left w:val="nil"/>
                    <w:bottom w:val="single" w:color="auto" w:sz="4" w:space="0"/>
                    <w:right w:val="single" w:color="auto" w:sz="4" w:space="0"/>
                  </w:tcBorders>
                  <w:noWrap w:val="0"/>
                  <w:vAlign w:val="center"/>
                </w:tcPr>
                <w:p w14:paraId="09F0616A">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项目不在海洋生态保护红线内</w:t>
                  </w:r>
                  <w:r>
                    <w:rPr>
                      <w:rFonts w:hint="eastAsia" w:ascii="Times New Roman" w:hAnsi="Times New Roman" w:eastAsia="宋体" w:cs="Times New Roman"/>
                      <w:kern w:val="0"/>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49B1FCCF">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3A2B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684A7480">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3FE2795C">
                  <w:pPr>
                    <w:adjustRightInd w:val="0"/>
                    <w:snapToGrid w:val="0"/>
                    <w:spacing w:line="240" w:lineRule="auto"/>
                    <w:ind w:firstLine="0" w:firstLineChars="0"/>
                    <w:rPr>
                      <w:rFonts w:ascii="Times New Roman" w:hAnsi="Times New Roman" w:eastAsia="宋体" w:cs="Times New Roman"/>
                      <w:kern w:val="0"/>
                      <w:szCs w:val="21"/>
                      <w:u w:val="none"/>
                    </w:rPr>
                  </w:pPr>
                  <w:r>
                    <w:rPr>
                      <w:rFonts w:hint="eastAsia" w:ascii="Times New Roman" w:hAnsi="Times New Roman"/>
                      <w:kern w:val="0"/>
                      <w:szCs w:val="21"/>
                      <w:u w:val="none"/>
                    </w:rPr>
                    <w:t>10</w:t>
                  </w:r>
                  <w:r>
                    <w:rPr>
                      <w:rFonts w:hint="eastAsia" w:ascii="Times New Roman" w:hAnsi="Times New Roman"/>
                      <w:kern w:val="0"/>
                      <w:szCs w:val="21"/>
                      <w:u w:val="none"/>
                      <w:lang w:val="en-US" w:eastAsia="zh-CN"/>
                    </w:rPr>
                    <w:t xml:space="preserve"> </w:t>
                  </w:r>
                  <w:r>
                    <w:rPr>
                      <w:rFonts w:hint="eastAsia" w:ascii="Times New Roman" w:hAnsi="Times New Roman"/>
                      <w:kern w:val="0"/>
                      <w:szCs w:val="21"/>
                      <w:u w:val="none"/>
                      <w:lang w:bidi="ar"/>
                    </w:rPr>
                    <w:t>科学论证在三娘湾海洋保护区、茅尾海中部海洋保护区及周边区域的开发利用活动，严格落实保护区管理要求。</w:t>
                  </w:r>
                </w:p>
              </w:tc>
              <w:tc>
                <w:tcPr>
                  <w:tcW w:w="1954" w:type="dxa"/>
                  <w:tcBorders>
                    <w:top w:val="single" w:color="auto" w:sz="4" w:space="0"/>
                    <w:left w:val="nil"/>
                    <w:bottom w:val="single" w:color="auto" w:sz="4" w:space="0"/>
                    <w:right w:val="single" w:color="auto" w:sz="4" w:space="0"/>
                  </w:tcBorders>
                  <w:noWrap w:val="0"/>
                  <w:vAlign w:val="center"/>
                </w:tcPr>
                <w:p w14:paraId="4AE7C7A8">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项目不占三娘湾海洋保护区、茅尾海中部海洋保护区及周边区域</w:t>
                  </w:r>
                  <w:r>
                    <w:rPr>
                      <w:rFonts w:hint="eastAsia" w:ascii="Times New Roman" w:hAnsi="Times New Roman" w:eastAsia="宋体" w:cs="Times New Roman"/>
                      <w:kern w:val="0"/>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6C4F1FEC">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73B2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56A8D87F">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2F52D4CC">
                  <w:pPr>
                    <w:numPr>
                      <w:ilvl w:val="0"/>
                      <w:numId w:val="0"/>
                    </w:numPr>
                    <w:adjustRightInd w:val="0"/>
                    <w:snapToGrid w:val="0"/>
                    <w:spacing w:line="240" w:lineRule="auto"/>
                    <w:ind w:leftChars="0"/>
                    <w:rPr>
                      <w:rFonts w:ascii="Times New Roman" w:hAnsi="Times New Roman" w:eastAsia="宋体" w:cs="Times New Roman"/>
                      <w:kern w:val="0"/>
                      <w:szCs w:val="21"/>
                      <w:u w:val="none"/>
                    </w:rPr>
                  </w:pPr>
                  <w:r>
                    <w:rPr>
                      <w:rFonts w:hint="eastAsia" w:ascii="Times New Roman" w:hAnsi="Times New Roman"/>
                      <w:kern w:val="0"/>
                      <w:szCs w:val="21"/>
                      <w:u w:val="none"/>
                      <w:lang w:val="en-US" w:eastAsia="zh-CN"/>
                    </w:rPr>
                    <w:t xml:space="preserve">11 </w:t>
                  </w:r>
                  <w:r>
                    <w:rPr>
                      <w:rFonts w:hint="eastAsia" w:ascii="Times New Roman" w:hAnsi="Times New Roman"/>
                      <w:kern w:val="0"/>
                      <w:szCs w:val="21"/>
                      <w:u w:val="none"/>
                    </w:rPr>
                    <w:t>严格按照相关法律法规及海洋国土空间规划等要求，规范设置和监管入海排污口。禁止采挖海砂、设置直排排污口及其他破坏河口生态功能的开发活动。</w:t>
                  </w:r>
                </w:p>
              </w:tc>
              <w:tc>
                <w:tcPr>
                  <w:tcW w:w="1954" w:type="dxa"/>
                  <w:tcBorders>
                    <w:top w:val="single" w:color="auto" w:sz="4" w:space="0"/>
                    <w:left w:val="nil"/>
                    <w:bottom w:val="single" w:color="auto" w:sz="4" w:space="0"/>
                    <w:right w:val="single" w:color="auto" w:sz="4" w:space="0"/>
                  </w:tcBorders>
                  <w:noWrap w:val="0"/>
                  <w:vAlign w:val="center"/>
                </w:tcPr>
                <w:p w14:paraId="2BB1CFFC">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val="en-US" w:eastAsia="zh-CN"/>
                    </w:rPr>
                  </w:pPr>
                  <w:r>
                    <w:rPr>
                      <w:rFonts w:hint="eastAsia" w:ascii="Times New Roman" w:hAnsi="Times New Roman" w:eastAsia="宋体" w:cs="Times New Roman"/>
                      <w:kern w:val="0"/>
                      <w:szCs w:val="21"/>
                      <w:u w:val="none"/>
                      <w:lang w:val="en-US" w:eastAsia="zh-CN"/>
                    </w:rPr>
                    <w:t>项目不新增入海排污口；不涉及</w:t>
                  </w:r>
                  <w:r>
                    <w:rPr>
                      <w:rFonts w:hint="eastAsia" w:ascii="Times New Roman" w:hAnsi="Times New Roman"/>
                      <w:kern w:val="0"/>
                      <w:szCs w:val="21"/>
                      <w:u w:val="none"/>
                    </w:rPr>
                    <w:t>采挖海砂及其他破坏河口生态功能的开发活动</w:t>
                  </w:r>
                  <w:r>
                    <w:rPr>
                      <w:rFonts w:hint="eastAsia" w:ascii="Times New Roman" w:hAnsi="Times New Roman"/>
                      <w:kern w:val="0"/>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41F9E5F8">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rPr>
                    <w:t>符合</w:t>
                  </w:r>
                </w:p>
              </w:tc>
            </w:tr>
            <w:tr w14:paraId="5B2B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42615E9E">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71A2E3CF">
                  <w:pPr>
                    <w:numPr>
                      <w:ilvl w:val="0"/>
                      <w:numId w:val="3"/>
                    </w:numPr>
                    <w:adjustRightInd w:val="0"/>
                    <w:snapToGrid w:val="0"/>
                    <w:spacing w:line="240" w:lineRule="auto"/>
                    <w:ind w:firstLine="0" w:firstLineChars="0"/>
                    <w:rPr>
                      <w:rFonts w:ascii="Times New Roman" w:hAnsi="Times New Roman" w:eastAsia="宋体" w:cs="Times New Roman"/>
                      <w:kern w:val="0"/>
                      <w:szCs w:val="21"/>
                      <w:u w:val="none"/>
                    </w:rPr>
                  </w:pPr>
                  <w:r>
                    <w:rPr>
                      <w:rFonts w:hint="eastAsia" w:ascii="Times New Roman" w:hAnsi="Times New Roman"/>
                      <w:kern w:val="0"/>
                      <w:szCs w:val="21"/>
                      <w:u w:val="none"/>
                    </w:rPr>
                    <w:t>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w:t>
                  </w:r>
                </w:p>
              </w:tc>
              <w:tc>
                <w:tcPr>
                  <w:tcW w:w="1954" w:type="dxa"/>
                  <w:tcBorders>
                    <w:top w:val="single" w:color="auto" w:sz="4" w:space="0"/>
                    <w:left w:val="nil"/>
                    <w:bottom w:val="single" w:color="auto" w:sz="4" w:space="0"/>
                    <w:right w:val="single" w:color="auto" w:sz="4" w:space="0"/>
                  </w:tcBorders>
                  <w:noWrap w:val="0"/>
                  <w:vAlign w:val="center"/>
                </w:tcPr>
                <w:p w14:paraId="6FE97DE6">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本项目不涉及</w:t>
                  </w:r>
                  <w:r>
                    <w:rPr>
                      <w:rFonts w:hint="eastAsia" w:ascii="Times New Roman" w:hAnsi="Times New Roman" w:eastAsia="宋体" w:cs="Times New Roman"/>
                      <w:kern w:val="0"/>
                      <w:szCs w:val="21"/>
                      <w:u w:val="none"/>
                      <w:lang w:eastAsia="zh-CN"/>
                    </w:rPr>
                    <w:t>沙滩和红树林，不涉及滨海海岸线。</w:t>
                  </w:r>
                </w:p>
              </w:tc>
              <w:tc>
                <w:tcPr>
                  <w:tcW w:w="595" w:type="dxa"/>
                  <w:tcBorders>
                    <w:top w:val="single" w:color="auto" w:sz="4" w:space="0"/>
                    <w:left w:val="nil"/>
                    <w:bottom w:val="single" w:color="auto" w:sz="4" w:space="0"/>
                    <w:right w:val="single" w:color="auto" w:sz="4" w:space="0"/>
                  </w:tcBorders>
                  <w:noWrap w:val="0"/>
                  <w:vAlign w:val="center"/>
                </w:tcPr>
                <w:p w14:paraId="006F7EB9">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2DA4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4CF3B08E">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031BE346">
                  <w:pPr>
                    <w:numPr>
                      <w:ilvl w:val="0"/>
                      <w:numId w:val="3"/>
                    </w:numPr>
                    <w:adjustRightInd w:val="0"/>
                    <w:snapToGrid w:val="0"/>
                    <w:spacing w:line="240" w:lineRule="auto"/>
                    <w:ind w:left="0" w:leftChars="0" w:firstLine="0" w:firstLineChars="0"/>
                    <w:rPr>
                      <w:u w:val="none"/>
                    </w:rPr>
                  </w:pPr>
                  <w:r>
                    <w:rPr>
                      <w:rFonts w:hint="eastAsia"/>
                      <w:u w:val="none"/>
                    </w:rPr>
                    <w:t>严格用途管制，坚持陆海统筹，严禁国家产业政策淘汰类、限制类项目在滨海湿地布局，实现山水林田湖草整体保护、系统修复、综合治理。</w:t>
                  </w:r>
                </w:p>
              </w:tc>
              <w:tc>
                <w:tcPr>
                  <w:tcW w:w="1954" w:type="dxa"/>
                  <w:tcBorders>
                    <w:top w:val="single" w:color="auto" w:sz="4" w:space="0"/>
                    <w:left w:val="nil"/>
                    <w:bottom w:val="single" w:color="auto" w:sz="4" w:space="0"/>
                    <w:right w:val="single" w:color="auto" w:sz="4" w:space="0"/>
                  </w:tcBorders>
                  <w:noWrap w:val="0"/>
                  <w:vAlign w:val="center"/>
                </w:tcPr>
                <w:p w14:paraId="68F4781D">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项目</w:t>
                  </w:r>
                  <w:r>
                    <w:rPr>
                      <w:rFonts w:hint="eastAsia" w:ascii="Times New Roman" w:hAnsi="Times New Roman" w:eastAsia="宋体" w:cs="Times New Roman"/>
                      <w:kern w:val="0"/>
                      <w:szCs w:val="21"/>
                      <w:u w:val="none"/>
                      <w:lang w:eastAsia="zh-CN"/>
                    </w:rPr>
                    <w:t>不在</w:t>
                  </w:r>
                  <w:r>
                    <w:rPr>
                      <w:rFonts w:hint="eastAsia" w:ascii="Times New Roman" w:hAnsi="Times New Roman"/>
                      <w:kern w:val="0"/>
                      <w:szCs w:val="21"/>
                      <w:u w:val="none"/>
                    </w:rPr>
                    <w:t>滨海湿地布局</w:t>
                  </w:r>
                  <w:r>
                    <w:rPr>
                      <w:rFonts w:hint="eastAsia" w:ascii="Times New Roman" w:hAnsi="Times New Roman"/>
                      <w:kern w:val="0"/>
                      <w:szCs w:val="21"/>
                      <w:u w:val="none"/>
                      <w:lang w:eastAsia="zh-CN"/>
                    </w:rPr>
                    <w:t>内。</w:t>
                  </w:r>
                </w:p>
              </w:tc>
              <w:tc>
                <w:tcPr>
                  <w:tcW w:w="595" w:type="dxa"/>
                  <w:tcBorders>
                    <w:top w:val="single" w:color="auto" w:sz="4" w:space="0"/>
                    <w:left w:val="nil"/>
                    <w:bottom w:val="single" w:color="auto" w:sz="4" w:space="0"/>
                    <w:right w:val="single" w:color="auto" w:sz="4" w:space="0"/>
                  </w:tcBorders>
                  <w:noWrap w:val="0"/>
                  <w:vAlign w:val="center"/>
                </w:tcPr>
                <w:p w14:paraId="7A2A833D">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rPr>
                    <w:t>符合</w:t>
                  </w:r>
                </w:p>
              </w:tc>
            </w:tr>
            <w:tr w14:paraId="0F4E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restart"/>
                  <w:tcBorders>
                    <w:top w:val="nil"/>
                    <w:left w:val="single" w:color="auto" w:sz="4" w:space="0"/>
                    <w:right w:val="single" w:color="auto" w:sz="4" w:space="0"/>
                  </w:tcBorders>
                  <w:noWrap w:val="0"/>
                  <w:vAlign w:val="center"/>
                </w:tcPr>
                <w:p w14:paraId="34E3B94D">
                  <w:pPr>
                    <w:adjustRightInd w:val="0"/>
                    <w:snapToGrid w:val="0"/>
                    <w:spacing w:line="240" w:lineRule="auto"/>
                    <w:ind w:firstLine="0" w:firstLineChars="0"/>
                    <w:jc w:val="center"/>
                    <w:rPr>
                      <w:rFonts w:ascii="Times New Roman" w:hAnsi="Times New Roman" w:eastAsia="宋体" w:cs="Times New Roman"/>
                      <w:kern w:val="0"/>
                      <w:szCs w:val="21"/>
                      <w:u w:val="none"/>
                    </w:rPr>
                  </w:pPr>
                  <w:r>
                    <w:rPr>
                      <w:rFonts w:ascii="Times New Roman" w:hAnsi="Times New Roman" w:eastAsia="宋体" w:cs="Times New Roman"/>
                      <w:kern w:val="0"/>
                      <w:szCs w:val="21"/>
                      <w:u w:val="none"/>
                    </w:rPr>
                    <w:t>污染物</w:t>
                  </w:r>
                </w:p>
                <w:p w14:paraId="794E34C2">
                  <w:pPr>
                    <w:adjustRightInd w:val="0"/>
                    <w:snapToGrid w:val="0"/>
                    <w:spacing w:line="240" w:lineRule="auto"/>
                    <w:ind w:firstLine="0" w:firstLineChars="0"/>
                    <w:jc w:val="center"/>
                    <w:rPr>
                      <w:rFonts w:ascii="Times New Roman" w:hAnsi="Times New Roman" w:eastAsia="宋体" w:cs="Times New Roman"/>
                      <w:szCs w:val="21"/>
                      <w:u w:val="none"/>
                    </w:rPr>
                  </w:pPr>
                  <w:r>
                    <w:rPr>
                      <w:rFonts w:ascii="Times New Roman" w:hAnsi="Times New Roman" w:eastAsia="宋体" w:cs="Times New Roman"/>
                      <w:kern w:val="0"/>
                      <w:szCs w:val="21"/>
                      <w:u w:val="none"/>
                    </w:rPr>
                    <w:t>排放管控</w:t>
                  </w:r>
                </w:p>
              </w:tc>
              <w:tc>
                <w:tcPr>
                  <w:tcW w:w="3745" w:type="dxa"/>
                  <w:tcBorders>
                    <w:top w:val="single" w:color="auto" w:sz="4" w:space="0"/>
                    <w:left w:val="nil"/>
                    <w:bottom w:val="single" w:color="auto" w:sz="4" w:space="0"/>
                    <w:right w:val="single" w:color="auto" w:sz="4" w:space="0"/>
                  </w:tcBorders>
                  <w:noWrap w:val="0"/>
                  <w:vAlign w:val="center"/>
                </w:tcPr>
                <w:p w14:paraId="7B6103D4">
                  <w:pPr>
                    <w:widowControl/>
                    <w:numPr>
                      <w:ilvl w:val="0"/>
                      <w:numId w:val="4"/>
                    </w:numPr>
                    <w:adjustRightInd w:val="0"/>
                    <w:snapToGrid w:val="0"/>
                    <w:spacing w:line="240" w:lineRule="auto"/>
                    <w:ind w:firstLine="0" w:firstLineChars="0"/>
                    <w:textAlignment w:val="center"/>
                    <w:rPr>
                      <w:rFonts w:ascii="Times New Roman" w:hAnsi="Times New Roman"/>
                      <w:kern w:val="0"/>
                      <w:szCs w:val="21"/>
                      <w:u w:val="none"/>
                      <w:lang w:bidi="ar"/>
                    </w:rPr>
                  </w:pPr>
                  <w:r>
                    <w:rPr>
                      <w:rFonts w:hint="eastAsia" w:ascii="Times New Roman" w:hAnsi="Times New Roman"/>
                      <w:kern w:val="0"/>
                      <w:szCs w:val="21"/>
                      <w:u w:val="none"/>
                      <w:lang w:bidi="ar"/>
                    </w:rPr>
                    <w:t>落实《钦州工业污染源全面达标排放计划实施方案》，以钢铁、火电、水泥、煤炭、造纸、印染、污水处理、垃圾焚烧、制糖、酒精、有色金属、化工、铁合金、氮肥、农副食品加工、原料药制造、制革、农药、电镀、印刷、垃圾填埋等行业为重点，全面推进行业达标排放改造。新建、改建、扩建的制浆造纸、印染、纺织、煤化工、石化、煤电等建设项目新增主要污染物排放应控制在区域总量内的要求，确保环境质量达标。</w:t>
                  </w:r>
                </w:p>
              </w:tc>
              <w:tc>
                <w:tcPr>
                  <w:tcW w:w="1954" w:type="dxa"/>
                  <w:tcBorders>
                    <w:top w:val="single" w:color="auto" w:sz="4" w:space="0"/>
                    <w:left w:val="nil"/>
                    <w:bottom w:val="single" w:color="auto" w:sz="4" w:space="0"/>
                    <w:right w:val="single" w:color="auto" w:sz="4" w:space="0"/>
                  </w:tcBorders>
                  <w:noWrap w:val="0"/>
                  <w:vAlign w:val="center"/>
                </w:tcPr>
                <w:p w14:paraId="3287365C">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color w:val="auto"/>
                      <w:kern w:val="0"/>
                      <w:szCs w:val="21"/>
                      <w:u w:val="none"/>
                      <w:lang w:eastAsia="zh-CN"/>
                    </w:rPr>
                    <w:t>项目不涉及钢铁、火电、水泥、煤炭、造纸、印染、污水处理、垃圾焚烧、制糖、酒精、有色金属、化工、铁合金、氮肥、农副食品加工、原料药制造、制革、农药、电镀、印刷、垃圾填埋、</w:t>
                  </w:r>
                  <w:r>
                    <w:rPr>
                      <w:rFonts w:hint="eastAsia" w:ascii="Times New Roman" w:hAnsi="Times New Roman"/>
                      <w:kern w:val="0"/>
                      <w:szCs w:val="21"/>
                      <w:u w:val="none"/>
                      <w:lang w:bidi="ar"/>
                    </w:rPr>
                    <w:t>制浆造纸、印染、纺织、煤化工、石化、煤电</w:t>
                  </w:r>
                  <w:r>
                    <w:rPr>
                      <w:rFonts w:hint="eastAsia" w:ascii="Times New Roman" w:hAnsi="Times New Roman"/>
                      <w:kern w:val="0"/>
                      <w:szCs w:val="21"/>
                      <w:u w:val="none"/>
                      <w:lang w:eastAsia="zh-CN" w:bidi="ar"/>
                    </w:rPr>
                    <w:t>等行业</w:t>
                  </w:r>
                  <w:r>
                    <w:rPr>
                      <w:rFonts w:hint="eastAsia" w:ascii="Times New Roman" w:hAnsi="Times New Roman" w:eastAsia="宋体" w:cs="Times New Roman"/>
                      <w:color w:val="auto"/>
                      <w:kern w:val="0"/>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57420A14">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4B09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42E6435D">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2762677D">
                  <w:pPr>
                    <w:widowControl/>
                    <w:numPr>
                      <w:ilvl w:val="0"/>
                      <w:numId w:val="4"/>
                    </w:numPr>
                    <w:adjustRightInd w:val="0"/>
                    <w:snapToGrid w:val="0"/>
                    <w:spacing w:line="240" w:lineRule="auto"/>
                    <w:ind w:left="0" w:leftChars="0" w:firstLine="0" w:firstLineChars="0"/>
                    <w:textAlignment w:val="center"/>
                    <w:rPr>
                      <w:rFonts w:ascii="Times New Roman" w:hAnsi="Times New Roman"/>
                      <w:kern w:val="0"/>
                      <w:szCs w:val="21"/>
                      <w:u w:val="none"/>
                      <w:lang w:bidi="ar"/>
                    </w:rPr>
                  </w:pPr>
                  <w:r>
                    <w:rPr>
                      <w:rFonts w:hint="eastAsia" w:ascii="Times New Roman" w:hAnsi="Times New Roman"/>
                      <w:kern w:val="0"/>
                      <w:szCs w:val="21"/>
                      <w:u w:val="none"/>
                      <w:lang w:bidi="ar"/>
                    </w:rPr>
                    <w:t>推进全市自治区级及以上工业园区污水管网全覆盖，提高工业企业水循环利用率，按照“清污分流、雨污分流”原则，实施废水分类收集、分质处理，入园企业在达到国家或地方规定的排放标准后接入园区集中式</w:t>
                  </w:r>
                  <w:r>
                    <w:rPr>
                      <w:rFonts w:hint="eastAsia" w:ascii="Times New Roman" w:hAnsi="Times New Roman"/>
                      <w:kern w:val="0"/>
                      <w:szCs w:val="21"/>
                      <w:u w:val="none"/>
                      <w:lang w:eastAsia="zh-CN" w:bidi="ar"/>
                    </w:rPr>
                    <w:t>化粪池</w:t>
                  </w:r>
                  <w:r>
                    <w:rPr>
                      <w:rFonts w:hint="eastAsia" w:ascii="Times New Roman" w:hAnsi="Times New Roman"/>
                      <w:kern w:val="0"/>
                      <w:szCs w:val="21"/>
                      <w:u w:val="none"/>
                      <w:lang w:bidi="ar"/>
                    </w:rPr>
                    <w:t>稳定达标排放；加快推进深海排放基础设施建设。</w:t>
                  </w:r>
                </w:p>
              </w:tc>
              <w:tc>
                <w:tcPr>
                  <w:tcW w:w="1954" w:type="dxa"/>
                  <w:tcBorders>
                    <w:top w:val="single" w:color="auto" w:sz="4" w:space="0"/>
                    <w:left w:val="nil"/>
                    <w:bottom w:val="single" w:color="auto" w:sz="4" w:space="0"/>
                    <w:right w:val="single" w:color="auto" w:sz="4" w:space="0"/>
                  </w:tcBorders>
                  <w:noWrap w:val="0"/>
                  <w:vAlign w:val="center"/>
                </w:tcPr>
                <w:p w14:paraId="1CF30803">
                  <w:pPr>
                    <w:widowControl/>
                    <w:adjustRightInd w:val="0"/>
                    <w:snapToGrid w:val="0"/>
                    <w:spacing w:line="240" w:lineRule="auto"/>
                    <w:ind w:firstLine="0" w:firstLineChars="0"/>
                    <w:jc w:val="both"/>
                    <w:textAlignment w:val="center"/>
                    <w:rPr>
                      <w:rFonts w:ascii="Times New Roman" w:hAnsi="Times New Roman" w:eastAsia="宋体" w:cs="Times New Roman"/>
                      <w:kern w:val="0"/>
                      <w:szCs w:val="21"/>
                      <w:u w:val="none"/>
                    </w:rPr>
                  </w:pPr>
                  <w:r>
                    <w:rPr>
                      <w:rFonts w:hint="eastAsia"/>
                      <w:color w:val="000000"/>
                      <w:szCs w:val="21"/>
                      <w:u w:val="none"/>
                      <w:lang w:eastAsia="zh-CN"/>
                    </w:rPr>
                    <w:t>本项目</w:t>
                  </w:r>
                  <w:r>
                    <w:rPr>
                      <w:rFonts w:hint="eastAsia"/>
                      <w:color w:val="000000"/>
                      <w:szCs w:val="21"/>
                      <w:u w:val="none"/>
                      <w:lang w:val="en-US" w:eastAsia="zh-CN"/>
                    </w:rPr>
                    <w:t>初期雨水、事故废水排至钦州港工业污水集中处理厂处理</w:t>
                  </w:r>
                  <w:r>
                    <w:rPr>
                      <w:rFonts w:hint="eastAsia" w:ascii="Times New Roman" w:hAnsi="Times New Roman"/>
                      <w:kern w:val="0"/>
                      <w:szCs w:val="21"/>
                      <w:u w:val="none"/>
                      <w:lang w:eastAsia="zh-CN"/>
                    </w:rPr>
                    <w:t>，</w:t>
                  </w:r>
                  <w:r>
                    <w:rPr>
                      <w:rFonts w:hint="eastAsia" w:ascii="Times New Roman" w:hAnsi="Times New Roman"/>
                      <w:kern w:val="0"/>
                      <w:szCs w:val="21"/>
                      <w:u w:val="none"/>
                      <w:lang w:val="en-US" w:eastAsia="zh-CN" w:bidi="ar"/>
                    </w:rPr>
                    <w:t>事故废水不能满足胜科污水处理进水水质指标时，委托有相关资质单位处置。</w:t>
                  </w:r>
                </w:p>
              </w:tc>
              <w:tc>
                <w:tcPr>
                  <w:tcW w:w="595" w:type="dxa"/>
                  <w:tcBorders>
                    <w:top w:val="single" w:color="auto" w:sz="4" w:space="0"/>
                    <w:left w:val="nil"/>
                    <w:bottom w:val="single" w:color="auto" w:sz="4" w:space="0"/>
                    <w:right w:val="single" w:color="auto" w:sz="4" w:space="0"/>
                  </w:tcBorders>
                  <w:noWrap w:val="0"/>
                  <w:vAlign w:val="center"/>
                </w:tcPr>
                <w:p w14:paraId="1F737D22">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rPr>
                    <w:t>符合</w:t>
                  </w:r>
                </w:p>
              </w:tc>
            </w:tr>
            <w:tr w14:paraId="4687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3E5A098B">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611AD8BA">
                  <w:pPr>
                    <w:widowControl/>
                    <w:numPr>
                      <w:ilvl w:val="0"/>
                      <w:numId w:val="4"/>
                    </w:numPr>
                    <w:adjustRightInd w:val="0"/>
                    <w:snapToGrid w:val="0"/>
                    <w:spacing w:line="240" w:lineRule="auto"/>
                    <w:ind w:left="0" w:leftChars="0" w:firstLine="0" w:firstLineChars="0"/>
                    <w:textAlignment w:val="center"/>
                    <w:rPr>
                      <w:rFonts w:ascii="Times New Roman" w:hAnsi="Times New Roman"/>
                      <w:kern w:val="0"/>
                      <w:szCs w:val="21"/>
                      <w:u w:val="none"/>
                      <w:lang w:bidi="ar"/>
                    </w:rPr>
                  </w:pPr>
                  <w:r>
                    <w:rPr>
                      <w:rFonts w:hint="eastAsia" w:ascii="Times New Roman" w:hAnsi="Times New Roman"/>
                      <w:kern w:val="0"/>
                      <w:szCs w:val="21"/>
                      <w:u w:val="none"/>
                      <w:lang w:bidi="ar"/>
                    </w:rPr>
                    <w:t>开展陆海统筹流域治理，深化钦江、大风江、茅岭江、南流江等流域水环境综合整治，钦江、南流江流域切实开展截污、拔污、清污、治污专项行动，以“控磷除氮”为重点，抓好养殖、生活、工业、农业面源等污染综合治理和河道生态修复。全面开展茅尾海、钦州湾等重点海域综合整治。严厉打击非法用海抽砂行为，优化茅尾海等海域养殖规划布局，整治非法养殖。完善钦州港区污水截流及雨污分流、海上水产养殖尾水整治。</w:t>
                  </w:r>
                </w:p>
              </w:tc>
              <w:tc>
                <w:tcPr>
                  <w:tcW w:w="1954" w:type="dxa"/>
                  <w:tcBorders>
                    <w:top w:val="single" w:color="auto" w:sz="4" w:space="0"/>
                    <w:left w:val="nil"/>
                    <w:bottom w:val="single" w:color="auto" w:sz="4" w:space="0"/>
                    <w:right w:val="single" w:color="auto" w:sz="4" w:space="0"/>
                  </w:tcBorders>
                  <w:noWrap w:val="0"/>
                  <w:vAlign w:val="center"/>
                </w:tcPr>
                <w:p w14:paraId="15CAC809">
                  <w:pPr>
                    <w:widowControl/>
                    <w:adjustRightInd w:val="0"/>
                    <w:snapToGrid w:val="0"/>
                    <w:spacing w:line="240" w:lineRule="auto"/>
                    <w:ind w:firstLine="0" w:firstLineChars="0"/>
                    <w:jc w:val="both"/>
                    <w:textAlignment w:val="center"/>
                    <w:rPr>
                      <w:rFonts w:hint="default" w:ascii="Times New Roman" w:hAnsi="Times New Roman" w:eastAsia="宋体" w:cs="Times New Roman"/>
                      <w:kern w:val="0"/>
                      <w:szCs w:val="21"/>
                      <w:u w:val="none"/>
                      <w:lang w:val="en-US" w:eastAsia="zh-CN"/>
                    </w:rPr>
                  </w:pPr>
                  <w:r>
                    <w:rPr>
                      <w:rFonts w:hint="eastAsia"/>
                      <w:color w:val="000000"/>
                      <w:szCs w:val="21"/>
                      <w:u w:val="none"/>
                      <w:lang w:eastAsia="zh-CN"/>
                    </w:rPr>
                    <w:t>本项目</w:t>
                  </w:r>
                  <w:r>
                    <w:rPr>
                      <w:rFonts w:hint="eastAsia"/>
                      <w:color w:val="000000"/>
                      <w:szCs w:val="21"/>
                      <w:u w:val="none"/>
                      <w:lang w:val="en-US" w:eastAsia="zh-CN"/>
                    </w:rPr>
                    <w:t>初期雨水、事故废水排至钦州港工业污水集中处理厂处理</w:t>
                  </w:r>
                  <w:r>
                    <w:rPr>
                      <w:rFonts w:hint="eastAsia"/>
                      <w:color w:val="auto"/>
                      <w:szCs w:val="21"/>
                      <w:u w:val="none"/>
                      <w:lang w:eastAsia="zh-CN"/>
                    </w:rPr>
                    <w:t>。</w:t>
                  </w:r>
                  <w:r>
                    <w:rPr>
                      <w:rFonts w:hint="eastAsia"/>
                      <w:color w:val="auto"/>
                      <w:szCs w:val="21"/>
                      <w:u w:val="none"/>
                      <w:lang w:val="en-US" w:eastAsia="zh-CN"/>
                    </w:rPr>
                    <w:t>项目属于危险化学品仓储，不涉及用海抽砂、海洋养殖活动。</w:t>
                  </w:r>
                </w:p>
              </w:tc>
              <w:tc>
                <w:tcPr>
                  <w:tcW w:w="595" w:type="dxa"/>
                  <w:tcBorders>
                    <w:top w:val="single" w:color="auto" w:sz="4" w:space="0"/>
                    <w:left w:val="nil"/>
                    <w:bottom w:val="single" w:color="auto" w:sz="4" w:space="0"/>
                    <w:right w:val="single" w:color="auto" w:sz="4" w:space="0"/>
                  </w:tcBorders>
                  <w:noWrap w:val="0"/>
                  <w:vAlign w:val="center"/>
                </w:tcPr>
                <w:p w14:paraId="19E19DF6">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rPr>
                    <w:t>符合</w:t>
                  </w:r>
                </w:p>
              </w:tc>
            </w:tr>
            <w:tr w14:paraId="39ED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7F6F99EA">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05EBFCE4">
                  <w:pPr>
                    <w:widowControl/>
                    <w:numPr>
                      <w:ilvl w:val="0"/>
                      <w:numId w:val="4"/>
                    </w:numPr>
                    <w:adjustRightInd w:val="0"/>
                    <w:snapToGrid w:val="0"/>
                    <w:spacing w:line="240" w:lineRule="auto"/>
                    <w:ind w:left="0" w:leftChars="0"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加强城市生活污水处理设施及配套管网建设和改造，实施雨污分流改造，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p>
              </w:tc>
              <w:tc>
                <w:tcPr>
                  <w:tcW w:w="1954" w:type="dxa"/>
                  <w:tcBorders>
                    <w:top w:val="single" w:color="auto" w:sz="4" w:space="0"/>
                    <w:left w:val="nil"/>
                    <w:bottom w:val="single" w:color="auto" w:sz="4" w:space="0"/>
                    <w:right w:val="single" w:color="auto" w:sz="4" w:space="0"/>
                  </w:tcBorders>
                  <w:noWrap w:val="0"/>
                  <w:vAlign w:val="center"/>
                </w:tcPr>
                <w:p w14:paraId="24FF4749">
                  <w:pPr>
                    <w:widowControl/>
                    <w:adjustRightInd w:val="0"/>
                    <w:snapToGrid w:val="0"/>
                    <w:spacing w:line="240" w:lineRule="auto"/>
                    <w:ind w:firstLine="0" w:firstLineChars="0"/>
                    <w:jc w:val="both"/>
                    <w:textAlignment w:val="center"/>
                    <w:rPr>
                      <w:rFonts w:hint="eastAsia" w:ascii="Times New Roman" w:hAnsi="Times New Roman" w:eastAsia="宋体" w:cs="Times New Roman"/>
                      <w:color w:val="auto"/>
                      <w:kern w:val="0"/>
                      <w:szCs w:val="21"/>
                      <w:u w:val="none"/>
                      <w:lang w:val="en-US" w:eastAsia="zh-CN"/>
                    </w:rPr>
                  </w:pPr>
                  <w:r>
                    <w:rPr>
                      <w:rFonts w:hint="eastAsia" w:ascii="Times New Roman" w:hAnsi="Times New Roman" w:eastAsia="宋体" w:cs="Times New Roman"/>
                      <w:color w:val="auto"/>
                      <w:kern w:val="0"/>
                      <w:szCs w:val="21"/>
                      <w:u w:val="none"/>
                      <w:lang w:val="en-US" w:eastAsia="zh-CN"/>
                    </w:rPr>
                    <w:t>本项目不涉及城市、城镇生活污水处理设施及配套管网相关内容，不涉及</w:t>
                  </w:r>
                  <w:r>
                    <w:rPr>
                      <w:rFonts w:hint="eastAsia" w:ascii="Times New Roman" w:hAnsi="Times New Roman"/>
                      <w:color w:val="auto"/>
                      <w:kern w:val="0"/>
                      <w:szCs w:val="21"/>
                      <w:u w:val="none"/>
                      <w:lang w:bidi="ar"/>
                    </w:rPr>
                    <w:t>黑臭水体整治</w:t>
                  </w:r>
                  <w:r>
                    <w:rPr>
                      <w:rFonts w:hint="eastAsia" w:ascii="Times New Roman" w:hAnsi="Times New Roman"/>
                      <w:color w:val="auto"/>
                      <w:kern w:val="0"/>
                      <w:szCs w:val="21"/>
                      <w:u w:val="none"/>
                      <w:lang w:val="en-US" w:eastAsia="zh-CN" w:bidi="ar"/>
                    </w:rPr>
                    <w:t>工程。</w:t>
                  </w:r>
                </w:p>
              </w:tc>
              <w:tc>
                <w:tcPr>
                  <w:tcW w:w="595" w:type="dxa"/>
                  <w:tcBorders>
                    <w:top w:val="single" w:color="auto" w:sz="4" w:space="0"/>
                    <w:left w:val="nil"/>
                    <w:bottom w:val="single" w:color="auto" w:sz="4" w:space="0"/>
                    <w:right w:val="single" w:color="auto" w:sz="4" w:space="0"/>
                  </w:tcBorders>
                  <w:noWrap w:val="0"/>
                  <w:vAlign w:val="center"/>
                </w:tcPr>
                <w:p w14:paraId="5C7D9AE4">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Cs w:val="21"/>
                      <w:u w:val="none"/>
                      <w:lang w:val="en-US" w:eastAsia="zh-CN"/>
                    </w:rPr>
                  </w:pPr>
                  <w:r>
                    <w:rPr>
                      <w:rFonts w:hint="eastAsia" w:ascii="Times New Roman" w:hAnsi="Times New Roman" w:eastAsia="宋体" w:cs="Times New Roman"/>
                      <w:kern w:val="0"/>
                      <w:szCs w:val="21"/>
                      <w:u w:val="none"/>
                      <w:lang w:eastAsia="zh-CN"/>
                    </w:rPr>
                    <w:t>—</w:t>
                  </w:r>
                </w:p>
              </w:tc>
            </w:tr>
            <w:tr w14:paraId="15D3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7F94FEA4">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0D2C614F">
                  <w:pPr>
                    <w:widowControl/>
                    <w:numPr>
                      <w:ilvl w:val="0"/>
                      <w:numId w:val="4"/>
                    </w:numPr>
                    <w:adjustRightInd w:val="0"/>
                    <w:snapToGrid w:val="0"/>
                    <w:spacing w:line="240" w:lineRule="auto"/>
                    <w:ind w:left="0" w:leftChars="0" w:firstLine="0" w:firstLineChars="0"/>
                    <w:textAlignment w:val="center"/>
                    <w:rPr>
                      <w:rFonts w:ascii="Times New Roman" w:hAnsi="Times New Roman"/>
                      <w:color w:val="000000"/>
                      <w:kern w:val="0"/>
                      <w:szCs w:val="21"/>
                      <w:u w:val="none"/>
                      <w:lang w:bidi="ar"/>
                    </w:rPr>
                  </w:pPr>
                  <w:r>
                    <w:rPr>
                      <w:rFonts w:hint="eastAsia" w:ascii="Times New Roman" w:hAnsi="Times New Roman"/>
                      <w:color w:val="000000"/>
                      <w:kern w:val="0"/>
                      <w:szCs w:val="21"/>
                      <w:u w:val="none"/>
                      <w:lang w:bidi="ar"/>
                    </w:rPr>
                    <w:t>加强工业企业无组织废气排放控制，加强挥发性有机物（VOCs）排放企业综合防治，加快高效VOCs收集治理设施建设，大力提升VOCs排放收集率、去除率和治理设施运行率。推进工业涂装、石化、包装印刷、木材加工、汽修等行业和油品储运销的VOCs综合治理。</w:t>
                  </w:r>
                </w:p>
              </w:tc>
              <w:tc>
                <w:tcPr>
                  <w:tcW w:w="1954" w:type="dxa"/>
                  <w:tcBorders>
                    <w:top w:val="single" w:color="auto" w:sz="4" w:space="0"/>
                    <w:left w:val="nil"/>
                    <w:bottom w:val="single" w:color="auto" w:sz="4" w:space="0"/>
                    <w:right w:val="single" w:color="auto" w:sz="4" w:space="0"/>
                  </w:tcBorders>
                  <w:noWrap w:val="0"/>
                  <w:vAlign w:val="center"/>
                </w:tcPr>
                <w:p w14:paraId="4B53306C">
                  <w:pPr>
                    <w:widowControl/>
                    <w:adjustRightInd w:val="0"/>
                    <w:snapToGrid w:val="0"/>
                    <w:spacing w:line="240" w:lineRule="auto"/>
                    <w:ind w:firstLine="0" w:firstLineChars="0"/>
                    <w:jc w:val="both"/>
                    <w:textAlignment w:val="center"/>
                    <w:rPr>
                      <w:rFonts w:hint="default" w:ascii="Times New Roman" w:hAnsi="Times New Roman" w:eastAsia="宋体" w:cs="Times New Roman"/>
                      <w:color w:val="000000"/>
                      <w:kern w:val="0"/>
                      <w:szCs w:val="21"/>
                      <w:u w:val="none"/>
                      <w:lang w:val="en-US" w:eastAsia="zh-CN"/>
                    </w:rPr>
                  </w:pPr>
                  <w:r>
                    <w:rPr>
                      <w:rFonts w:hint="eastAsia" w:ascii="Times New Roman" w:hAnsi="Times New Roman" w:eastAsia="宋体" w:cs="Times New Roman"/>
                      <w:color w:val="000000"/>
                      <w:kern w:val="0"/>
                      <w:szCs w:val="21"/>
                      <w:u w:val="none"/>
                      <w:lang w:val="en-US" w:eastAsia="zh-CN"/>
                    </w:rPr>
                    <w:t>项目不涉及</w:t>
                  </w:r>
                  <w:r>
                    <w:rPr>
                      <w:rFonts w:hint="eastAsia" w:ascii="Times New Roman" w:hAnsi="Times New Roman"/>
                      <w:color w:val="000000"/>
                      <w:kern w:val="0"/>
                      <w:szCs w:val="21"/>
                      <w:u w:val="none"/>
                      <w:lang w:bidi="ar"/>
                    </w:rPr>
                    <w:t>挥发性有机物</w:t>
                  </w:r>
                  <w:r>
                    <w:rPr>
                      <w:rFonts w:hint="eastAsia" w:ascii="Times New Roman" w:hAnsi="Times New Roman"/>
                      <w:color w:val="000000"/>
                      <w:kern w:val="0"/>
                      <w:szCs w:val="21"/>
                      <w:u w:val="none"/>
                      <w:lang w:val="en-US" w:eastAsia="zh-CN" w:bidi="ar"/>
                    </w:rPr>
                    <w:t>物质贮存。</w:t>
                  </w:r>
                </w:p>
              </w:tc>
              <w:tc>
                <w:tcPr>
                  <w:tcW w:w="595" w:type="dxa"/>
                  <w:tcBorders>
                    <w:top w:val="single" w:color="auto" w:sz="4" w:space="0"/>
                    <w:left w:val="nil"/>
                    <w:bottom w:val="single" w:color="auto" w:sz="4" w:space="0"/>
                    <w:right w:val="single" w:color="auto" w:sz="4" w:space="0"/>
                  </w:tcBorders>
                  <w:noWrap w:val="0"/>
                  <w:vAlign w:val="center"/>
                </w:tcPr>
                <w:p w14:paraId="1F7EFC5C">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符合</w:t>
                  </w:r>
                </w:p>
              </w:tc>
            </w:tr>
            <w:tr w14:paraId="1D84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7E2C840E">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0B51CF2F">
                  <w:pPr>
                    <w:widowControl/>
                    <w:numPr>
                      <w:ilvl w:val="0"/>
                      <w:numId w:val="4"/>
                    </w:numPr>
                    <w:adjustRightInd w:val="0"/>
                    <w:snapToGrid w:val="0"/>
                    <w:spacing w:line="240" w:lineRule="auto"/>
                    <w:ind w:left="0" w:leftChars="0"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完善园区集中供热设施，积极推广集中供热，有条件的工业聚集区建设集中喷涂工程中心，配备高效治污设施，替代企业独立喷涂工序。</w:t>
                  </w:r>
                </w:p>
              </w:tc>
              <w:tc>
                <w:tcPr>
                  <w:tcW w:w="1954" w:type="dxa"/>
                  <w:tcBorders>
                    <w:top w:val="single" w:color="auto" w:sz="4" w:space="0"/>
                    <w:left w:val="nil"/>
                    <w:bottom w:val="single" w:color="auto" w:sz="4" w:space="0"/>
                    <w:right w:val="single" w:color="auto" w:sz="4" w:space="0"/>
                  </w:tcBorders>
                  <w:noWrap w:val="0"/>
                  <w:vAlign w:val="center"/>
                </w:tcPr>
                <w:p w14:paraId="6C7B8136">
                  <w:pPr>
                    <w:widowControl/>
                    <w:adjustRightInd w:val="0"/>
                    <w:snapToGrid w:val="0"/>
                    <w:spacing w:line="240" w:lineRule="auto"/>
                    <w:ind w:firstLine="0" w:firstLineChars="0"/>
                    <w:jc w:val="both"/>
                    <w:textAlignment w:val="center"/>
                    <w:rPr>
                      <w:rFonts w:hint="default" w:ascii="Times New Roman" w:hAnsi="Times New Roman" w:eastAsia="宋体" w:cs="Times New Roman"/>
                      <w:color w:val="auto"/>
                      <w:kern w:val="0"/>
                      <w:szCs w:val="21"/>
                      <w:u w:val="none"/>
                      <w:lang w:val="en-US" w:eastAsia="zh-CN"/>
                    </w:rPr>
                  </w:pPr>
                  <w:r>
                    <w:rPr>
                      <w:rFonts w:hint="eastAsia" w:ascii="Times New Roman" w:hAnsi="Times New Roman" w:eastAsia="宋体" w:cs="Times New Roman"/>
                      <w:color w:val="auto"/>
                      <w:kern w:val="0"/>
                      <w:szCs w:val="21"/>
                      <w:u w:val="none"/>
                      <w:lang w:val="en-US" w:eastAsia="zh-CN"/>
                    </w:rPr>
                    <w:t>本项目不涉及园区集中供热工程。</w:t>
                  </w:r>
                </w:p>
              </w:tc>
              <w:tc>
                <w:tcPr>
                  <w:tcW w:w="595" w:type="dxa"/>
                  <w:tcBorders>
                    <w:top w:val="single" w:color="auto" w:sz="4" w:space="0"/>
                    <w:left w:val="nil"/>
                    <w:bottom w:val="single" w:color="auto" w:sz="4" w:space="0"/>
                    <w:right w:val="single" w:color="auto" w:sz="4" w:space="0"/>
                  </w:tcBorders>
                  <w:noWrap w:val="0"/>
                  <w:vAlign w:val="center"/>
                </w:tcPr>
                <w:p w14:paraId="7BE79486">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Cs w:val="21"/>
                      <w:u w:val="none"/>
                      <w:lang w:val="en-US" w:eastAsia="zh-CN"/>
                    </w:rPr>
                  </w:pPr>
                  <w:r>
                    <w:rPr>
                      <w:rFonts w:hint="eastAsia" w:ascii="Times New Roman" w:hAnsi="Times New Roman" w:eastAsia="宋体" w:cs="Times New Roman"/>
                      <w:kern w:val="0"/>
                      <w:szCs w:val="21"/>
                      <w:u w:val="none"/>
                      <w:lang w:eastAsia="zh-CN"/>
                    </w:rPr>
                    <w:t>—</w:t>
                  </w:r>
                </w:p>
              </w:tc>
            </w:tr>
            <w:tr w14:paraId="05DB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5132EE3F">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6608815A">
                  <w:pPr>
                    <w:widowControl/>
                    <w:numPr>
                      <w:ilvl w:val="0"/>
                      <w:numId w:val="4"/>
                    </w:numPr>
                    <w:adjustRightInd w:val="0"/>
                    <w:snapToGrid w:val="0"/>
                    <w:spacing w:line="240" w:lineRule="auto"/>
                    <w:ind w:left="0" w:leftChars="0"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推进城镇生活垃圾处理基础设施扩能建设，强化渗滤液处理设施运营管理，防止渗滤液积存或违规倾倒垃圾渗滤液至市政管网；加强农村生活垃圾收运、处理体系建设，降低农村垃圾焚烧污染。</w:t>
                  </w:r>
                </w:p>
              </w:tc>
              <w:tc>
                <w:tcPr>
                  <w:tcW w:w="1954" w:type="dxa"/>
                  <w:tcBorders>
                    <w:top w:val="single" w:color="auto" w:sz="4" w:space="0"/>
                    <w:left w:val="nil"/>
                    <w:bottom w:val="single" w:color="auto" w:sz="4" w:space="0"/>
                    <w:right w:val="single" w:color="auto" w:sz="4" w:space="0"/>
                  </w:tcBorders>
                  <w:noWrap w:val="0"/>
                  <w:vAlign w:val="center"/>
                </w:tcPr>
                <w:p w14:paraId="5E9BA7C2">
                  <w:pPr>
                    <w:widowControl/>
                    <w:adjustRightInd w:val="0"/>
                    <w:snapToGrid w:val="0"/>
                    <w:spacing w:line="240" w:lineRule="auto"/>
                    <w:ind w:firstLine="0" w:firstLineChars="0"/>
                    <w:jc w:val="both"/>
                    <w:textAlignment w:val="center"/>
                    <w:rPr>
                      <w:rFonts w:hint="default" w:ascii="Times New Roman" w:hAnsi="Times New Roman" w:eastAsia="宋体" w:cs="Times New Roman"/>
                      <w:color w:val="auto"/>
                      <w:kern w:val="0"/>
                      <w:szCs w:val="21"/>
                      <w:u w:val="none"/>
                      <w:lang w:val="en-US" w:eastAsia="zh-CN"/>
                    </w:rPr>
                  </w:pPr>
                  <w:r>
                    <w:rPr>
                      <w:rFonts w:hint="eastAsia" w:ascii="Times New Roman" w:hAnsi="Times New Roman" w:eastAsia="宋体" w:cs="Times New Roman"/>
                      <w:color w:val="auto"/>
                      <w:kern w:val="0"/>
                      <w:szCs w:val="21"/>
                      <w:u w:val="none"/>
                      <w:lang w:val="en-US" w:eastAsia="zh-CN"/>
                    </w:rPr>
                    <w:t>本项目不涉及城镇、农村生活垃圾处理基础设施建设。</w:t>
                  </w:r>
                </w:p>
              </w:tc>
              <w:tc>
                <w:tcPr>
                  <w:tcW w:w="595" w:type="dxa"/>
                  <w:tcBorders>
                    <w:top w:val="single" w:color="auto" w:sz="4" w:space="0"/>
                    <w:left w:val="nil"/>
                    <w:bottom w:val="single" w:color="auto" w:sz="4" w:space="0"/>
                    <w:right w:val="single" w:color="auto" w:sz="4" w:space="0"/>
                  </w:tcBorders>
                  <w:noWrap w:val="0"/>
                  <w:vAlign w:val="center"/>
                </w:tcPr>
                <w:p w14:paraId="6D15C85D">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Cs w:val="21"/>
                      <w:u w:val="none"/>
                      <w:lang w:val="en-US" w:eastAsia="zh-CN"/>
                    </w:rPr>
                  </w:pPr>
                  <w:r>
                    <w:rPr>
                      <w:rFonts w:hint="eastAsia" w:ascii="Times New Roman" w:hAnsi="Times New Roman" w:eastAsia="宋体" w:cs="Times New Roman"/>
                      <w:kern w:val="0"/>
                      <w:szCs w:val="21"/>
                      <w:u w:val="none"/>
                      <w:lang w:eastAsia="zh-CN"/>
                    </w:rPr>
                    <w:t>—</w:t>
                  </w:r>
                </w:p>
              </w:tc>
            </w:tr>
            <w:tr w14:paraId="4E83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5525E830">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5953CD47">
                  <w:pPr>
                    <w:widowControl/>
                    <w:numPr>
                      <w:ilvl w:val="0"/>
                      <w:numId w:val="4"/>
                    </w:numPr>
                    <w:adjustRightInd w:val="0"/>
                    <w:snapToGrid w:val="0"/>
                    <w:spacing w:line="240" w:lineRule="auto"/>
                    <w:ind w:left="0" w:leftChars="0" w:firstLine="0" w:firstLineChars="0"/>
                    <w:textAlignment w:val="center"/>
                    <w:rPr>
                      <w:rFonts w:ascii="Times New Roman" w:hAnsi="Times New Roman"/>
                      <w:kern w:val="0"/>
                      <w:szCs w:val="21"/>
                      <w:u w:val="none"/>
                      <w:lang w:bidi="ar"/>
                    </w:rPr>
                  </w:pPr>
                  <w:r>
                    <w:rPr>
                      <w:rFonts w:hint="eastAsia" w:ascii="Times New Roman" w:hAnsi="Times New Roman"/>
                      <w:kern w:val="0"/>
                      <w:szCs w:val="21"/>
                      <w:u w:val="none"/>
                      <w:lang w:bidi="ar"/>
                    </w:rPr>
                    <w:t>新建、改建、扩建涉及重点重金属排放建设项目依照相关规定实行总量控制。</w:t>
                  </w:r>
                </w:p>
              </w:tc>
              <w:tc>
                <w:tcPr>
                  <w:tcW w:w="1954" w:type="dxa"/>
                  <w:tcBorders>
                    <w:top w:val="single" w:color="auto" w:sz="4" w:space="0"/>
                    <w:left w:val="nil"/>
                    <w:bottom w:val="single" w:color="auto" w:sz="4" w:space="0"/>
                    <w:right w:val="single" w:color="auto" w:sz="4" w:space="0"/>
                  </w:tcBorders>
                  <w:noWrap w:val="0"/>
                  <w:vAlign w:val="center"/>
                </w:tcPr>
                <w:p w14:paraId="1D9A89C6">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color w:val="auto"/>
                      <w:kern w:val="0"/>
                      <w:szCs w:val="21"/>
                      <w:u w:val="none"/>
                    </w:rPr>
                    <w:t>本项目</w:t>
                  </w:r>
                  <w:r>
                    <w:rPr>
                      <w:rFonts w:hint="eastAsia" w:ascii="Times New Roman" w:hAnsi="Times New Roman" w:eastAsia="宋体" w:cs="Times New Roman"/>
                      <w:color w:val="auto"/>
                      <w:kern w:val="0"/>
                      <w:szCs w:val="21"/>
                      <w:u w:val="none"/>
                      <w:lang w:eastAsia="zh-CN"/>
                    </w:rPr>
                    <w:t>不涉及重金属排放。</w:t>
                  </w:r>
                </w:p>
              </w:tc>
              <w:tc>
                <w:tcPr>
                  <w:tcW w:w="595" w:type="dxa"/>
                  <w:tcBorders>
                    <w:top w:val="single" w:color="auto" w:sz="4" w:space="0"/>
                    <w:left w:val="nil"/>
                    <w:bottom w:val="single" w:color="auto" w:sz="4" w:space="0"/>
                    <w:right w:val="single" w:color="auto" w:sz="4" w:space="0"/>
                  </w:tcBorders>
                  <w:noWrap w:val="0"/>
                  <w:vAlign w:val="center"/>
                </w:tcPr>
                <w:p w14:paraId="10B933D8">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rPr>
                    <w:t>符合</w:t>
                  </w:r>
                </w:p>
              </w:tc>
            </w:tr>
            <w:tr w14:paraId="06B6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102F5F5F">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0266A49D">
                  <w:pPr>
                    <w:widowControl/>
                    <w:numPr>
                      <w:ilvl w:val="0"/>
                      <w:numId w:val="4"/>
                    </w:numPr>
                    <w:adjustRightInd w:val="0"/>
                    <w:snapToGrid w:val="0"/>
                    <w:spacing w:line="240" w:lineRule="auto"/>
                    <w:ind w:left="0" w:leftChars="0" w:firstLine="0" w:firstLineChars="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新建“两高”项目应采用先进适用的工艺技术和装备，单位产品物耗、能耗、水耗等达到清洁生产先进水平，依法制定并严格落实防治土壤与地下水污染的措施。按照《关于加强重点行业建设项目区域削减措施监督管理的通知》要求，依据区域环境质量改善目标，制定配套区域污染物削减方案，采取有效的污染物区域削减措施，腾出足够的环境容量。</w:t>
                  </w:r>
                </w:p>
              </w:tc>
              <w:tc>
                <w:tcPr>
                  <w:tcW w:w="1954" w:type="dxa"/>
                  <w:tcBorders>
                    <w:top w:val="single" w:color="auto" w:sz="4" w:space="0"/>
                    <w:left w:val="nil"/>
                    <w:bottom w:val="single" w:color="auto" w:sz="4" w:space="0"/>
                    <w:right w:val="single" w:color="auto" w:sz="4" w:space="0"/>
                  </w:tcBorders>
                  <w:noWrap w:val="0"/>
                  <w:vAlign w:val="center"/>
                </w:tcPr>
                <w:p w14:paraId="33265AC0">
                  <w:pPr>
                    <w:widowControl/>
                    <w:adjustRightInd w:val="0"/>
                    <w:snapToGrid w:val="0"/>
                    <w:spacing w:line="240" w:lineRule="auto"/>
                    <w:ind w:firstLine="0" w:firstLineChars="0"/>
                    <w:jc w:val="both"/>
                    <w:textAlignment w:val="center"/>
                    <w:rPr>
                      <w:rFonts w:hint="eastAsia" w:ascii="Times New Roman" w:hAnsi="Times New Roman" w:eastAsia="宋体" w:cs="Times New Roman"/>
                      <w:szCs w:val="21"/>
                      <w:u w:val="none"/>
                      <w:lang w:eastAsia="zh-CN"/>
                    </w:rPr>
                  </w:pPr>
                  <w:r>
                    <w:rPr>
                      <w:rFonts w:hint="eastAsia" w:ascii="Times New Roman" w:hAnsi="Times New Roman" w:eastAsia="宋体" w:cs="Times New Roman"/>
                      <w:szCs w:val="21"/>
                      <w:u w:val="none"/>
                    </w:rPr>
                    <w:t>本项目不涉及</w:t>
                  </w:r>
                  <w:r>
                    <w:rPr>
                      <w:rFonts w:hint="eastAsia" w:ascii="Times New Roman" w:hAnsi="Times New Roman" w:eastAsia="宋体"/>
                      <w:kern w:val="0"/>
                      <w:szCs w:val="21"/>
                      <w:u w:val="none"/>
                      <w:lang w:eastAsia="zh-CN" w:bidi="ar"/>
                    </w:rPr>
                    <w:t>“两高”项目。</w:t>
                  </w:r>
                </w:p>
              </w:tc>
              <w:tc>
                <w:tcPr>
                  <w:tcW w:w="595" w:type="dxa"/>
                  <w:tcBorders>
                    <w:top w:val="single" w:color="auto" w:sz="4" w:space="0"/>
                    <w:left w:val="nil"/>
                    <w:bottom w:val="single" w:color="auto" w:sz="4" w:space="0"/>
                    <w:right w:val="single" w:color="auto" w:sz="4" w:space="0"/>
                  </w:tcBorders>
                  <w:noWrap w:val="0"/>
                  <w:vAlign w:val="center"/>
                </w:tcPr>
                <w:p w14:paraId="45554496">
                  <w:pPr>
                    <w:widowControl/>
                    <w:adjustRightInd w:val="0"/>
                    <w:snapToGrid w:val="0"/>
                    <w:spacing w:line="240" w:lineRule="auto"/>
                    <w:ind w:firstLine="0" w:firstLineChars="0"/>
                    <w:jc w:val="center"/>
                    <w:textAlignment w:val="center"/>
                    <w:rPr>
                      <w:rFonts w:ascii="Times New Roman" w:hAnsi="Times New Roman" w:eastAsia="宋体" w:cs="Times New Roman"/>
                      <w:szCs w:val="21"/>
                      <w:u w:val="none"/>
                    </w:rPr>
                  </w:pPr>
                  <w:r>
                    <w:rPr>
                      <w:rFonts w:hint="eastAsia" w:ascii="Times New Roman" w:hAnsi="Times New Roman" w:eastAsia="宋体" w:cs="Times New Roman"/>
                      <w:kern w:val="0"/>
                      <w:szCs w:val="21"/>
                      <w:u w:val="none"/>
                      <w:lang w:eastAsia="zh-CN"/>
                    </w:rPr>
                    <w:t>—</w:t>
                  </w:r>
                </w:p>
              </w:tc>
            </w:tr>
            <w:tr w14:paraId="4A33D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051F3575">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392624F0">
                  <w:pPr>
                    <w:widowControl/>
                    <w:numPr>
                      <w:ilvl w:val="0"/>
                      <w:numId w:val="4"/>
                    </w:numPr>
                    <w:adjustRightInd w:val="0"/>
                    <w:snapToGrid w:val="0"/>
                    <w:spacing w:line="240" w:lineRule="auto"/>
                    <w:ind w:left="0" w:leftChars="0" w:firstLine="0" w:firstLineChars="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加强海陆联动，严格控制陆源污染物排放。规范入海排污口设置，全面清理非法或设置不合理的入海排污口。</w:t>
                  </w:r>
                </w:p>
              </w:tc>
              <w:tc>
                <w:tcPr>
                  <w:tcW w:w="1954" w:type="dxa"/>
                  <w:tcBorders>
                    <w:top w:val="single" w:color="auto" w:sz="4" w:space="0"/>
                    <w:left w:val="nil"/>
                    <w:bottom w:val="single" w:color="auto" w:sz="4" w:space="0"/>
                    <w:right w:val="single" w:color="auto" w:sz="4" w:space="0"/>
                  </w:tcBorders>
                  <w:noWrap w:val="0"/>
                  <w:vAlign w:val="center"/>
                </w:tcPr>
                <w:p w14:paraId="199B0875">
                  <w:pPr>
                    <w:widowControl/>
                    <w:adjustRightInd w:val="0"/>
                    <w:snapToGrid w:val="0"/>
                    <w:spacing w:line="240" w:lineRule="auto"/>
                    <w:ind w:firstLine="0" w:firstLineChars="0"/>
                    <w:jc w:val="both"/>
                    <w:textAlignment w:val="center"/>
                    <w:rPr>
                      <w:rFonts w:hint="eastAsia" w:ascii="Times New Roman" w:hAnsi="Times New Roman" w:eastAsia="宋体" w:cs="Times New Roman"/>
                      <w:szCs w:val="21"/>
                      <w:u w:val="none"/>
                      <w:lang w:eastAsia="zh-CN"/>
                    </w:rPr>
                  </w:pPr>
                  <w:r>
                    <w:rPr>
                      <w:rFonts w:hint="eastAsia" w:ascii="Times New Roman" w:hAnsi="Times New Roman" w:eastAsia="宋体" w:cs="Times New Roman"/>
                      <w:szCs w:val="21"/>
                      <w:u w:val="none"/>
                    </w:rPr>
                    <w:t>本项目</w:t>
                  </w:r>
                  <w:r>
                    <w:rPr>
                      <w:rFonts w:hint="eastAsia" w:ascii="Times New Roman" w:hAnsi="Times New Roman" w:eastAsia="宋体" w:cs="Times New Roman"/>
                      <w:szCs w:val="21"/>
                      <w:u w:val="none"/>
                      <w:lang w:eastAsia="zh-CN"/>
                    </w:rPr>
                    <w:t>不新增入海排污口</w:t>
                  </w:r>
                  <w:r>
                    <w:rPr>
                      <w:rFonts w:hint="eastAsia" w:ascii="Times New Roman" w:hAnsi="Times New Roman" w:eastAsia="宋体" w:cs="Times New Roman"/>
                      <w:kern w:val="0"/>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058008F1">
                  <w:pPr>
                    <w:widowControl/>
                    <w:adjustRightInd w:val="0"/>
                    <w:snapToGrid w:val="0"/>
                    <w:spacing w:line="240" w:lineRule="auto"/>
                    <w:ind w:firstLine="0" w:firstLineChars="0"/>
                    <w:jc w:val="center"/>
                    <w:textAlignment w:val="center"/>
                    <w:rPr>
                      <w:rFonts w:ascii="Times New Roman" w:hAnsi="Times New Roman" w:eastAsia="宋体" w:cs="Times New Roman"/>
                      <w:szCs w:val="21"/>
                      <w:u w:val="none"/>
                    </w:rPr>
                  </w:pPr>
                  <w:r>
                    <w:rPr>
                      <w:rFonts w:hint="eastAsia" w:ascii="Times New Roman" w:hAnsi="Times New Roman" w:eastAsia="宋体" w:cs="Times New Roman"/>
                      <w:kern w:val="0"/>
                      <w:szCs w:val="21"/>
                      <w:u w:val="none"/>
                      <w:lang w:eastAsia="zh-CN"/>
                    </w:rPr>
                    <w:t>—</w:t>
                  </w:r>
                </w:p>
              </w:tc>
            </w:tr>
            <w:tr w14:paraId="055F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0C52B03E">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5550ABE7">
                  <w:pPr>
                    <w:widowControl/>
                    <w:numPr>
                      <w:ilvl w:val="0"/>
                      <w:numId w:val="4"/>
                    </w:numPr>
                    <w:adjustRightInd w:val="0"/>
                    <w:snapToGrid w:val="0"/>
                    <w:spacing w:line="240" w:lineRule="auto"/>
                    <w:ind w:left="0" w:leftChars="0" w:firstLine="0" w:firstLineChars="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积极治理船舶污染，全面贯彻落实《广西北部湾港船舶污染物接收、转运、处置能力评估及相应设施建设方案》，建设完善船舶污染物接收处理设施，提高含油污水、化学品洗舱水、船舶垃圾等接收处置能力及污染事故应急能力。</w:t>
                  </w:r>
                </w:p>
              </w:tc>
              <w:tc>
                <w:tcPr>
                  <w:tcW w:w="1954" w:type="dxa"/>
                  <w:tcBorders>
                    <w:top w:val="single" w:color="auto" w:sz="4" w:space="0"/>
                    <w:left w:val="nil"/>
                    <w:bottom w:val="single" w:color="auto" w:sz="4" w:space="0"/>
                    <w:right w:val="single" w:color="auto" w:sz="4" w:space="0"/>
                  </w:tcBorders>
                  <w:noWrap w:val="0"/>
                  <w:vAlign w:val="center"/>
                </w:tcPr>
                <w:p w14:paraId="15A2DBE4">
                  <w:pPr>
                    <w:widowControl/>
                    <w:adjustRightInd w:val="0"/>
                    <w:snapToGrid w:val="0"/>
                    <w:spacing w:line="240" w:lineRule="auto"/>
                    <w:ind w:firstLine="0" w:firstLineChars="0"/>
                    <w:jc w:val="both"/>
                    <w:textAlignment w:val="center"/>
                    <w:rPr>
                      <w:rFonts w:hint="eastAsia" w:ascii="Times New Roman" w:hAnsi="Times New Roman" w:eastAsia="宋体" w:cs="Times New Roman"/>
                      <w:szCs w:val="21"/>
                      <w:u w:val="none"/>
                      <w:lang w:eastAsia="zh-CN"/>
                    </w:rPr>
                  </w:pPr>
                  <w:r>
                    <w:rPr>
                      <w:rFonts w:hint="eastAsia" w:ascii="Times New Roman" w:hAnsi="Times New Roman" w:eastAsia="宋体" w:cs="Times New Roman"/>
                      <w:szCs w:val="21"/>
                      <w:u w:val="none"/>
                    </w:rPr>
                    <w:t>本项目不涉及船舶航运</w:t>
                  </w:r>
                  <w:r>
                    <w:rPr>
                      <w:rFonts w:hint="eastAsia" w:ascii="Times New Roman" w:hAnsi="Times New Roman" w:eastAsia="宋体" w:cs="Times New Roman"/>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59D79C06">
                  <w:pPr>
                    <w:widowControl/>
                    <w:adjustRightInd w:val="0"/>
                    <w:snapToGrid w:val="0"/>
                    <w:spacing w:line="240" w:lineRule="auto"/>
                    <w:ind w:firstLine="0" w:firstLineChars="0"/>
                    <w:jc w:val="center"/>
                    <w:textAlignment w:val="center"/>
                    <w:rPr>
                      <w:rFonts w:ascii="Times New Roman" w:hAnsi="Times New Roman" w:eastAsia="宋体" w:cs="Times New Roman"/>
                      <w:szCs w:val="21"/>
                      <w:u w:val="none"/>
                    </w:rPr>
                  </w:pPr>
                  <w:r>
                    <w:rPr>
                      <w:rFonts w:hint="eastAsia" w:ascii="Times New Roman" w:hAnsi="Times New Roman" w:eastAsia="宋体" w:cs="Times New Roman"/>
                      <w:kern w:val="0"/>
                      <w:szCs w:val="21"/>
                      <w:u w:val="none"/>
                      <w:lang w:eastAsia="zh-CN"/>
                    </w:rPr>
                    <w:t>—</w:t>
                  </w:r>
                </w:p>
              </w:tc>
            </w:tr>
            <w:tr w14:paraId="296A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117C8C91">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2601DB44">
                  <w:pPr>
                    <w:widowControl/>
                    <w:numPr>
                      <w:ilvl w:val="0"/>
                      <w:numId w:val="4"/>
                    </w:numPr>
                    <w:adjustRightInd w:val="0"/>
                    <w:snapToGrid w:val="0"/>
                    <w:spacing w:line="240" w:lineRule="auto"/>
                    <w:ind w:left="0" w:leftChars="0" w:firstLine="0" w:firstLineChars="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加强港口码头环保基础设施处理和建设。完善堆场防风抑尘设施，降低扬尘污染。钦州港区实行雨污分流和污水分质处理，防止堆场废水通过雨水沟直排入海，完善配套</w:t>
                  </w:r>
                  <w:r>
                    <w:rPr>
                      <w:rFonts w:hint="eastAsia" w:ascii="Times New Roman" w:hAnsi="Times New Roman" w:cs="Times New Roman"/>
                      <w:kern w:val="0"/>
                      <w:szCs w:val="21"/>
                      <w:u w:val="none"/>
                      <w:lang w:eastAsia="zh-CN" w:bidi="ar"/>
                    </w:rPr>
                    <w:t>化粪池</w:t>
                  </w:r>
                  <w:r>
                    <w:rPr>
                      <w:rFonts w:hint="default" w:ascii="Times New Roman" w:hAnsi="Times New Roman" w:cs="Times New Roman"/>
                      <w:kern w:val="0"/>
                      <w:szCs w:val="21"/>
                      <w:u w:val="none"/>
                      <w:lang w:bidi="ar"/>
                    </w:rPr>
                    <w:t>和管网建设，实现污水集中处理、回用或达标排放。</w:t>
                  </w:r>
                </w:p>
              </w:tc>
              <w:tc>
                <w:tcPr>
                  <w:tcW w:w="1954" w:type="dxa"/>
                  <w:tcBorders>
                    <w:top w:val="single" w:color="auto" w:sz="4" w:space="0"/>
                    <w:left w:val="nil"/>
                    <w:bottom w:val="single" w:color="auto" w:sz="4" w:space="0"/>
                    <w:right w:val="single" w:color="auto" w:sz="4" w:space="0"/>
                  </w:tcBorders>
                  <w:noWrap w:val="0"/>
                  <w:vAlign w:val="center"/>
                </w:tcPr>
                <w:p w14:paraId="375924A7">
                  <w:pPr>
                    <w:widowControl/>
                    <w:adjustRightInd w:val="0"/>
                    <w:snapToGrid w:val="0"/>
                    <w:spacing w:line="240" w:lineRule="auto"/>
                    <w:ind w:firstLine="0" w:firstLineChars="0"/>
                    <w:jc w:val="both"/>
                    <w:textAlignment w:val="center"/>
                    <w:rPr>
                      <w:rFonts w:hint="default" w:ascii="Times New Roman" w:hAnsi="Times New Roman" w:eastAsia="宋体" w:cs="Times New Roman"/>
                      <w:szCs w:val="21"/>
                      <w:u w:val="none"/>
                      <w:lang w:val="en-US" w:eastAsia="zh-CN"/>
                    </w:rPr>
                  </w:pPr>
                  <w:r>
                    <w:rPr>
                      <w:rFonts w:hint="eastAsia" w:ascii="Times New Roman" w:hAnsi="Times New Roman" w:eastAsia="宋体" w:cs="Times New Roman"/>
                      <w:szCs w:val="21"/>
                      <w:u w:val="none"/>
                    </w:rPr>
                    <w:t>本项目</w:t>
                  </w:r>
                  <w:r>
                    <w:rPr>
                      <w:rFonts w:hint="eastAsia" w:ascii="Times New Roman" w:hAnsi="Times New Roman" w:eastAsia="宋体" w:cs="Times New Roman"/>
                      <w:szCs w:val="21"/>
                      <w:u w:val="none"/>
                      <w:lang w:eastAsia="zh-CN"/>
                    </w:rPr>
                    <w:t>不涉及港口码头，</w:t>
                  </w:r>
                  <w:r>
                    <w:rPr>
                      <w:rFonts w:hint="eastAsia" w:ascii="Times New Roman" w:hAnsi="Times New Roman" w:eastAsia="宋体" w:cs="Times New Roman"/>
                      <w:szCs w:val="21"/>
                      <w:u w:val="none"/>
                      <w:lang w:val="en-US" w:eastAsia="zh-CN"/>
                    </w:rPr>
                    <w:t>项目采用雨污分流，初期雨水经初期雨水收集，事故废水经事故废水收集池收集，废水排至</w:t>
                  </w:r>
                  <w:r>
                    <w:rPr>
                      <w:rFonts w:hint="eastAsia" w:cs="Times New Roman"/>
                      <w:szCs w:val="21"/>
                      <w:u w:val="none"/>
                      <w:lang w:val="en-US" w:eastAsia="zh-CN"/>
                    </w:rPr>
                    <w:t>钦州港工业污水集中处理厂</w:t>
                  </w:r>
                  <w:r>
                    <w:rPr>
                      <w:rFonts w:hint="eastAsia" w:ascii="Times New Roman" w:hAnsi="Times New Roman" w:eastAsia="宋体" w:cs="Times New Roman"/>
                      <w:szCs w:val="21"/>
                      <w:u w:val="none"/>
                      <w:lang w:val="en-US" w:eastAsia="zh-CN"/>
                    </w:rPr>
                    <w:t>处理</w:t>
                  </w:r>
                  <w:r>
                    <w:rPr>
                      <w:rFonts w:hint="eastAsia" w:ascii="Times New Roman" w:hAnsi="Times New Roman"/>
                      <w:kern w:val="0"/>
                      <w:szCs w:val="21"/>
                      <w:u w:val="none"/>
                      <w:lang w:eastAsia="zh-CN" w:bidi="ar"/>
                    </w:rPr>
                    <w:t>，</w:t>
                  </w:r>
                  <w:r>
                    <w:rPr>
                      <w:rFonts w:hint="eastAsia" w:ascii="Times New Roman" w:hAnsi="Times New Roman"/>
                      <w:kern w:val="0"/>
                      <w:szCs w:val="21"/>
                      <w:u w:val="none"/>
                      <w:lang w:val="en-US" w:eastAsia="zh-CN" w:bidi="ar"/>
                    </w:rPr>
                    <w:t>事故废水不能满足胜科污水处理进水水质指标时，委托有相关资质单位处置。</w:t>
                  </w:r>
                </w:p>
              </w:tc>
              <w:tc>
                <w:tcPr>
                  <w:tcW w:w="595" w:type="dxa"/>
                  <w:tcBorders>
                    <w:top w:val="single" w:color="auto" w:sz="4" w:space="0"/>
                    <w:left w:val="nil"/>
                    <w:bottom w:val="single" w:color="auto" w:sz="4" w:space="0"/>
                    <w:right w:val="single" w:color="auto" w:sz="4" w:space="0"/>
                  </w:tcBorders>
                  <w:noWrap w:val="0"/>
                  <w:vAlign w:val="center"/>
                </w:tcPr>
                <w:p w14:paraId="0A11F8AB">
                  <w:pPr>
                    <w:widowControl/>
                    <w:adjustRightInd w:val="0"/>
                    <w:snapToGrid w:val="0"/>
                    <w:spacing w:line="240" w:lineRule="auto"/>
                    <w:ind w:firstLine="0" w:firstLineChars="0"/>
                    <w:jc w:val="center"/>
                    <w:textAlignment w:val="center"/>
                    <w:rPr>
                      <w:rFonts w:ascii="Times New Roman" w:hAnsi="Times New Roman" w:eastAsia="宋体" w:cs="Times New Roman"/>
                      <w:szCs w:val="21"/>
                      <w:u w:val="none"/>
                    </w:rPr>
                  </w:pPr>
                  <w:r>
                    <w:rPr>
                      <w:rFonts w:hint="eastAsia" w:ascii="Times New Roman" w:hAnsi="Times New Roman" w:eastAsia="宋体" w:cs="Times New Roman"/>
                      <w:szCs w:val="21"/>
                      <w:u w:val="none"/>
                    </w:rPr>
                    <w:t>符合</w:t>
                  </w:r>
                </w:p>
              </w:tc>
            </w:tr>
            <w:tr w14:paraId="4B21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092F1240">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4E6204F0">
                  <w:pPr>
                    <w:widowControl/>
                    <w:numPr>
                      <w:ilvl w:val="0"/>
                      <w:numId w:val="4"/>
                    </w:numPr>
                    <w:adjustRightInd w:val="0"/>
                    <w:snapToGrid w:val="0"/>
                    <w:spacing w:line="240" w:lineRule="auto"/>
                    <w:ind w:left="0" w:leftChars="0" w:firstLine="0" w:firstLineChars="0"/>
                    <w:textAlignment w:val="center"/>
                    <w:rPr>
                      <w:rFonts w:hint="default" w:ascii="Times New Roman" w:hAnsi="Times New Roman" w:cs="Times New Roman"/>
                      <w:kern w:val="0"/>
                      <w:szCs w:val="21"/>
                      <w:u w:val="none"/>
                      <w:lang w:bidi="ar"/>
                    </w:rPr>
                  </w:pPr>
                  <w:r>
                    <w:rPr>
                      <w:rFonts w:hint="default" w:ascii="Times New Roman" w:hAnsi="Times New Roman" w:eastAsia="宋体" w:cs="Times New Roman"/>
                      <w:kern w:val="0"/>
                      <w:szCs w:val="21"/>
                      <w:u w:val="none"/>
                      <w:lang w:bidi="ar"/>
                    </w:rPr>
                    <w:t>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954" w:type="dxa"/>
                  <w:tcBorders>
                    <w:top w:val="single" w:color="auto" w:sz="4" w:space="0"/>
                    <w:left w:val="nil"/>
                    <w:bottom w:val="single" w:color="auto" w:sz="4" w:space="0"/>
                    <w:right w:val="single" w:color="auto" w:sz="4" w:space="0"/>
                  </w:tcBorders>
                  <w:noWrap w:val="0"/>
                  <w:vAlign w:val="center"/>
                </w:tcPr>
                <w:p w14:paraId="3E6A0DD0">
                  <w:pPr>
                    <w:widowControl/>
                    <w:adjustRightInd w:val="0"/>
                    <w:snapToGrid w:val="0"/>
                    <w:spacing w:line="240" w:lineRule="auto"/>
                    <w:ind w:firstLine="0" w:firstLineChars="0"/>
                    <w:jc w:val="both"/>
                    <w:textAlignment w:val="center"/>
                    <w:rPr>
                      <w:rFonts w:hint="eastAsia" w:ascii="Times New Roman" w:hAnsi="Times New Roman" w:eastAsia="宋体" w:cs="Times New Roman"/>
                      <w:szCs w:val="21"/>
                      <w:u w:val="none"/>
                      <w:lang w:eastAsia="zh-CN"/>
                    </w:rPr>
                  </w:pPr>
                  <w:r>
                    <w:rPr>
                      <w:rFonts w:hint="eastAsia" w:ascii="Times New Roman" w:hAnsi="Times New Roman" w:eastAsia="宋体" w:cs="Times New Roman"/>
                      <w:szCs w:val="21"/>
                      <w:u w:val="none"/>
                      <w:lang w:eastAsia="zh-CN"/>
                    </w:rPr>
                    <w:t>项目无废水</w:t>
                  </w:r>
                  <w:r>
                    <w:rPr>
                      <w:rFonts w:hint="eastAsia" w:ascii="Times New Roman" w:hAnsi="Times New Roman" w:eastAsia="宋体" w:cs="Times New Roman"/>
                      <w:szCs w:val="21"/>
                      <w:u w:val="none"/>
                      <w:lang w:val="en-US" w:eastAsia="zh-CN"/>
                    </w:rPr>
                    <w:t>直</w:t>
                  </w:r>
                  <w:r>
                    <w:rPr>
                      <w:rFonts w:hint="eastAsia" w:ascii="Times New Roman" w:hAnsi="Times New Roman" w:eastAsia="宋体" w:cs="Times New Roman"/>
                      <w:szCs w:val="21"/>
                      <w:u w:val="none"/>
                      <w:lang w:eastAsia="zh-CN"/>
                    </w:rPr>
                    <w:t>排入海域。</w:t>
                  </w:r>
                </w:p>
              </w:tc>
              <w:tc>
                <w:tcPr>
                  <w:tcW w:w="595" w:type="dxa"/>
                  <w:tcBorders>
                    <w:top w:val="single" w:color="auto" w:sz="4" w:space="0"/>
                    <w:left w:val="nil"/>
                    <w:bottom w:val="single" w:color="auto" w:sz="4" w:space="0"/>
                    <w:right w:val="single" w:color="auto" w:sz="4" w:space="0"/>
                  </w:tcBorders>
                  <w:noWrap w:val="0"/>
                  <w:vAlign w:val="center"/>
                </w:tcPr>
                <w:p w14:paraId="5BF1143E">
                  <w:pPr>
                    <w:widowControl/>
                    <w:adjustRightInd w:val="0"/>
                    <w:snapToGrid w:val="0"/>
                    <w:spacing w:line="240" w:lineRule="auto"/>
                    <w:ind w:firstLine="0" w:firstLineChars="0"/>
                    <w:jc w:val="center"/>
                    <w:textAlignment w:val="center"/>
                    <w:rPr>
                      <w:rFonts w:ascii="Times New Roman" w:hAnsi="Times New Roman" w:eastAsia="宋体" w:cs="Times New Roman"/>
                      <w:szCs w:val="21"/>
                      <w:u w:val="none"/>
                    </w:rPr>
                  </w:pPr>
                  <w:r>
                    <w:rPr>
                      <w:rFonts w:hint="eastAsia" w:ascii="Times New Roman" w:hAnsi="Times New Roman" w:eastAsia="宋体" w:cs="Times New Roman"/>
                      <w:kern w:val="0"/>
                      <w:szCs w:val="21"/>
                      <w:u w:val="none"/>
                      <w:lang w:eastAsia="zh-CN"/>
                    </w:rPr>
                    <w:t>—</w:t>
                  </w:r>
                </w:p>
              </w:tc>
            </w:tr>
            <w:tr w14:paraId="2BC9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bottom w:val="single" w:color="auto" w:sz="4" w:space="0"/>
                    <w:right w:val="single" w:color="auto" w:sz="4" w:space="0"/>
                  </w:tcBorders>
                  <w:noWrap w:val="0"/>
                  <w:vAlign w:val="center"/>
                </w:tcPr>
                <w:p w14:paraId="147BA60B">
                  <w:pPr>
                    <w:widowControl/>
                    <w:spacing w:line="240" w:lineRule="auto"/>
                    <w:ind w:firstLine="0" w:firstLineChars="0"/>
                    <w:jc w:val="left"/>
                    <w:rPr>
                      <w:rFonts w:ascii="Times New Roman" w:hAnsi="Times New Roman" w:eastAsia="宋体" w:cs="Times New Roman"/>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09290DF4">
                  <w:pPr>
                    <w:widowControl/>
                    <w:numPr>
                      <w:ilvl w:val="0"/>
                      <w:numId w:val="4"/>
                    </w:numPr>
                    <w:adjustRightInd w:val="0"/>
                    <w:snapToGrid w:val="0"/>
                    <w:spacing w:line="240" w:lineRule="auto"/>
                    <w:ind w:left="0" w:leftChars="0" w:firstLine="0" w:firstLineChars="0"/>
                    <w:textAlignment w:val="center"/>
                    <w:rPr>
                      <w:rFonts w:hint="default" w:ascii="Times New Roman" w:hAnsi="Times New Roman" w:cs="Times New Roman"/>
                      <w:kern w:val="0"/>
                      <w:szCs w:val="21"/>
                      <w:u w:val="none"/>
                      <w:lang w:bidi="ar"/>
                    </w:rPr>
                  </w:pPr>
                  <w:r>
                    <w:rPr>
                      <w:rFonts w:hint="default" w:ascii="Times New Roman" w:hAnsi="Times New Roman" w:cs="Times New Roman"/>
                      <w:kern w:val="0"/>
                      <w:szCs w:val="21"/>
                      <w:u w:val="none"/>
                      <w:lang w:bidi="ar"/>
                    </w:rPr>
                    <w:t>按照养殖容量控制养殖规模和养殖密度，发展健康、生态养殖方式，加强对蓝圆鲹和二长棘鲷产卵场的保护。旅游休闲娱乐区的污水和垃圾应科学处置、达标排放，禁止直接排入海域。</w:t>
                  </w:r>
                </w:p>
              </w:tc>
              <w:tc>
                <w:tcPr>
                  <w:tcW w:w="1954" w:type="dxa"/>
                  <w:tcBorders>
                    <w:top w:val="single" w:color="auto" w:sz="4" w:space="0"/>
                    <w:left w:val="nil"/>
                    <w:bottom w:val="single" w:color="auto" w:sz="4" w:space="0"/>
                    <w:right w:val="single" w:color="auto" w:sz="4" w:space="0"/>
                  </w:tcBorders>
                  <w:noWrap w:val="0"/>
                  <w:vAlign w:val="center"/>
                </w:tcPr>
                <w:p w14:paraId="05194AEE">
                  <w:pPr>
                    <w:widowControl/>
                    <w:adjustRightInd w:val="0"/>
                    <w:snapToGrid w:val="0"/>
                    <w:spacing w:line="240" w:lineRule="auto"/>
                    <w:ind w:firstLine="0" w:firstLineChars="0"/>
                    <w:jc w:val="both"/>
                    <w:textAlignment w:val="center"/>
                    <w:rPr>
                      <w:rFonts w:hint="eastAsia" w:ascii="Times New Roman" w:hAnsi="Times New Roman" w:eastAsia="宋体" w:cs="Times New Roman"/>
                      <w:szCs w:val="21"/>
                      <w:u w:val="none"/>
                      <w:lang w:eastAsia="zh-CN"/>
                    </w:rPr>
                  </w:pPr>
                  <w:r>
                    <w:rPr>
                      <w:rFonts w:hint="eastAsia" w:ascii="Times New Roman" w:hAnsi="Times New Roman" w:eastAsia="宋体" w:cs="Times New Roman"/>
                      <w:szCs w:val="21"/>
                      <w:u w:val="none"/>
                    </w:rPr>
                    <w:t>本项目不涉及养殖</w:t>
                  </w:r>
                  <w:r>
                    <w:rPr>
                      <w:rFonts w:hint="eastAsia" w:ascii="Times New Roman" w:hAnsi="Times New Roman" w:eastAsia="宋体" w:cs="Times New Roman"/>
                      <w:szCs w:val="21"/>
                      <w:u w:val="none"/>
                      <w:lang w:eastAsia="zh-CN"/>
                    </w:rPr>
                    <w:t>活动。</w:t>
                  </w:r>
                </w:p>
              </w:tc>
              <w:tc>
                <w:tcPr>
                  <w:tcW w:w="595" w:type="dxa"/>
                  <w:tcBorders>
                    <w:top w:val="single" w:color="auto" w:sz="4" w:space="0"/>
                    <w:left w:val="nil"/>
                    <w:bottom w:val="single" w:color="auto" w:sz="4" w:space="0"/>
                    <w:right w:val="single" w:color="auto" w:sz="4" w:space="0"/>
                  </w:tcBorders>
                  <w:noWrap w:val="0"/>
                  <w:vAlign w:val="center"/>
                </w:tcPr>
                <w:p w14:paraId="29B318B3">
                  <w:pPr>
                    <w:widowControl/>
                    <w:adjustRightInd w:val="0"/>
                    <w:snapToGrid w:val="0"/>
                    <w:spacing w:line="240" w:lineRule="auto"/>
                    <w:ind w:firstLine="0" w:firstLineChars="0"/>
                    <w:jc w:val="center"/>
                    <w:textAlignment w:val="center"/>
                    <w:rPr>
                      <w:rFonts w:hint="eastAsia" w:ascii="Times New Roman" w:hAnsi="Times New Roman" w:eastAsia="宋体" w:cs="Times New Roman"/>
                      <w:szCs w:val="21"/>
                      <w:u w:val="none"/>
                      <w:lang w:val="en-US" w:eastAsia="zh-CN"/>
                    </w:rPr>
                  </w:pPr>
                  <w:r>
                    <w:rPr>
                      <w:rFonts w:hint="eastAsia" w:ascii="Times New Roman" w:hAnsi="Times New Roman" w:eastAsia="宋体" w:cs="Times New Roman"/>
                      <w:kern w:val="0"/>
                      <w:szCs w:val="21"/>
                      <w:u w:val="none"/>
                      <w:lang w:eastAsia="zh-CN"/>
                    </w:rPr>
                    <w:t>—</w:t>
                  </w:r>
                </w:p>
              </w:tc>
            </w:tr>
            <w:tr w14:paraId="41E6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restart"/>
                  <w:tcBorders>
                    <w:top w:val="nil"/>
                    <w:left w:val="single" w:color="auto" w:sz="4" w:space="0"/>
                    <w:right w:val="single" w:color="auto" w:sz="4" w:space="0"/>
                  </w:tcBorders>
                  <w:noWrap w:val="0"/>
                  <w:vAlign w:val="center"/>
                </w:tcPr>
                <w:p w14:paraId="317A329D">
                  <w:pPr>
                    <w:adjustRightInd w:val="0"/>
                    <w:snapToGrid w:val="0"/>
                    <w:spacing w:line="240" w:lineRule="auto"/>
                    <w:ind w:firstLine="0" w:firstLineChars="0"/>
                    <w:jc w:val="center"/>
                    <w:rPr>
                      <w:rFonts w:ascii="Times New Roman" w:hAnsi="Times New Roman" w:eastAsia="宋体" w:cs="Times New Roman"/>
                      <w:kern w:val="0"/>
                      <w:szCs w:val="21"/>
                      <w:u w:val="none"/>
                    </w:rPr>
                  </w:pPr>
                  <w:r>
                    <w:rPr>
                      <w:rFonts w:ascii="Times New Roman" w:hAnsi="Times New Roman" w:eastAsia="宋体" w:cs="Times New Roman"/>
                      <w:kern w:val="0"/>
                      <w:szCs w:val="21"/>
                      <w:u w:val="none"/>
                    </w:rPr>
                    <w:t>环境风险防控</w:t>
                  </w:r>
                </w:p>
              </w:tc>
              <w:tc>
                <w:tcPr>
                  <w:tcW w:w="3745" w:type="dxa"/>
                  <w:tcBorders>
                    <w:top w:val="single" w:color="auto" w:sz="4" w:space="0"/>
                    <w:left w:val="nil"/>
                    <w:bottom w:val="single" w:color="auto" w:sz="4" w:space="0"/>
                    <w:right w:val="single" w:color="auto" w:sz="4" w:space="0"/>
                  </w:tcBorders>
                  <w:noWrap w:val="0"/>
                  <w:vAlign w:val="center"/>
                </w:tcPr>
                <w:p w14:paraId="6A6CDECB">
                  <w:pPr>
                    <w:pStyle w:val="24"/>
                    <w:numPr>
                      <w:ilvl w:val="0"/>
                      <w:numId w:val="5"/>
                    </w:numPr>
                    <w:spacing w:line="240" w:lineRule="auto"/>
                    <w:ind w:firstLine="0" w:firstLineChars="0"/>
                    <w:rPr>
                      <w:rFonts w:hint="default" w:ascii="Times New Roman" w:hAnsi="Times New Roman" w:eastAsia="宋体" w:cs="Times New Roman"/>
                      <w:sz w:val="21"/>
                      <w:szCs w:val="21"/>
                      <w:u w:val="none"/>
                    </w:rPr>
                  </w:pPr>
                  <w:r>
                    <w:rPr>
                      <w:rFonts w:hint="default" w:ascii="Times New Roman" w:hAnsi="Times New Roman" w:cs="Times New Roman"/>
                      <w:sz w:val="21"/>
                      <w:u w:val="none"/>
                      <w:lang w:bidi="ar"/>
                    </w:rPr>
                    <w:t>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1954" w:type="dxa"/>
                  <w:tcBorders>
                    <w:top w:val="single" w:color="auto" w:sz="4" w:space="0"/>
                    <w:left w:val="nil"/>
                    <w:bottom w:val="single" w:color="auto" w:sz="4" w:space="0"/>
                    <w:right w:val="single" w:color="auto" w:sz="4" w:space="0"/>
                  </w:tcBorders>
                  <w:noWrap w:val="0"/>
                  <w:vAlign w:val="center"/>
                </w:tcPr>
                <w:p w14:paraId="1CBA5F49">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项目建成后会按相关要求编制突发环境</w:t>
                  </w:r>
                  <w:r>
                    <w:rPr>
                      <w:rFonts w:hint="eastAsia" w:ascii="Times New Roman" w:hAnsi="Times New Roman" w:eastAsia="宋体" w:cs="Times New Roman"/>
                      <w:color w:val="auto"/>
                      <w:kern w:val="0"/>
                      <w:szCs w:val="21"/>
                      <w:highlight w:val="none"/>
                      <w:u w:val="none"/>
                      <w:lang w:val="en-US" w:eastAsia="zh-CN"/>
                    </w:rPr>
                    <w:t>事件</w:t>
                  </w:r>
                  <w:r>
                    <w:rPr>
                      <w:rFonts w:hint="eastAsia" w:ascii="Times New Roman" w:hAnsi="Times New Roman" w:eastAsia="宋体" w:cs="Times New Roman"/>
                      <w:color w:val="auto"/>
                      <w:kern w:val="0"/>
                      <w:szCs w:val="21"/>
                      <w:u w:val="none"/>
                    </w:rPr>
                    <w:t>应急预案等材料</w:t>
                  </w:r>
                  <w:r>
                    <w:rPr>
                      <w:rFonts w:hint="eastAsia" w:ascii="Times New Roman" w:hAnsi="Times New Roman" w:eastAsia="宋体" w:cs="Times New Roman"/>
                      <w:color w:val="auto"/>
                      <w:kern w:val="0"/>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46F827A5">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rPr>
                    <w:t>符合</w:t>
                  </w:r>
                </w:p>
              </w:tc>
            </w:tr>
            <w:tr w14:paraId="6941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1E6B8772">
                  <w:pPr>
                    <w:widowControl/>
                    <w:spacing w:line="240" w:lineRule="auto"/>
                    <w:ind w:firstLine="0" w:firstLineChars="0"/>
                    <w:jc w:val="left"/>
                    <w:rPr>
                      <w:rFonts w:ascii="Times New Roman" w:hAnsi="Times New Roman" w:eastAsia="宋体" w:cs="Times New Roman"/>
                      <w:kern w:val="0"/>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0AEBF6C3">
                  <w:pPr>
                    <w:pStyle w:val="24"/>
                    <w:numPr>
                      <w:ilvl w:val="0"/>
                      <w:numId w:val="5"/>
                    </w:numPr>
                    <w:spacing w:line="240" w:lineRule="auto"/>
                    <w:ind w:left="0" w:leftChars="0" w:firstLine="0" w:firstLineChars="0"/>
                    <w:rPr>
                      <w:rFonts w:hint="default" w:ascii="Times New Roman" w:hAnsi="Times New Roman" w:eastAsia="宋体" w:cs="Times New Roman"/>
                      <w:sz w:val="21"/>
                      <w:szCs w:val="21"/>
                      <w:u w:val="none"/>
                    </w:rPr>
                  </w:pPr>
                  <w:r>
                    <w:rPr>
                      <w:rFonts w:hint="default" w:ascii="Times New Roman" w:hAnsi="Times New Roman" w:cs="Times New Roman"/>
                      <w:sz w:val="21"/>
                      <w:u w:val="none"/>
                      <w:lang w:bidi="ar"/>
                    </w:rPr>
                    <w:t>选择涉重涉危企业、化工园区、集中式饮用水水源地等重要区域开展突发环境事件风险、环境健康风险评估，实施分类分级风险管控。</w:t>
                  </w:r>
                </w:p>
              </w:tc>
              <w:tc>
                <w:tcPr>
                  <w:tcW w:w="1954" w:type="dxa"/>
                  <w:tcBorders>
                    <w:top w:val="single" w:color="auto" w:sz="4" w:space="0"/>
                    <w:left w:val="nil"/>
                    <w:bottom w:val="single" w:color="auto" w:sz="4" w:space="0"/>
                    <w:right w:val="single" w:color="auto" w:sz="4" w:space="0"/>
                  </w:tcBorders>
                  <w:noWrap w:val="0"/>
                  <w:vAlign w:val="center"/>
                </w:tcPr>
                <w:p w14:paraId="5CBB031F">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项目建成后会按相关要求编制突发环境</w:t>
                  </w:r>
                  <w:r>
                    <w:rPr>
                      <w:rFonts w:hint="eastAsia" w:ascii="Times New Roman" w:hAnsi="Times New Roman" w:eastAsia="宋体" w:cs="Times New Roman"/>
                      <w:color w:val="auto"/>
                      <w:kern w:val="0"/>
                      <w:szCs w:val="21"/>
                      <w:highlight w:val="none"/>
                      <w:u w:val="none"/>
                      <w:lang w:val="en-US" w:eastAsia="zh-CN"/>
                    </w:rPr>
                    <w:t>事件</w:t>
                  </w:r>
                  <w:r>
                    <w:rPr>
                      <w:rFonts w:hint="eastAsia" w:ascii="Times New Roman" w:hAnsi="Times New Roman" w:eastAsia="宋体" w:cs="Times New Roman"/>
                      <w:kern w:val="0"/>
                      <w:szCs w:val="21"/>
                      <w:u w:val="none"/>
                    </w:rPr>
                    <w:t>应急预案等材料</w:t>
                  </w:r>
                  <w:r>
                    <w:rPr>
                      <w:rFonts w:hint="eastAsia" w:ascii="Times New Roman" w:hAnsi="Times New Roman" w:eastAsia="宋体" w:cs="Times New Roman"/>
                      <w:kern w:val="0"/>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42818EB7">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rPr>
                    <w:t>符合</w:t>
                  </w:r>
                </w:p>
              </w:tc>
            </w:tr>
            <w:tr w14:paraId="4502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7B3D8A20">
                  <w:pPr>
                    <w:widowControl/>
                    <w:spacing w:line="240" w:lineRule="auto"/>
                    <w:ind w:firstLine="0" w:firstLineChars="0"/>
                    <w:jc w:val="left"/>
                    <w:rPr>
                      <w:rFonts w:ascii="Times New Roman" w:hAnsi="Times New Roman" w:eastAsia="宋体" w:cs="Times New Roman"/>
                      <w:kern w:val="0"/>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29970830">
                  <w:pPr>
                    <w:pStyle w:val="24"/>
                    <w:numPr>
                      <w:ilvl w:val="0"/>
                      <w:numId w:val="5"/>
                    </w:numPr>
                    <w:spacing w:line="240" w:lineRule="auto"/>
                    <w:ind w:left="0" w:leftChars="0" w:firstLine="0" w:firstLineChars="0"/>
                    <w:rPr>
                      <w:rFonts w:hint="default" w:ascii="Times New Roman" w:hAnsi="Times New Roman" w:eastAsia="宋体" w:cs="Times New Roman"/>
                      <w:sz w:val="21"/>
                      <w:szCs w:val="21"/>
                      <w:u w:val="none"/>
                    </w:rPr>
                  </w:pPr>
                  <w:r>
                    <w:rPr>
                      <w:rFonts w:hint="default" w:ascii="Times New Roman" w:hAnsi="Times New Roman" w:cs="Times New Roman"/>
                      <w:sz w:val="21"/>
                      <w:u w:val="none"/>
                      <w:lang w:bidi="ar"/>
                    </w:rPr>
                    <w:t>强化饮用水水源地环境风险排查，加强环境风险源管理，建立健全饮用水水源地应急预案。推进县级及以上饮用水水源地自动监测预警能力建设，实施水源地应急防护工程。加强大气污染防治协作和部门联动，建立健全大气污染联防联控机制。建立健全用地土壤环境联动监督管理机制，实行联动监管。</w:t>
                  </w:r>
                </w:p>
              </w:tc>
              <w:tc>
                <w:tcPr>
                  <w:tcW w:w="1954" w:type="dxa"/>
                  <w:tcBorders>
                    <w:top w:val="single" w:color="auto" w:sz="4" w:space="0"/>
                    <w:left w:val="nil"/>
                    <w:bottom w:val="single" w:color="auto" w:sz="4" w:space="0"/>
                    <w:right w:val="single" w:color="auto" w:sz="4" w:space="0"/>
                  </w:tcBorders>
                  <w:noWrap w:val="0"/>
                  <w:vAlign w:val="center"/>
                </w:tcPr>
                <w:p w14:paraId="314AE179">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本项目不在饮用水水源保护区范围，周边无饮用水水源保护区</w:t>
                  </w:r>
                  <w:r>
                    <w:rPr>
                      <w:rFonts w:hint="eastAsia" w:ascii="Times New Roman" w:hAnsi="Times New Roman" w:eastAsia="宋体" w:cs="Times New Roman"/>
                      <w:kern w:val="0"/>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657D4124">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0CD4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6D547F6D">
                  <w:pPr>
                    <w:widowControl/>
                    <w:spacing w:line="240" w:lineRule="auto"/>
                    <w:ind w:firstLine="0" w:firstLineChars="0"/>
                    <w:jc w:val="left"/>
                    <w:rPr>
                      <w:rFonts w:ascii="Times New Roman" w:hAnsi="Times New Roman" w:eastAsia="宋体" w:cs="Times New Roman"/>
                      <w:kern w:val="0"/>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0ACEBE13">
                  <w:pPr>
                    <w:pStyle w:val="24"/>
                    <w:numPr>
                      <w:ilvl w:val="0"/>
                      <w:numId w:val="5"/>
                    </w:numPr>
                    <w:spacing w:line="240" w:lineRule="auto"/>
                    <w:ind w:left="0" w:leftChars="0" w:firstLine="0" w:firstLineChars="0"/>
                    <w:rPr>
                      <w:rFonts w:hint="default" w:ascii="Times New Roman" w:hAnsi="Times New Roman" w:eastAsia="宋体" w:cs="Times New Roman"/>
                      <w:sz w:val="21"/>
                      <w:szCs w:val="21"/>
                      <w:u w:val="none"/>
                    </w:rPr>
                  </w:pPr>
                  <w:r>
                    <w:rPr>
                      <w:rFonts w:hint="default" w:ascii="Times New Roman" w:hAnsi="Times New Roman" w:cs="Times New Roman"/>
                      <w:sz w:val="21"/>
                      <w:u w:val="none"/>
                      <w:lang w:bidi="ar"/>
                    </w:rPr>
                    <w:t>严格建设项目环境准入，永久基本农田集中区域禁止规划新建可能造成土壤污染的建设项目；新（改、扩）建涉有毒有害物质可能造成土壤污染的建设项目，提出并落实污染防治要求。</w:t>
                  </w:r>
                </w:p>
              </w:tc>
              <w:tc>
                <w:tcPr>
                  <w:tcW w:w="1954" w:type="dxa"/>
                  <w:tcBorders>
                    <w:top w:val="single" w:color="auto" w:sz="4" w:space="0"/>
                    <w:left w:val="nil"/>
                    <w:bottom w:val="single" w:color="auto" w:sz="4" w:space="0"/>
                    <w:right w:val="single" w:color="auto" w:sz="4" w:space="0"/>
                  </w:tcBorders>
                  <w:noWrap w:val="0"/>
                  <w:vAlign w:val="center"/>
                </w:tcPr>
                <w:p w14:paraId="3E421468">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项目不占用基本农田，</w:t>
                  </w:r>
                  <w:r>
                    <w:rPr>
                      <w:rFonts w:hint="eastAsia" w:ascii="Times New Roman" w:hAnsi="Times New Roman" w:eastAsia="宋体" w:cs="Times New Roman"/>
                      <w:kern w:val="0"/>
                      <w:szCs w:val="21"/>
                      <w:u w:val="none"/>
                      <w:lang w:eastAsia="zh-CN"/>
                    </w:rPr>
                    <w:t>不涉及有毒有害物质</w:t>
                  </w:r>
                  <w:r>
                    <w:rPr>
                      <w:rFonts w:hint="eastAsia" w:ascii="Times New Roman" w:hAnsi="Times New Roman" w:eastAsia="宋体" w:cs="Times New Roman"/>
                      <w:kern w:val="0"/>
                      <w:szCs w:val="21"/>
                      <w:u w:val="none"/>
                      <w:lang w:val="en-US" w:eastAsia="zh-CN"/>
                    </w:rPr>
                    <w:t>排放</w:t>
                  </w:r>
                  <w:r>
                    <w:rPr>
                      <w:rFonts w:hint="eastAsia" w:ascii="Times New Roman" w:hAnsi="Times New Roman" w:eastAsia="宋体" w:cs="Times New Roman"/>
                      <w:kern w:val="0"/>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62F10461">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7AD1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577BA6EA">
                  <w:pPr>
                    <w:widowControl/>
                    <w:spacing w:line="240" w:lineRule="auto"/>
                    <w:ind w:firstLine="0" w:firstLineChars="0"/>
                    <w:jc w:val="left"/>
                    <w:rPr>
                      <w:rFonts w:ascii="Times New Roman" w:hAnsi="Times New Roman" w:eastAsia="宋体" w:cs="Times New Roman"/>
                      <w:kern w:val="0"/>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4B76F4B8">
                  <w:pPr>
                    <w:pStyle w:val="24"/>
                    <w:numPr>
                      <w:ilvl w:val="0"/>
                      <w:numId w:val="5"/>
                    </w:numPr>
                    <w:spacing w:line="240" w:lineRule="auto"/>
                    <w:ind w:left="0" w:leftChars="0" w:firstLine="0" w:firstLineChars="0"/>
                    <w:rPr>
                      <w:rFonts w:hint="default" w:ascii="Times New Roman" w:hAnsi="Times New Roman" w:cs="Times New Roman"/>
                      <w:sz w:val="21"/>
                      <w:u w:val="none"/>
                      <w:lang w:bidi="ar"/>
                    </w:rPr>
                  </w:pPr>
                  <w:r>
                    <w:rPr>
                      <w:rFonts w:hint="default" w:ascii="Times New Roman" w:hAnsi="Times New Roman" w:cs="Times New Roman"/>
                      <w:sz w:val="21"/>
                      <w:u w:val="none"/>
                      <w:lang w:bidi="ar"/>
                    </w:rPr>
                    <w:t>强化全域矿产资源开发监管，建立</w:t>
                  </w:r>
                  <w:r>
                    <w:rPr>
                      <w:rFonts w:hint="default" w:ascii="Times New Roman" w:hAnsi="Times New Roman" w:cs="Times New Roman"/>
                      <w:sz w:val="21"/>
                      <w:highlight w:val="none"/>
                      <w:u w:val="none"/>
                      <w:lang w:bidi="ar"/>
                    </w:rPr>
                    <w:t>矿石</w:t>
                  </w:r>
                  <w:r>
                    <w:rPr>
                      <w:rFonts w:hint="default" w:ascii="Times New Roman" w:hAnsi="Times New Roman" w:cs="Times New Roman"/>
                      <w:sz w:val="21"/>
                      <w:u w:val="none"/>
                      <w:lang w:bidi="ar"/>
                    </w:rPr>
                    <w:t>生态环境动态监测网络，禁止矿山废水、废气、废渣的无序排放。</w:t>
                  </w:r>
                </w:p>
              </w:tc>
              <w:tc>
                <w:tcPr>
                  <w:tcW w:w="1954" w:type="dxa"/>
                  <w:tcBorders>
                    <w:top w:val="single" w:color="auto" w:sz="4" w:space="0"/>
                    <w:left w:val="nil"/>
                    <w:bottom w:val="single" w:color="auto" w:sz="4" w:space="0"/>
                    <w:right w:val="single" w:color="auto" w:sz="4" w:space="0"/>
                  </w:tcBorders>
                  <w:noWrap w:val="0"/>
                  <w:vAlign w:val="center"/>
                </w:tcPr>
                <w:p w14:paraId="433F519F">
                  <w:pPr>
                    <w:widowControl/>
                    <w:adjustRightInd w:val="0"/>
                    <w:snapToGrid w:val="0"/>
                    <w:spacing w:line="240" w:lineRule="auto"/>
                    <w:ind w:firstLine="0" w:firstLineChars="0"/>
                    <w:jc w:val="both"/>
                    <w:textAlignment w:val="center"/>
                    <w:rPr>
                      <w:rFonts w:hint="default" w:ascii="Times New Roman" w:hAnsi="Times New Roman" w:eastAsia="宋体" w:cs="Times New Roman"/>
                      <w:kern w:val="0"/>
                      <w:szCs w:val="21"/>
                      <w:u w:val="none"/>
                      <w:lang w:val="en-US" w:eastAsia="zh-CN"/>
                    </w:rPr>
                  </w:pPr>
                  <w:r>
                    <w:rPr>
                      <w:rFonts w:hint="eastAsia" w:ascii="Times New Roman" w:hAnsi="Times New Roman" w:eastAsia="宋体" w:cs="Times New Roman"/>
                      <w:kern w:val="0"/>
                      <w:szCs w:val="21"/>
                      <w:u w:val="none"/>
                      <w:lang w:val="en-US" w:eastAsia="zh-CN"/>
                    </w:rPr>
                    <w:t>项目</w:t>
                  </w:r>
                  <w:r>
                    <w:rPr>
                      <w:rFonts w:hint="eastAsia" w:ascii="Times New Roman" w:hAnsi="Times New Roman" w:eastAsia="宋体" w:cs="Times New Roman"/>
                      <w:color w:val="auto"/>
                      <w:kern w:val="0"/>
                      <w:szCs w:val="21"/>
                      <w:highlight w:val="none"/>
                      <w:u w:val="none"/>
                      <w:lang w:val="en-US" w:eastAsia="zh-CN"/>
                    </w:rPr>
                    <w:t>不</w:t>
                  </w:r>
                  <w:r>
                    <w:rPr>
                      <w:rFonts w:hint="eastAsia" w:ascii="Times New Roman" w:hAnsi="Times New Roman" w:eastAsia="宋体" w:cs="Times New Roman"/>
                      <w:kern w:val="0"/>
                      <w:szCs w:val="21"/>
                      <w:u w:val="none"/>
                      <w:lang w:val="en-US" w:eastAsia="zh-CN"/>
                    </w:rPr>
                    <w:t>涉及矿产资源开发。</w:t>
                  </w:r>
                </w:p>
              </w:tc>
              <w:tc>
                <w:tcPr>
                  <w:tcW w:w="595" w:type="dxa"/>
                  <w:tcBorders>
                    <w:top w:val="single" w:color="auto" w:sz="4" w:space="0"/>
                    <w:left w:val="nil"/>
                    <w:bottom w:val="single" w:color="auto" w:sz="4" w:space="0"/>
                    <w:right w:val="single" w:color="auto" w:sz="4" w:space="0"/>
                  </w:tcBorders>
                  <w:noWrap w:val="0"/>
                  <w:vAlign w:val="center"/>
                </w:tcPr>
                <w:p w14:paraId="79E7B910">
                  <w:pPr>
                    <w:widowControl/>
                    <w:adjustRightInd w:val="0"/>
                    <w:snapToGrid w:val="0"/>
                    <w:spacing w:line="240" w:lineRule="auto"/>
                    <w:ind w:firstLine="0" w:firstLineChars="0"/>
                    <w:jc w:val="center"/>
                    <w:textAlignment w:val="center"/>
                    <w:rPr>
                      <w:rFonts w:hint="eastAsia"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21E9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32F23DF2">
                  <w:pPr>
                    <w:widowControl/>
                    <w:spacing w:line="240" w:lineRule="auto"/>
                    <w:ind w:firstLine="0" w:firstLineChars="0"/>
                    <w:jc w:val="left"/>
                    <w:rPr>
                      <w:rFonts w:ascii="Times New Roman" w:hAnsi="Times New Roman" w:eastAsia="宋体" w:cs="Times New Roman"/>
                      <w:kern w:val="0"/>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1F527959">
                  <w:pPr>
                    <w:numPr>
                      <w:ilvl w:val="0"/>
                      <w:numId w:val="5"/>
                    </w:numPr>
                    <w:adjustRightInd w:val="0"/>
                    <w:snapToGrid w:val="0"/>
                    <w:spacing w:line="240" w:lineRule="auto"/>
                    <w:ind w:left="0" w:leftChars="0" w:firstLine="0" w:firstLineChars="0"/>
                    <w:rPr>
                      <w:rFonts w:hint="default" w:ascii="Times New Roman" w:hAnsi="Times New Roman" w:eastAsia="宋体" w:cs="Times New Roman"/>
                      <w:kern w:val="0"/>
                      <w:szCs w:val="21"/>
                      <w:u w:val="none"/>
                    </w:rPr>
                  </w:pPr>
                  <w:r>
                    <w:rPr>
                      <w:rFonts w:hint="default" w:ascii="Times New Roman" w:hAnsi="Times New Roman" w:cs="Times New Roman"/>
                      <w:kern w:val="0"/>
                      <w:szCs w:val="21"/>
                      <w:u w:val="none"/>
                    </w:rPr>
                    <w:t>严格管控涉海重大工程环境风险，全面排查陆域环境风险源、海上溢油、危险化学品泄漏等环境风险隐患，完善分类分级的海上应急监测及处置预案，在石化基地、危化品储存区等邻近海域部署快速监测能力和应急处置物资设备。建立健全海洋生态补偿和生态损害赔偿制度。</w:t>
                  </w:r>
                </w:p>
              </w:tc>
              <w:tc>
                <w:tcPr>
                  <w:tcW w:w="1954" w:type="dxa"/>
                  <w:tcBorders>
                    <w:top w:val="single" w:color="auto" w:sz="4" w:space="0"/>
                    <w:left w:val="nil"/>
                    <w:bottom w:val="single" w:color="auto" w:sz="4" w:space="0"/>
                    <w:right w:val="single" w:color="auto" w:sz="4" w:space="0"/>
                  </w:tcBorders>
                  <w:noWrap w:val="0"/>
                  <w:vAlign w:val="center"/>
                </w:tcPr>
                <w:p w14:paraId="2916493C">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本项目</w:t>
                  </w:r>
                  <w:r>
                    <w:rPr>
                      <w:rFonts w:hint="eastAsia" w:ascii="Times New Roman" w:hAnsi="Times New Roman" w:eastAsia="宋体" w:cs="Times New Roman"/>
                      <w:kern w:val="0"/>
                      <w:szCs w:val="21"/>
                      <w:u w:val="none"/>
                      <w:lang w:val="en-US" w:eastAsia="zh-CN"/>
                    </w:rPr>
                    <w:t>建成后将编制突发环境应急预案，配备应急物资设备</w:t>
                  </w:r>
                  <w:r>
                    <w:rPr>
                      <w:rFonts w:hint="eastAsia" w:ascii="Times New Roman" w:hAnsi="Times New Roman" w:eastAsia="宋体" w:cs="Times New Roman"/>
                      <w:kern w:val="0"/>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60669270">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rPr>
                    <w:t>符合</w:t>
                  </w:r>
                </w:p>
              </w:tc>
            </w:tr>
            <w:tr w14:paraId="5F02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0739296D">
                  <w:pPr>
                    <w:widowControl/>
                    <w:spacing w:line="240" w:lineRule="auto"/>
                    <w:ind w:firstLine="0" w:firstLineChars="0"/>
                    <w:jc w:val="left"/>
                    <w:rPr>
                      <w:rFonts w:ascii="Times New Roman" w:hAnsi="Times New Roman" w:eastAsia="宋体" w:cs="Times New Roman"/>
                      <w:kern w:val="0"/>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735DDA23">
                  <w:pPr>
                    <w:numPr>
                      <w:ilvl w:val="0"/>
                      <w:numId w:val="5"/>
                    </w:numPr>
                    <w:adjustRightInd w:val="0"/>
                    <w:snapToGrid w:val="0"/>
                    <w:spacing w:line="240" w:lineRule="auto"/>
                    <w:ind w:left="0" w:leftChars="0" w:firstLine="0" w:firstLineChars="0"/>
                    <w:rPr>
                      <w:rFonts w:hint="default" w:ascii="Times New Roman" w:hAnsi="Times New Roman" w:eastAsia="宋体" w:cs="Times New Roman"/>
                      <w:kern w:val="0"/>
                      <w:szCs w:val="21"/>
                      <w:u w:val="none"/>
                    </w:rPr>
                  </w:pPr>
                  <w:r>
                    <w:rPr>
                      <w:rFonts w:hint="default" w:ascii="Times New Roman" w:hAnsi="Times New Roman" w:cs="Times New Roman"/>
                      <w:kern w:val="0"/>
                      <w:szCs w:val="21"/>
                      <w:u w:val="none"/>
                    </w:rPr>
                    <w:t>强化沿海工业园区和沿海石油、石化、化工、冶炼及危化品储运等企业的环境风险防控，加强企业和园区环境应急物资储备。</w:t>
                  </w:r>
                </w:p>
              </w:tc>
              <w:tc>
                <w:tcPr>
                  <w:tcW w:w="1954" w:type="dxa"/>
                  <w:tcBorders>
                    <w:top w:val="single" w:color="auto" w:sz="4" w:space="0"/>
                    <w:left w:val="nil"/>
                    <w:bottom w:val="single" w:color="auto" w:sz="4" w:space="0"/>
                    <w:right w:val="single" w:color="auto" w:sz="4" w:space="0"/>
                  </w:tcBorders>
                  <w:noWrap w:val="0"/>
                  <w:vAlign w:val="center"/>
                </w:tcPr>
                <w:p w14:paraId="58BC9A40">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项目建成后会按相关要求编制突发环境应急预案等材料，加强环境风险防控</w:t>
                  </w:r>
                  <w:r>
                    <w:rPr>
                      <w:rFonts w:hint="eastAsia" w:ascii="Times New Roman" w:hAnsi="Times New Roman" w:eastAsia="宋体" w:cs="Times New Roman"/>
                      <w:kern w:val="0"/>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26FC7161">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rPr>
                    <w:t>符合</w:t>
                  </w:r>
                </w:p>
              </w:tc>
            </w:tr>
            <w:tr w14:paraId="5856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bottom w:val="single" w:color="auto" w:sz="4" w:space="0"/>
                    <w:right w:val="single" w:color="auto" w:sz="4" w:space="0"/>
                  </w:tcBorders>
                  <w:noWrap w:val="0"/>
                  <w:vAlign w:val="center"/>
                </w:tcPr>
                <w:p w14:paraId="27F49ECB">
                  <w:pPr>
                    <w:widowControl/>
                    <w:spacing w:line="240" w:lineRule="auto"/>
                    <w:ind w:firstLine="0" w:firstLineChars="0"/>
                    <w:jc w:val="left"/>
                    <w:rPr>
                      <w:rFonts w:ascii="Times New Roman" w:hAnsi="Times New Roman" w:eastAsia="宋体" w:cs="Times New Roman"/>
                      <w:kern w:val="0"/>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1B51C137">
                  <w:pPr>
                    <w:adjustRightInd w:val="0"/>
                    <w:snapToGrid w:val="0"/>
                    <w:spacing w:line="240" w:lineRule="auto"/>
                    <w:ind w:firstLine="0" w:firstLineChars="0"/>
                    <w:rPr>
                      <w:rFonts w:hint="default" w:ascii="Times New Roman" w:hAnsi="Times New Roman" w:eastAsia="宋体" w:cs="Times New Roman"/>
                      <w:kern w:val="0"/>
                      <w:szCs w:val="21"/>
                      <w:u w:val="none"/>
                    </w:rPr>
                  </w:pPr>
                  <w:r>
                    <w:rPr>
                      <w:rFonts w:hint="eastAsia" w:ascii="Times New Roman" w:hAnsi="Times New Roman" w:cs="Times New Roman"/>
                      <w:kern w:val="0"/>
                      <w:szCs w:val="21"/>
                      <w:u w:val="none"/>
                      <w:lang w:val="en-US" w:eastAsia="zh-CN"/>
                    </w:rPr>
                    <w:t xml:space="preserve">8 </w:t>
                  </w:r>
                  <w:r>
                    <w:rPr>
                      <w:rFonts w:hint="default" w:ascii="Times New Roman" w:hAnsi="Times New Roman" w:cs="Times New Roman"/>
                      <w:kern w:val="0"/>
                      <w:szCs w:val="21"/>
                      <w:u w:val="none"/>
                      <w:lang w:bidi="ar"/>
                    </w:rPr>
                    <w:t>.加强倾倒区使用状况监督管理工作，做好废弃物向海洋倾倒活动的风险管控。</w:t>
                  </w:r>
                </w:p>
              </w:tc>
              <w:tc>
                <w:tcPr>
                  <w:tcW w:w="1954" w:type="dxa"/>
                  <w:tcBorders>
                    <w:top w:val="single" w:color="auto" w:sz="4" w:space="0"/>
                    <w:left w:val="nil"/>
                    <w:bottom w:val="single" w:color="auto" w:sz="4" w:space="0"/>
                    <w:right w:val="single" w:color="auto" w:sz="4" w:space="0"/>
                  </w:tcBorders>
                  <w:noWrap w:val="0"/>
                  <w:vAlign w:val="center"/>
                </w:tcPr>
                <w:p w14:paraId="5F445E79">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本项目</w:t>
                  </w:r>
                  <w:r>
                    <w:rPr>
                      <w:rFonts w:hint="eastAsia" w:ascii="Times New Roman" w:hAnsi="Times New Roman" w:eastAsia="宋体" w:cs="Times New Roman"/>
                      <w:kern w:val="0"/>
                      <w:szCs w:val="21"/>
                      <w:u w:val="none"/>
                      <w:lang w:eastAsia="zh-CN"/>
                    </w:rPr>
                    <w:t>不向</w:t>
                  </w:r>
                  <w:r>
                    <w:rPr>
                      <w:rFonts w:hint="eastAsia" w:ascii="Times New Roman" w:hAnsi="Times New Roman"/>
                      <w:kern w:val="0"/>
                      <w:szCs w:val="21"/>
                      <w:u w:val="none"/>
                      <w:lang w:bidi="ar"/>
                    </w:rPr>
                    <w:t>海洋</w:t>
                  </w:r>
                  <w:r>
                    <w:rPr>
                      <w:rFonts w:hint="eastAsia" w:ascii="Times New Roman" w:hAnsi="Times New Roman"/>
                      <w:kern w:val="0"/>
                      <w:szCs w:val="21"/>
                      <w:u w:val="none"/>
                      <w:lang w:eastAsia="zh-CN" w:bidi="ar"/>
                    </w:rPr>
                    <w:t>倾倒污染物。</w:t>
                  </w:r>
                </w:p>
              </w:tc>
              <w:tc>
                <w:tcPr>
                  <w:tcW w:w="595" w:type="dxa"/>
                  <w:tcBorders>
                    <w:top w:val="single" w:color="auto" w:sz="4" w:space="0"/>
                    <w:left w:val="nil"/>
                    <w:bottom w:val="single" w:color="auto" w:sz="4" w:space="0"/>
                    <w:right w:val="single" w:color="auto" w:sz="4" w:space="0"/>
                  </w:tcBorders>
                  <w:noWrap w:val="0"/>
                  <w:vAlign w:val="center"/>
                </w:tcPr>
                <w:p w14:paraId="74F9DCC3">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rPr>
                    <w:t>符合</w:t>
                  </w:r>
                </w:p>
              </w:tc>
            </w:tr>
            <w:tr w14:paraId="3E2D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restart"/>
                  <w:tcBorders>
                    <w:top w:val="nil"/>
                    <w:left w:val="single" w:color="auto" w:sz="4" w:space="0"/>
                    <w:right w:val="single" w:color="auto" w:sz="4" w:space="0"/>
                  </w:tcBorders>
                  <w:noWrap w:val="0"/>
                  <w:vAlign w:val="center"/>
                </w:tcPr>
                <w:p w14:paraId="08D49C79">
                  <w:pPr>
                    <w:adjustRightInd w:val="0"/>
                    <w:snapToGrid w:val="0"/>
                    <w:spacing w:line="240" w:lineRule="auto"/>
                    <w:ind w:firstLine="0" w:firstLineChars="0"/>
                    <w:jc w:val="center"/>
                    <w:rPr>
                      <w:rFonts w:ascii="Times New Roman" w:hAnsi="Times New Roman" w:eastAsia="宋体" w:cs="Times New Roman"/>
                      <w:kern w:val="0"/>
                      <w:szCs w:val="21"/>
                      <w:u w:val="none"/>
                    </w:rPr>
                  </w:pPr>
                  <w:r>
                    <w:rPr>
                      <w:rFonts w:ascii="Times New Roman" w:hAnsi="Times New Roman" w:eastAsia="宋体" w:cs="Times New Roman"/>
                      <w:kern w:val="0"/>
                      <w:szCs w:val="21"/>
                      <w:u w:val="none"/>
                    </w:rPr>
                    <w:t>资源开发利用效率要求</w:t>
                  </w:r>
                </w:p>
              </w:tc>
              <w:tc>
                <w:tcPr>
                  <w:tcW w:w="3745" w:type="dxa"/>
                  <w:tcBorders>
                    <w:top w:val="single" w:color="auto" w:sz="4" w:space="0"/>
                    <w:left w:val="nil"/>
                    <w:bottom w:val="single" w:color="auto" w:sz="4" w:space="0"/>
                    <w:right w:val="single" w:color="auto" w:sz="4" w:space="0"/>
                  </w:tcBorders>
                  <w:noWrap w:val="0"/>
                  <w:vAlign w:val="center"/>
                </w:tcPr>
                <w:p w14:paraId="6516A3BB">
                  <w:pPr>
                    <w:numPr>
                      <w:ilvl w:val="0"/>
                      <w:numId w:val="6"/>
                    </w:numPr>
                    <w:adjustRightInd w:val="0"/>
                    <w:snapToGrid w:val="0"/>
                    <w:spacing w:line="240" w:lineRule="auto"/>
                    <w:ind w:firstLine="0" w:firstLineChars="0"/>
                    <w:rPr>
                      <w:rFonts w:hint="default" w:ascii="Times New Roman" w:hAnsi="Times New Roman" w:eastAsia="宋体" w:cs="Times New Roman"/>
                      <w:kern w:val="0"/>
                      <w:szCs w:val="21"/>
                      <w:u w:val="none"/>
                    </w:rPr>
                  </w:pPr>
                  <w:r>
                    <w:rPr>
                      <w:rFonts w:hint="default" w:ascii="Times New Roman" w:hAnsi="Times New Roman" w:cs="Times New Roman"/>
                      <w:kern w:val="0"/>
                      <w:szCs w:val="21"/>
                      <w:u w:val="none"/>
                      <w:lang w:bidi="ar"/>
                    </w:rPr>
                    <w:t>能源：推进能源消费总量和强度“双控”。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w:t>
                  </w:r>
                </w:p>
              </w:tc>
              <w:tc>
                <w:tcPr>
                  <w:tcW w:w="1954" w:type="dxa"/>
                  <w:tcBorders>
                    <w:top w:val="single" w:color="auto" w:sz="4" w:space="0"/>
                    <w:left w:val="nil"/>
                    <w:bottom w:val="single" w:color="auto" w:sz="4" w:space="0"/>
                    <w:right w:val="single" w:color="auto" w:sz="4" w:space="0"/>
                  </w:tcBorders>
                  <w:noWrap w:val="0"/>
                  <w:vAlign w:val="center"/>
                </w:tcPr>
                <w:p w14:paraId="633A3DE3">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本项目不涉及海洋石油勘探，</w:t>
                  </w:r>
                  <w:r>
                    <w:rPr>
                      <w:rFonts w:hint="eastAsia" w:ascii="Times New Roman" w:hAnsi="Times New Roman" w:eastAsia="宋体" w:cs="Times New Roman"/>
                      <w:kern w:val="0"/>
                      <w:szCs w:val="21"/>
                      <w:u w:val="none"/>
                      <w:lang w:eastAsia="zh-CN"/>
                    </w:rPr>
                    <w:t>项目运营过程消耗少量的电能。</w:t>
                  </w:r>
                </w:p>
              </w:tc>
              <w:tc>
                <w:tcPr>
                  <w:tcW w:w="595" w:type="dxa"/>
                  <w:tcBorders>
                    <w:top w:val="single" w:color="auto" w:sz="4" w:space="0"/>
                    <w:left w:val="nil"/>
                    <w:bottom w:val="single" w:color="auto" w:sz="4" w:space="0"/>
                    <w:right w:val="single" w:color="auto" w:sz="4" w:space="0"/>
                  </w:tcBorders>
                  <w:noWrap w:val="0"/>
                  <w:vAlign w:val="center"/>
                </w:tcPr>
                <w:p w14:paraId="3D06B000">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rPr>
                    <w:t>符合</w:t>
                  </w:r>
                </w:p>
              </w:tc>
            </w:tr>
            <w:tr w14:paraId="050F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30A91BF6">
                  <w:pPr>
                    <w:widowControl/>
                    <w:spacing w:line="240" w:lineRule="auto"/>
                    <w:ind w:firstLine="0" w:firstLineChars="0"/>
                    <w:jc w:val="left"/>
                    <w:rPr>
                      <w:rFonts w:ascii="Times New Roman" w:hAnsi="Times New Roman" w:eastAsia="宋体" w:cs="Times New Roman"/>
                      <w:kern w:val="0"/>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76764965">
                  <w:pPr>
                    <w:pStyle w:val="24"/>
                    <w:numPr>
                      <w:ilvl w:val="0"/>
                      <w:numId w:val="6"/>
                    </w:numPr>
                    <w:spacing w:line="240" w:lineRule="auto"/>
                    <w:ind w:left="0" w:leftChars="0" w:firstLine="0" w:firstLineChars="0"/>
                    <w:rPr>
                      <w:rFonts w:hint="default" w:ascii="Times New Roman" w:hAnsi="Times New Roman" w:eastAsia="宋体" w:cs="Times New Roman"/>
                      <w:sz w:val="21"/>
                      <w:szCs w:val="21"/>
                      <w:u w:val="none"/>
                    </w:rPr>
                  </w:pPr>
                  <w:r>
                    <w:rPr>
                      <w:rFonts w:hint="default" w:ascii="Times New Roman" w:hAnsi="Times New Roman" w:cs="Times New Roman"/>
                      <w:sz w:val="21"/>
                      <w:u w:val="none"/>
                      <w:lang w:bidi="ar"/>
                    </w:rPr>
                    <w:t>土地资源：严格执行自治区下达的土地资源利用总量及效率管控指标要求。突出节约集约用海原则，合理控制规模，优化空间布局，提高海域空间资源的整体使用效能。</w:t>
                  </w:r>
                </w:p>
              </w:tc>
              <w:tc>
                <w:tcPr>
                  <w:tcW w:w="1954" w:type="dxa"/>
                  <w:tcBorders>
                    <w:top w:val="single" w:color="auto" w:sz="4" w:space="0"/>
                    <w:left w:val="nil"/>
                    <w:bottom w:val="single" w:color="auto" w:sz="4" w:space="0"/>
                    <w:right w:val="single" w:color="auto" w:sz="4" w:space="0"/>
                  </w:tcBorders>
                  <w:noWrap w:val="0"/>
                  <w:vAlign w:val="center"/>
                </w:tcPr>
                <w:p w14:paraId="2B379CD8">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highlight w:val="none"/>
                      <w:u w:val="none"/>
                    </w:rPr>
                    <w:t>项目</w:t>
                  </w:r>
                  <w:r>
                    <w:rPr>
                      <w:rFonts w:hint="eastAsia" w:ascii="Times New Roman" w:hAnsi="Times New Roman" w:eastAsia="宋体" w:cs="Times New Roman"/>
                      <w:kern w:val="0"/>
                      <w:szCs w:val="21"/>
                      <w:highlight w:val="none"/>
                      <w:u w:val="none"/>
                      <w:lang w:eastAsia="zh-CN"/>
                    </w:rPr>
                    <w:t>位</w:t>
                  </w:r>
                  <w:r>
                    <w:rPr>
                      <w:rFonts w:hint="eastAsia" w:ascii="Times New Roman" w:hAnsi="Times New Roman" w:eastAsia="宋体" w:cs="Times New Roman"/>
                      <w:kern w:val="0"/>
                      <w:szCs w:val="21"/>
                      <w:u w:val="none"/>
                      <w:lang w:eastAsia="zh-CN"/>
                    </w:rPr>
                    <w:t>于</w:t>
                  </w:r>
                  <w:r>
                    <w:rPr>
                      <w:rFonts w:hint="eastAsia" w:ascii="Times New Roman" w:hAnsi="Times New Roman" w:eastAsia="宋体" w:cs="Times New Roman"/>
                      <w:kern w:val="0"/>
                      <w:szCs w:val="21"/>
                      <w:u w:val="none"/>
                      <w:lang w:val="en-US" w:eastAsia="zh-CN"/>
                    </w:rPr>
                    <w:t>石化码头物料仓储区</w:t>
                  </w:r>
                  <w:r>
                    <w:rPr>
                      <w:rFonts w:hint="eastAsia" w:ascii="Times New Roman" w:hAnsi="Times New Roman" w:eastAsia="宋体" w:cs="Times New Roman"/>
                      <w:kern w:val="0"/>
                      <w:sz w:val="21"/>
                      <w:szCs w:val="21"/>
                      <w:u w:val="none"/>
                      <w:lang w:eastAsia="zh-CN"/>
                    </w:rPr>
                    <w:t>，用地为</w:t>
                  </w:r>
                  <w:r>
                    <w:rPr>
                      <w:rFonts w:hint="eastAsia" w:ascii="Times New Roman" w:hAnsi="Times New Roman" w:eastAsia="宋体" w:cs="Times New Roman"/>
                      <w:kern w:val="0"/>
                      <w:sz w:val="21"/>
                      <w:szCs w:val="21"/>
                      <w:u w:val="none"/>
                      <w:lang w:val="en-US" w:eastAsia="zh-CN"/>
                    </w:rPr>
                    <w:t>仓储用地</w:t>
                  </w:r>
                  <w:r>
                    <w:rPr>
                      <w:rFonts w:hint="eastAsia" w:ascii="Times New Roman" w:hAnsi="Times New Roman" w:eastAsia="宋体" w:cs="Times New Roman"/>
                      <w:kern w:val="0"/>
                      <w:sz w:val="21"/>
                      <w:szCs w:val="21"/>
                      <w:u w:val="none"/>
                      <w:lang w:eastAsia="zh-CN"/>
                    </w:rPr>
                    <w:t>，为园区规划用地。</w:t>
                  </w:r>
                </w:p>
              </w:tc>
              <w:tc>
                <w:tcPr>
                  <w:tcW w:w="595" w:type="dxa"/>
                  <w:tcBorders>
                    <w:top w:val="single" w:color="auto" w:sz="4" w:space="0"/>
                    <w:left w:val="nil"/>
                    <w:bottom w:val="single" w:color="auto" w:sz="4" w:space="0"/>
                    <w:right w:val="single" w:color="auto" w:sz="4" w:space="0"/>
                  </w:tcBorders>
                  <w:noWrap w:val="0"/>
                  <w:vAlign w:val="center"/>
                </w:tcPr>
                <w:p w14:paraId="57F22E35">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rPr>
                    <w:t>符合</w:t>
                  </w:r>
                </w:p>
              </w:tc>
            </w:tr>
            <w:tr w14:paraId="5067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1480A9FD">
                  <w:pPr>
                    <w:widowControl/>
                    <w:spacing w:line="240" w:lineRule="auto"/>
                    <w:ind w:firstLine="0" w:firstLineChars="0"/>
                    <w:jc w:val="left"/>
                    <w:rPr>
                      <w:rFonts w:ascii="Times New Roman" w:hAnsi="Times New Roman" w:eastAsia="宋体" w:cs="Times New Roman"/>
                      <w:kern w:val="0"/>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6ECD98C4">
                  <w:pPr>
                    <w:pStyle w:val="24"/>
                    <w:numPr>
                      <w:ilvl w:val="0"/>
                      <w:numId w:val="6"/>
                    </w:numPr>
                    <w:spacing w:line="240" w:lineRule="auto"/>
                    <w:ind w:left="0" w:leftChars="0" w:firstLine="0" w:firstLineChars="0"/>
                    <w:rPr>
                      <w:rFonts w:hint="default" w:ascii="Times New Roman" w:hAnsi="Times New Roman" w:eastAsia="宋体" w:cs="Times New Roman"/>
                      <w:sz w:val="21"/>
                      <w:szCs w:val="21"/>
                      <w:u w:val="none"/>
                    </w:rPr>
                  </w:pPr>
                  <w:r>
                    <w:rPr>
                      <w:rFonts w:hint="default" w:ascii="Times New Roman" w:hAnsi="Times New Roman" w:cs="Times New Roman"/>
                      <w:sz w:val="21"/>
                      <w:u w:val="none"/>
                      <w:lang w:bidi="ar"/>
                    </w:rPr>
                    <w:t>水资源：实行水资源消耗总量和强度“双控”。严格用水总量指标管理，健全市、县区行政区域的用水总量控制指标体系，统筹生活、生产、生态用水，大力推进农业、工业、城镇等领域节水。严格按照地下水开发利用控制目标控制地下水资源开采。</w:t>
                  </w:r>
                </w:p>
              </w:tc>
              <w:tc>
                <w:tcPr>
                  <w:tcW w:w="1954" w:type="dxa"/>
                  <w:tcBorders>
                    <w:top w:val="single" w:color="auto" w:sz="4" w:space="0"/>
                    <w:left w:val="nil"/>
                    <w:bottom w:val="single" w:color="auto" w:sz="4" w:space="0"/>
                    <w:right w:val="single" w:color="auto" w:sz="4" w:space="0"/>
                  </w:tcBorders>
                  <w:noWrap w:val="0"/>
                  <w:vAlign w:val="center"/>
                </w:tcPr>
                <w:p w14:paraId="3C2C582B">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项目</w:t>
                  </w:r>
                  <w:r>
                    <w:rPr>
                      <w:rFonts w:hint="eastAsia" w:ascii="Times New Roman" w:hAnsi="Times New Roman" w:eastAsia="宋体" w:cs="Times New Roman"/>
                      <w:kern w:val="0"/>
                      <w:szCs w:val="21"/>
                      <w:u w:val="none"/>
                      <w:lang w:eastAsia="zh-CN"/>
                    </w:rPr>
                    <w:t>运行过程主要消耗少量电能。</w:t>
                  </w:r>
                </w:p>
              </w:tc>
              <w:tc>
                <w:tcPr>
                  <w:tcW w:w="595" w:type="dxa"/>
                  <w:tcBorders>
                    <w:top w:val="single" w:color="auto" w:sz="4" w:space="0"/>
                    <w:left w:val="nil"/>
                    <w:bottom w:val="single" w:color="auto" w:sz="4" w:space="0"/>
                    <w:right w:val="single" w:color="auto" w:sz="4" w:space="0"/>
                  </w:tcBorders>
                  <w:noWrap w:val="0"/>
                  <w:vAlign w:val="center"/>
                </w:tcPr>
                <w:p w14:paraId="5797C3AB">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rPr>
                    <w:t>符合</w:t>
                  </w:r>
                </w:p>
              </w:tc>
            </w:tr>
            <w:tr w14:paraId="46BC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34F464F9">
                  <w:pPr>
                    <w:widowControl/>
                    <w:spacing w:line="240" w:lineRule="auto"/>
                    <w:ind w:firstLine="0" w:firstLineChars="0"/>
                    <w:jc w:val="left"/>
                    <w:rPr>
                      <w:rFonts w:ascii="Times New Roman" w:hAnsi="Times New Roman" w:eastAsia="宋体" w:cs="Times New Roman"/>
                      <w:kern w:val="0"/>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70A5599C">
                  <w:pPr>
                    <w:pStyle w:val="24"/>
                    <w:numPr>
                      <w:ilvl w:val="0"/>
                      <w:numId w:val="6"/>
                    </w:numPr>
                    <w:spacing w:line="240" w:lineRule="auto"/>
                    <w:ind w:left="0" w:leftChars="0" w:firstLine="0" w:firstLineChars="0"/>
                    <w:rPr>
                      <w:rFonts w:hint="default" w:ascii="Times New Roman" w:hAnsi="Times New Roman" w:eastAsia="宋体" w:cs="Times New Roman"/>
                      <w:sz w:val="21"/>
                      <w:szCs w:val="21"/>
                      <w:u w:val="none"/>
                    </w:rPr>
                  </w:pPr>
                  <w:r>
                    <w:rPr>
                      <w:rFonts w:hint="default" w:ascii="Times New Roman" w:hAnsi="Times New Roman" w:cs="Times New Roman"/>
                      <w:sz w:val="21"/>
                      <w:u w:val="none"/>
                      <w:lang w:bidi="ar"/>
                    </w:rPr>
                    <w:t>矿产资源：严格执行市、县区矿产资源开发利用规划中关于矿产资源开发总量和效率的目标要求。着力提高资源开发利用效率和水平，加快发展绿色矿业；严格控制海岸线的开发建设、海砂开采活动，规范海砂资源开发秩序，加强海岸沙滩保护和矿产开发监管。</w:t>
                  </w:r>
                </w:p>
              </w:tc>
              <w:tc>
                <w:tcPr>
                  <w:tcW w:w="1954" w:type="dxa"/>
                  <w:tcBorders>
                    <w:top w:val="single" w:color="auto" w:sz="4" w:space="0"/>
                    <w:left w:val="nil"/>
                    <w:bottom w:val="single" w:color="auto" w:sz="4" w:space="0"/>
                    <w:right w:val="single" w:color="auto" w:sz="4" w:space="0"/>
                  </w:tcBorders>
                  <w:noWrap w:val="0"/>
                  <w:vAlign w:val="center"/>
                </w:tcPr>
                <w:p w14:paraId="61C5008F">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项目不涉及矿产资源</w:t>
                  </w:r>
                  <w:r>
                    <w:rPr>
                      <w:rFonts w:hint="eastAsia" w:ascii="Times New Roman" w:hAnsi="Times New Roman" w:eastAsia="宋体" w:cs="Times New Roman"/>
                      <w:kern w:val="0"/>
                      <w:szCs w:val="21"/>
                      <w:u w:val="none"/>
                      <w:lang w:eastAsia="zh-CN"/>
                    </w:rPr>
                    <w:t>、</w:t>
                  </w:r>
                  <w:r>
                    <w:rPr>
                      <w:rFonts w:hint="eastAsia"/>
                      <w:sz w:val="21"/>
                      <w:u w:val="none"/>
                      <w:lang w:bidi="ar"/>
                    </w:rPr>
                    <w:t>海岸线</w:t>
                  </w:r>
                  <w:r>
                    <w:rPr>
                      <w:rFonts w:hint="eastAsia" w:ascii="Times New Roman" w:hAnsi="Times New Roman" w:eastAsia="宋体" w:cs="Times New Roman"/>
                      <w:kern w:val="0"/>
                      <w:szCs w:val="21"/>
                      <w:u w:val="none"/>
                    </w:rPr>
                    <w:t>开发利用</w:t>
                  </w:r>
                  <w:r>
                    <w:rPr>
                      <w:rFonts w:hint="eastAsia" w:ascii="Times New Roman" w:hAnsi="Times New Roman" w:eastAsia="宋体" w:cs="Times New Roman"/>
                      <w:kern w:val="0"/>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3D2119EA">
                  <w:pPr>
                    <w:widowControl/>
                    <w:adjustRightInd w:val="0"/>
                    <w:snapToGrid w:val="0"/>
                    <w:spacing w:line="240" w:lineRule="auto"/>
                    <w:ind w:firstLine="0" w:firstLineChars="0"/>
                    <w:jc w:val="center"/>
                    <w:textAlignment w:val="center"/>
                    <w:rPr>
                      <w:rFonts w:ascii="Times New Roman" w:hAnsi="Times New Roman" w:eastAsia="宋体" w:cs="Times New Roman"/>
                      <w:kern w:val="0"/>
                      <w:szCs w:val="21"/>
                      <w:u w:val="none"/>
                    </w:rPr>
                  </w:pPr>
                  <w:r>
                    <w:rPr>
                      <w:rFonts w:hint="eastAsia" w:ascii="Times New Roman" w:hAnsi="Times New Roman" w:eastAsia="宋体" w:cs="Times New Roman"/>
                      <w:kern w:val="0"/>
                      <w:szCs w:val="21"/>
                      <w:u w:val="none"/>
                      <w:lang w:eastAsia="zh-CN"/>
                    </w:rPr>
                    <w:t>—</w:t>
                  </w:r>
                </w:p>
              </w:tc>
            </w:tr>
            <w:tr w14:paraId="7270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0DEFDB48">
                  <w:pPr>
                    <w:widowControl/>
                    <w:spacing w:line="240" w:lineRule="auto"/>
                    <w:ind w:firstLine="0" w:firstLineChars="0"/>
                    <w:jc w:val="left"/>
                    <w:rPr>
                      <w:rFonts w:ascii="Times New Roman" w:hAnsi="Times New Roman" w:eastAsia="宋体" w:cs="Times New Roman"/>
                      <w:kern w:val="0"/>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7A4AC576">
                  <w:pPr>
                    <w:pStyle w:val="24"/>
                    <w:numPr>
                      <w:ilvl w:val="0"/>
                      <w:numId w:val="6"/>
                    </w:numPr>
                    <w:spacing w:line="240" w:lineRule="auto"/>
                    <w:ind w:left="0" w:leftChars="0" w:firstLine="0" w:firstLineChars="0"/>
                    <w:rPr>
                      <w:rFonts w:hint="default" w:ascii="Times New Roman" w:hAnsi="Times New Roman" w:eastAsia="宋体" w:cs="Times New Roman"/>
                      <w:sz w:val="21"/>
                      <w:szCs w:val="21"/>
                      <w:u w:val="none"/>
                    </w:rPr>
                  </w:pPr>
                  <w:r>
                    <w:rPr>
                      <w:rFonts w:hint="default" w:ascii="Times New Roman" w:hAnsi="Times New Roman" w:cs="Times New Roman"/>
                      <w:sz w:val="21"/>
                      <w:u w:val="none"/>
                      <w:lang w:bidi="ar"/>
                    </w:rPr>
                    <w:t>岸线资源：涉及岸线开发的工业区和钦州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1954" w:type="dxa"/>
                  <w:tcBorders>
                    <w:top w:val="single" w:color="auto" w:sz="4" w:space="0"/>
                    <w:left w:val="nil"/>
                    <w:bottom w:val="single" w:color="auto" w:sz="4" w:space="0"/>
                    <w:right w:val="single" w:color="auto" w:sz="4" w:space="0"/>
                  </w:tcBorders>
                  <w:noWrap w:val="0"/>
                  <w:vAlign w:val="center"/>
                </w:tcPr>
                <w:p w14:paraId="410415B6">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rPr>
                    <w:t>本项目不涉及占用岸线和生态保护红线</w:t>
                  </w:r>
                  <w:r>
                    <w:rPr>
                      <w:rFonts w:hint="eastAsia" w:ascii="Times New Roman" w:hAnsi="Times New Roman" w:eastAsia="宋体" w:cs="Times New Roman"/>
                      <w:kern w:val="0"/>
                      <w:szCs w:val="21"/>
                      <w:u w:val="none"/>
                      <w:lang w:eastAsia="zh-CN"/>
                    </w:rPr>
                    <w:t>。</w:t>
                  </w:r>
                </w:p>
              </w:tc>
              <w:tc>
                <w:tcPr>
                  <w:tcW w:w="595" w:type="dxa"/>
                  <w:tcBorders>
                    <w:top w:val="single" w:color="auto" w:sz="4" w:space="0"/>
                    <w:left w:val="nil"/>
                    <w:bottom w:val="single" w:color="auto" w:sz="4" w:space="0"/>
                    <w:right w:val="single" w:color="auto" w:sz="4" w:space="0"/>
                  </w:tcBorders>
                  <w:noWrap w:val="0"/>
                  <w:vAlign w:val="center"/>
                </w:tcPr>
                <w:p w14:paraId="2B83B05B">
                  <w:pPr>
                    <w:widowControl/>
                    <w:adjustRightInd w:val="0"/>
                    <w:snapToGrid w:val="0"/>
                    <w:spacing w:line="240" w:lineRule="auto"/>
                    <w:ind w:firstLine="0" w:firstLineChars="0"/>
                    <w:jc w:val="center"/>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lang w:eastAsia="zh-CN"/>
                    </w:rPr>
                    <w:t>—</w:t>
                  </w:r>
                </w:p>
              </w:tc>
            </w:tr>
            <w:tr w14:paraId="7BDF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vMerge w:val="continue"/>
                  <w:tcBorders>
                    <w:left w:val="single" w:color="auto" w:sz="4" w:space="0"/>
                    <w:right w:val="single" w:color="auto" w:sz="4" w:space="0"/>
                  </w:tcBorders>
                  <w:noWrap w:val="0"/>
                  <w:vAlign w:val="center"/>
                </w:tcPr>
                <w:p w14:paraId="35BD06CD">
                  <w:pPr>
                    <w:widowControl/>
                    <w:spacing w:line="240" w:lineRule="auto"/>
                    <w:ind w:firstLine="0" w:firstLineChars="0"/>
                    <w:jc w:val="left"/>
                    <w:rPr>
                      <w:rFonts w:ascii="Times New Roman" w:hAnsi="Times New Roman" w:eastAsia="宋体" w:cs="Times New Roman"/>
                      <w:kern w:val="0"/>
                      <w:szCs w:val="21"/>
                      <w:u w:val="none"/>
                    </w:rPr>
                  </w:pPr>
                </w:p>
              </w:tc>
              <w:tc>
                <w:tcPr>
                  <w:tcW w:w="3745" w:type="dxa"/>
                  <w:tcBorders>
                    <w:top w:val="single" w:color="auto" w:sz="4" w:space="0"/>
                    <w:left w:val="nil"/>
                    <w:bottom w:val="single" w:color="auto" w:sz="4" w:space="0"/>
                    <w:right w:val="single" w:color="auto" w:sz="4" w:space="0"/>
                  </w:tcBorders>
                  <w:noWrap w:val="0"/>
                  <w:vAlign w:val="center"/>
                </w:tcPr>
                <w:p w14:paraId="37CEA21A">
                  <w:pPr>
                    <w:pStyle w:val="24"/>
                    <w:numPr>
                      <w:ilvl w:val="0"/>
                      <w:numId w:val="6"/>
                    </w:numPr>
                    <w:spacing w:line="240" w:lineRule="auto"/>
                    <w:ind w:left="0" w:leftChars="0" w:firstLine="0" w:firstLineChars="0"/>
                    <w:rPr>
                      <w:rFonts w:hint="default" w:ascii="Times New Roman" w:hAnsi="Times New Roman" w:eastAsia="宋体" w:cs="Times New Roman"/>
                      <w:sz w:val="21"/>
                      <w:u w:val="none"/>
                      <w:lang w:val="en-US" w:eastAsia="zh-CN" w:bidi="ar"/>
                    </w:rPr>
                  </w:pPr>
                  <w:r>
                    <w:rPr>
                      <w:rFonts w:hint="default" w:ascii="Times New Roman" w:hAnsi="Times New Roman" w:cs="Times New Roman"/>
                      <w:sz w:val="21"/>
                      <w:u w:val="none"/>
                      <w:lang w:val="en-US" w:eastAsia="zh-CN" w:bidi="ar"/>
                    </w:rPr>
                    <w:t>高污染燃料禁燃区：禁止新建、扩建燃用高污染燃料的项目和设施，已经建成的应逐步或依法限期改用天然气、</w:t>
                  </w:r>
                  <w:r>
                    <w:rPr>
                      <w:rFonts w:hint="default" w:ascii="Times New Roman" w:hAnsi="Times New Roman" w:cs="Times New Roman"/>
                      <w:sz w:val="21"/>
                      <w:highlight w:val="none"/>
                      <w:u w:val="none"/>
                      <w:lang w:val="en-US" w:eastAsia="zh-CN" w:bidi="ar"/>
                    </w:rPr>
                    <w:t>电</w:t>
                  </w:r>
                  <w:r>
                    <w:rPr>
                      <w:rFonts w:hint="default" w:ascii="Times New Roman" w:hAnsi="Times New Roman" w:cs="Times New Roman"/>
                      <w:sz w:val="21"/>
                      <w:u w:val="none"/>
                      <w:lang w:val="en-US" w:eastAsia="zh-CN" w:bidi="ar"/>
                    </w:rPr>
                    <w:t>或其他清洁能源。</w:t>
                  </w:r>
                </w:p>
              </w:tc>
              <w:tc>
                <w:tcPr>
                  <w:tcW w:w="1954" w:type="dxa"/>
                  <w:tcBorders>
                    <w:top w:val="single" w:color="auto" w:sz="4" w:space="0"/>
                    <w:left w:val="nil"/>
                    <w:bottom w:val="single" w:color="auto" w:sz="4" w:space="0"/>
                    <w:right w:val="single" w:color="auto" w:sz="4" w:space="0"/>
                  </w:tcBorders>
                  <w:noWrap w:val="0"/>
                  <w:vAlign w:val="center"/>
                </w:tcPr>
                <w:p w14:paraId="22FD519C">
                  <w:pPr>
                    <w:widowControl/>
                    <w:adjustRightInd w:val="0"/>
                    <w:snapToGrid w:val="0"/>
                    <w:spacing w:line="240" w:lineRule="auto"/>
                    <w:ind w:firstLine="0" w:firstLineChars="0"/>
                    <w:jc w:val="both"/>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lang w:eastAsia="zh-CN"/>
                    </w:rPr>
                    <w:t>本项目不属于</w:t>
                  </w:r>
                  <w:r>
                    <w:rPr>
                      <w:rFonts w:hint="eastAsia"/>
                      <w:sz w:val="21"/>
                      <w:u w:val="none"/>
                      <w:lang w:val="en-US" w:eastAsia="zh-CN" w:bidi="ar"/>
                    </w:rPr>
                    <w:t>燃用高污染燃料的项目。</w:t>
                  </w:r>
                </w:p>
              </w:tc>
              <w:tc>
                <w:tcPr>
                  <w:tcW w:w="595" w:type="dxa"/>
                  <w:tcBorders>
                    <w:top w:val="single" w:color="auto" w:sz="4" w:space="0"/>
                    <w:left w:val="nil"/>
                    <w:bottom w:val="single" w:color="auto" w:sz="4" w:space="0"/>
                    <w:right w:val="single" w:color="auto" w:sz="4" w:space="0"/>
                  </w:tcBorders>
                  <w:noWrap w:val="0"/>
                  <w:vAlign w:val="center"/>
                </w:tcPr>
                <w:p w14:paraId="151555F9">
                  <w:pPr>
                    <w:widowControl/>
                    <w:adjustRightInd w:val="0"/>
                    <w:snapToGrid w:val="0"/>
                    <w:spacing w:line="240" w:lineRule="auto"/>
                    <w:ind w:firstLine="0" w:firstLineChars="0"/>
                    <w:jc w:val="center"/>
                    <w:textAlignment w:val="center"/>
                    <w:rPr>
                      <w:rFonts w:hint="eastAsia" w:ascii="Times New Roman" w:hAnsi="Times New Roman" w:eastAsia="宋体" w:cs="Times New Roman"/>
                      <w:kern w:val="0"/>
                      <w:szCs w:val="21"/>
                      <w:u w:val="none"/>
                      <w:lang w:eastAsia="zh-CN"/>
                    </w:rPr>
                  </w:pPr>
                  <w:r>
                    <w:rPr>
                      <w:rFonts w:hint="eastAsia" w:ascii="Times New Roman" w:hAnsi="Times New Roman" w:eastAsia="宋体" w:cs="Times New Roman"/>
                      <w:kern w:val="0"/>
                      <w:szCs w:val="21"/>
                      <w:u w:val="none"/>
                      <w:lang w:eastAsia="zh-CN"/>
                    </w:rPr>
                    <w:t>符合</w:t>
                  </w:r>
                </w:p>
              </w:tc>
            </w:tr>
          </w:tbl>
          <w:p w14:paraId="3F95F188">
            <w:pPr>
              <w:spacing w:line="500" w:lineRule="exact"/>
              <w:jc w:val="center"/>
              <w:rPr>
                <w:rFonts w:hint="eastAsia" w:ascii="Times New Roman" w:hAnsi="Times New Roman" w:eastAsia="宋体" w:cs="Times New Roman"/>
                <w:b/>
                <w:bCs/>
                <w:color w:val="auto"/>
                <w:kern w:val="0"/>
                <w:sz w:val="24"/>
                <w:u w:val="none"/>
              </w:rPr>
            </w:pPr>
            <w:r>
              <w:rPr>
                <w:rFonts w:hint="eastAsia" w:ascii="Times New Roman" w:hAnsi="Times New Roman" w:eastAsia="宋体" w:cs="Times New Roman"/>
                <w:b/>
                <w:bCs/>
                <w:color w:val="auto"/>
                <w:kern w:val="0"/>
                <w:sz w:val="24"/>
                <w:u w:val="none"/>
              </w:rPr>
              <w:t>表1-</w:t>
            </w:r>
            <w:r>
              <w:rPr>
                <w:rFonts w:hint="eastAsia" w:cs="Times New Roman"/>
                <w:b/>
                <w:bCs/>
                <w:color w:val="auto"/>
                <w:kern w:val="0"/>
                <w:sz w:val="24"/>
                <w:u w:val="none"/>
                <w:lang w:val="en-US" w:eastAsia="zh-CN"/>
              </w:rPr>
              <w:t>3</w:t>
            </w:r>
            <w:r>
              <w:rPr>
                <w:rFonts w:hint="eastAsia" w:ascii="Times New Roman" w:hAnsi="Times New Roman" w:eastAsia="宋体" w:cs="Times New Roman"/>
                <w:b/>
                <w:bCs/>
                <w:color w:val="auto"/>
                <w:kern w:val="0"/>
                <w:sz w:val="24"/>
                <w:u w:val="none"/>
              </w:rPr>
              <w:t xml:space="preserve">  </w:t>
            </w:r>
            <w:r>
              <w:rPr>
                <w:rFonts w:hint="eastAsia" w:ascii="Times New Roman" w:hAnsi="Times New Roman" w:eastAsia="宋体"/>
                <w:b/>
                <w:bCs/>
                <w:iCs w:val="0"/>
                <w:color w:val="auto"/>
                <w:kern w:val="0"/>
                <w:sz w:val="24"/>
                <w:szCs w:val="24"/>
                <w:u w:val="none"/>
                <w:lang w:val="en-US" w:eastAsia="zh-CN"/>
              </w:rPr>
              <w:t>国家级、自治区级市辖区工业园区环境管控单元生态环境准入及管控要求清单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4065"/>
              <w:gridCol w:w="1764"/>
              <w:gridCol w:w="465"/>
            </w:tblGrid>
            <w:tr w14:paraId="4EF4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37E73A58">
                  <w:pPr>
                    <w:adjustRightInd w:val="0"/>
                    <w:snapToGrid w:val="0"/>
                    <w:spacing w:line="240" w:lineRule="auto"/>
                    <w:ind w:firstLine="0" w:firstLineChars="0"/>
                    <w:jc w:val="center"/>
                    <w:rPr>
                      <w:rFonts w:ascii="Times New Roman" w:hAnsi="Times New Roman" w:eastAsia="宋体" w:cs="Times New Roman"/>
                      <w:b w:val="0"/>
                      <w:bCs w:val="0"/>
                      <w:color w:val="auto"/>
                      <w:szCs w:val="21"/>
                      <w:u w:val="none"/>
                    </w:rPr>
                  </w:pPr>
                  <w:r>
                    <w:rPr>
                      <w:rFonts w:ascii="Times New Roman" w:hAnsi="Times New Roman" w:eastAsia="宋体" w:cs="Times New Roman"/>
                      <w:b w:val="0"/>
                      <w:bCs w:val="0"/>
                      <w:color w:val="auto"/>
                      <w:szCs w:val="21"/>
                      <w:u w:val="none"/>
                    </w:rPr>
                    <w:t>管控类别</w:t>
                  </w:r>
                </w:p>
              </w:tc>
              <w:tc>
                <w:tcPr>
                  <w:tcW w:w="4065" w:type="dxa"/>
                  <w:tcBorders>
                    <w:top w:val="single" w:color="auto" w:sz="4" w:space="0"/>
                    <w:left w:val="nil"/>
                    <w:bottom w:val="single" w:color="auto" w:sz="4" w:space="0"/>
                    <w:right w:val="single" w:color="auto" w:sz="4" w:space="0"/>
                  </w:tcBorders>
                  <w:noWrap w:val="0"/>
                  <w:vAlign w:val="center"/>
                </w:tcPr>
                <w:p w14:paraId="363BD55D">
                  <w:pPr>
                    <w:adjustRightInd w:val="0"/>
                    <w:snapToGrid w:val="0"/>
                    <w:spacing w:line="240" w:lineRule="auto"/>
                    <w:ind w:firstLine="0" w:firstLineChars="0"/>
                    <w:jc w:val="center"/>
                    <w:rPr>
                      <w:rFonts w:hint="default" w:ascii="Times New Roman" w:hAnsi="Times New Roman" w:eastAsia="宋体" w:cs="Times New Roman"/>
                      <w:b w:val="0"/>
                      <w:bCs w:val="0"/>
                      <w:color w:val="auto"/>
                      <w:szCs w:val="21"/>
                      <w:u w:val="none"/>
                      <w:lang w:val="en-US" w:eastAsia="zh-CN"/>
                    </w:rPr>
                  </w:pPr>
                  <w:r>
                    <w:rPr>
                      <w:rFonts w:hint="eastAsia" w:ascii="Times New Roman" w:hAnsi="Times New Roman" w:eastAsia="宋体" w:cs="Times New Roman"/>
                      <w:b w:val="0"/>
                      <w:bCs w:val="0"/>
                      <w:color w:val="auto"/>
                      <w:szCs w:val="21"/>
                      <w:u w:val="none"/>
                    </w:rPr>
                    <w:t>钦州港经济技术开发区重点管控单元</w:t>
                  </w:r>
                  <w:r>
                    <w:rPr>
                      <w:rFonts w:hint="eastAsia" w:ascii="Times New Roman" w:hAnsi="Times New Roman" w:eastAsia="宋体" w:cs="Times New Roman"/>
                      <w:b w:val="0"/>
                      <w:bCs w:val="0"/>
                      <w:color w:val="auto"/>
                      <w:szCs w:val="21"/>
                      <w:u w:val="none"/>
                      <w:lang w:val="en-US" w:eastAsia="zh-CN"/>
                    </w:rPr>
                    <w:t>管控要求</w:t>
                  </w:r>
                </w:p>
              </w:tc>
              <w:tc>
                <w:tcPr>
                  <w:tcW w:w="1764" w:type="dxa"/>
                  <w:tcBorders>
                    <w:top w:val="single" w:color="auto" w:sz="4" w:space="0"/>
                    <w:left w:val="nil"/>
                    <w:bottom w:val="single" w:color="auto" w:sz="4" w:space="0"/>
                    <w:right w:val="single" w:color="auto" w:sz="4" w:space="0"/>
                  </w:tcBorders>
                  <w:noWrap w:val="0"/>
                  <w:vAlign w:val="center"/>
                </w:tcPr>
                <w:p w14:paraId="4EF73F2C">
                  <w:pPr>
                    <w:adjustRightInd w:val="0"/>
                    <w:snapToGrid w:val="0"/>
                    <w:spacing w:line="240" w:lineRule="auto"/>
                    <w:ind w:firstLine="0" w:firstLineChars="0"/>
                    <w:jc w:val="center"/>
                    <w:rPr>
                      <w:rFonts w:ascii="Times New Roman" w:hAnsi="Times New Roman" w:eastAsia="宋体" w:cs="Times New Roman"/>
                      <w:b w:val="0"/>
                      <w:bCs w:val="0"/>
                      <w:color w:val="auto"/>
                      <w:szCs w:val="21"/>
                      <w:u w:val="none"/>
                    </w:rPr>
                  </w:pPr>
                  <w:r>
                    <w:rPr>
                      <w:rFonts w:ascii="Times New Roman" w:hAnsi="Times New Roman" w:eastAsia="宋体" w:cs="Times New Roman"/>
                      <w:b w:val="0"/>
                      <w:bCs w:val="0"/>
                      <w:color w:val="auto"/>
                      <w:szCs w:val="21"/>
                      <w:u w:val="none"/>
                    </w:rPr>
                    <w:t>本项目</w:t>
                  </w:r>
                </w:p>
              </w:tc>
              <w:tc>
                <w:tcPr>
                  <w:tcW w:w="465" w:type="dxa"/>
                  <w:tcBorders>
                    <w:top w:val="single" w:color="auto" w:sz="4" w:space="0"/>
                    <w:left w:val="nil"/>
                    <w:bottom w:val="single" w:color="auto" w:sz="4" w:space="0"/>
                    <w:right w:val="single" w:color="auto" w:sz="4" w:space="0"/>
                  </w:tcBorders>
                  <w:noWrap w:val="0"/>
                  <w:vAlign w:val="center"/>
                </w:tcPr>
                <w:p w14:paraId="10233A78">
                  <w:pPr>
                    <w:adjustRightInd w:val="0"/>
                    <w:snapToGrid w:val="0"/>
                    <w:spacing w:line="240" w:lineRule="auto"/>
                    <w:ind w:firstLine="0" w:firstLineChars="0"/>
                    <w:jc w:val="center"/>
                    <w:rPr>
                      <w:rFonts w:ascii="Times New Roman" w:hAnsi="Times New Roman" w:eastAsia="宋体" w:cs="Times New Roman"/>
                      <w:b w:val="0"/>
                      <w:bCs w:val="0"/>
                      <w:color w:val="auto"/>
                      <w:szCs w:val="21"/>
                      <w:u w:val="none"/>
                    </w:rPr>
                  </w:pPr>
                  <w:r>
                    <w:rPr>
                      <w:rFonts w:ascii="Times New Roman" w:hAnsi="Times New Roman" w:eastAsia="宋体" w:cs="Times New Roman"/>
                      <w:b w:val="0"/>
                      <w:bCs w:val="0"/>
                      <w:color w:val="auto"/>
                      <w:szCs w:val="21"/>
                      <w:u w:val="none"/>
                    </w:rPr>
                    <w:t>相符性</w:t>
                  </w:r>
                </w:p>
              </w:tc>
            </w:tr>
            <w:tr w14:paraId="0951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nil"/>
                    <w:left w:val="single" w:color="auto" w:sz="4" w:space="0"/>
                    <w:bottom w:val="single" w:color="auto" w:sz="4" w:space="0"/>
                    <w:right w:val="single" w:color="auto" w:sz="4" w:space="0"/>
                  </w:tcBorders>
                  <w:noWrap w:val="0"/>
                  <w:vAlign w:val="center"/>
                </w:tcPr>
                <w:p w14:paraId="5BA60823">
                  <w:pPr>
                    <w:adjustRightInd w:val="0"/>
                    <w:snapToGrid w:val="0"/>
                    <w:spacing w:line="240" w:lineRule="auto"/>
                    <w:ind w:firstLine="0" w:firstLineChars="0"/>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bCs/>
                      <w:color w:val="auto"/>
                      <w:szCs w:val="21"/>
                      <w:u w:val="none"/>
                      <w:lang w:val="en-US" w:eastAsia="zh-CN"/>
                    </w:rPr>
                    <w:t>空间布局约束</w:t>
                  </w:r>
                </w:p>
              </w:tc>
              <w:tc>
                <w:tcPr>
                  <w:tcW w:w="4065" w:type="dxa"/>
                  <w:tcBorders>
                    <w:top w:val="single" w:color="auto" w:sz="4" w:space="0"/>
                    <w:left w:val="nil"/>
                    <w:bottom w:val="single" w:color="auto" w:sz="4" w:space="0"/>
                    <w:right w:val="single" w:color="auto" w:sz="4" w:space="0"/>
                  </w:tcBorders>
                  <w:noWrap w:val="0"/>
                  <w:vAlign w:val="center"/>
                </w:tcPr>
                <w:p w14:paraId="02C92120">
                  <w:pPr>
                    <w:widowControl/>
                    <w:adjustRightInd w:val="0"/>
                    <w:snapToGrid w:val="0"/>
                    <w:spacing w:line="240" w:lineRule="auto"/>
                    <w:ind w:firstLine="0" w:firstLineChars="0"/>
                    <w:textAlignment w:val="center"/>
                    <w:rPr>
                      <w:rFonts w:hint="eastAsia"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1、引进项目清洁生产水平须达到国内同行业先进水平。不得引进与园区产业定位不符的产业。</w:t>
                  </w:r>
                </w:p>
                <w:p w14:paraId="45760352">
                  <w:pPr>
                    <w:widowControl/>
                    <w:adjustRightInd w:val="0"/>
                    <w:snapToGrid w:val="0"/>
                    <w:spacing w:line="240" w:lineRule="auto"/>
                    <w:ind w:firstLine="0" w:firstLineChars="0"/>
                    <w:textAlignment w:val="center"/>
                    <w:rPr>
                      <w:rFonts w:hint="eastAsia"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2、居住用地周边严控布局潜在污染扰民和环境风险突出的建设项目。</w:t>
                  </w:r>
                </w:p>
                <w:p w14:paraId="42AABB7C">
                  <w:pPr>
                    <w:widowControl/>
                    <w:adjustRightInd w:val="0"/>
                    <w:snapToGrid w:val="0"/>
                    <w:spacing w:line="240" w:lineRule="auto"/>
                    <w:ind w:firstLine="0" w:firstLineChars="0"/>
                    <w:textAlignment w:val="center"/>
                    <w:rPr>
                      <w:rFonts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3、园区产业准入执行《广西壮族自治区人民政府办公厅关于印发北钦防一体化产业协同发展限制布局清单（工业类2021年版）的通知》（桂政办函〔2021〕4号）要求，限制新建水泥制造、建筑陶瓷制品制造、制革及毛皮加工等工业项目。</w:t>
                  </w:r>
                </w:p>
              </w:tc>
              <w:tc>
                <w:tcPr>
                  <w:tcW w:w="1764" w:type="dxa"/>
                  <w:tcBorders>
                    <w:top w:val="single" w:color="auto" w:sz="4" w:space="0"/>
                    <w:left w:val="nil"/>
                    <w:bottom w:val="single" w:color="auto" w:sz="4" w:space="0"/>
                    <w:right w:val="single" w:color="auto" w:sz="4" w:space="0"/>
                  </w:tcBorders>
                  <w:noWrap w:val="0"/>
                  <w:vAlign w:val="center"/>
                </w:tcPr>
                <w:p w14:paraId="74959FD6">
                  <w:pPr>
                    <w:widowControl/>
                    <w:adjustRightInd w:val="0"/>
                    <w:snapToGrid w:val="0"/>
                    <w:spacing w:line="240" w:lineRule="auto"/>
                    <w:ind w:firstLine="0" w:firstLineChars="0"/>
                    <w:jc w:val="both"/>
                    <w:textAlignment w:val="center"/>
                    <w:rPr>
                      <w:rFonts w:hint="default" w:ascii="Times New Roman" w:hAnsi="Times New Roman" w:eastAsia="宋体" w:cs="Times New Roman"/>
                      <w:color w:val="auto"/>
                      <w:kern w:val="0"/>
                      <w:szCs w:val="21"/>
                      <w:u w:val="none"/>
                      <w:lang w:val="en-US" w:eastAsia="zh-CN"/>
                    </w:rPr>
                  </w:pPr>
                  <w:r>
                    <w:rPr>
                      <w:rFonts w:hint="eastAsia" w:ascii="Times New Roman" w:hAnsi="Times New Roman" w:eastAsia="宋体" w:cs="Times New Roman"/>
                      <w:color w:val="auto"/>
                      <w:kern w:val="0"/>
                      <w:szCs w:val="21"/>
                      <w:u w:val="none"/>
                      <w:lang w:val="en-US" w:eastAsia="zh-CN"/>
                    </w:rPr>
                    <w:t>项目属于危险化学品仓储项目，位于石化码头物料仓储区，符合园区产业定位；项目不属于污染扰民项目和环境风险突出的项目；项目不属于</w:t>
                  </w:r>
                  <w:r>
                    <w:rPr>
                      <w:rFonts w:hint="eastAsia" w:ascii="Times New Roman" w:hAnsi="Times New Roman" w:eastAsia="宋体" w:cs="Times New Roman"/>
                      <w:color w:val="auto"/>
                      <w:kern w:val="0"/>
                      <w:szCs w:val="21"/>
                      <w:u w:val="none"/>
                    </w:rPr>
                    <w:t>桂政办函〔2021〕4号</w:t>
                  </w:r>
                  <w:r>
                    <w:rPr>
                      <w:rFonts w:hint="eastAsia" w:ascii="Times New Roman" w:hAnsi="Times New Roman" w:eastAsia="宋体" w:cs="Times New Roman"/>
                      <w:color w:val="auto"/>
                      <w:kern w:val="0"/>
                      <w:szCs w:val="21"/>
                      <w:u w:val="none"/>
                      <w:lang w:val="en-US" w:eastAsia="zh-CN"/>
                    </w:rPr>
                    <w:t>中限制、禁止类项目。</w:t>
                  </w:r>
                </w:p>
              </w:tc>
              <w:tc>
                <w:tcPr>
                  <w:tcW w:w="465" w:type="dxa"/>
                  <w:tcBorders>
                    <w:top w:val="single" w:color="auto" w:sz="4" w:space="0"/>
                    <w:left w:val="nil"/>
                    <w:bottom w:val="single" w:color="auto" w:sz="4" w:space="0"/>
                    <w:right w:val="single" w:color="auto" w:sz="4" w:space="0"/>
                  </w:tcBorders>
                  <w:noWrap w:val="0"/>
                  <w:vAlign w:val="center"/>
                </w:tcPr>
                <w:p w14:paraId="744F17F0">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符合</w:t>
                  </w:r>
                </w:p>
              </w:tc>
            </w:tr>
            <w:tr w14:paraId="27FA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261D4B98">
                  <w:pPr>
                    <w:adjustRightInd w:val="0"/>
                    <w:snapToGrid w:val="0"/>
                    <w:spacing w:line="240" w:lineRule="auto"/>
                    <w:ind w:firstLine="0" w:firstLineChars="0"/>
                    <w:jc w:val="center"/>
                    <w:rPr>
                      <w:rFonts w:hint="eastAsia" w:ascii="Times New Roman" w:hAnsi="Times New Roman" w:eastAsia="宋体" w:cs="Times New Roman"/>
                      <w:bCs/>
                      <w:color w:val="auto"/>
                      <w:szCs w:val="21"/>
                      <w:u w:val="none"/>
                      <w:lang w:val="en-US" w:eastAsia="zh-CN"/>
                    </w:rPr>
                  </w:pPr>
                  <w:r>
                    <w:rPr>
                      <w:rFonts w:hint="eastAsia" w:ascii="Times New Roman" w:hAnsi="Times New Roman" w:eastAsia="宋体" w:cs="Times New Roman"/>
                      <w:bCs/>
                      <w:color w:val="auto"/>
                      <w:szCs w:val="21"/>
                      <w:u w:val="none"/>
                      <w:lang w:val="en-US" w:eastAsia="zh-CN"/>
                    </w:rPr>
                    <w:t>污染物排放管控</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4A61C9B7">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1、推动石化、化工等重点行业挥发性有机物（VOCs）污染防治。推动石化行业VOCs泄漏检测与修复行动、VOCs削减和有毒有害原料替代。</w:t>
                  </w:r>
                </w:p>
                <w:p w14:paraId="731E7B37">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2、石化行业全面推进行业达标排放改造，新建、改建、扩建涉及重点重金属排放建设项目依照相关规定实行总量控制。</w:t>
                  </w:r>
                </w:p>
                <w:p w14:paraId="19FC3726">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3、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环境保护主管部门联网。</w:t>
                  </w:r>
                </w:p>
                <w:p w14:paraId="14FCC9EF">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4、加强园区无组织废气排放管理。</w:t>
                  </w:r>
                </w:p>
                <w:p w14:paraId="598BAE56">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5、强化固体废物减量化、资源化和无害化控制原则处置，尽量实现废物的综合利用，危险废物应交由有危废处理资质的单位进行安全处置。</w:t>
                  </w:r>
                </w:p>
              </w:tc>
              <w:tc>
                <w:tcPr>
                  <w:tcW w:w="1764" w:type="dxa"/>
                  <w:tcBorders>
                    <w:top w:val="single" w:color="auto" w:sz="4" w:space="0"/>
                    <w:left w:val="single" w:color="auto" w:sz="4" w:space="0"/>
                    <w:bottom w:val="single" w:color="auto" w:sz="4" w:space="0"/>
                    <w:right w:val="single" w:color="auto" w:sz="4" w:space="0"/>
                  </w:tcBorders>
                  <w:noWrap w:val="0"/>
                  <w:vAlign w:val="center"/>
                </w:tcPr>
                <w:p w14:paraId="572F249C">
                  <w:pPr>
                    <w:widowControl/>
                    <w:adjustRightInd w:val="0"/>
                    <w:snapToGrid w:val="0"/>
                    <w:spacing w:line="240" w:lineRule="auto"/>
                    <w:ind w:firstLine="0" w:firstLineChars="0"/>
                    <w:jc w:val="both"/>
                    <w:textAlignment w:val="center"/>
                    <w:rPr>
                      <w:rFonts w:hint="default" w:ascii="Times New Roman" w:hAnsi="Times New Roman" w:eastAsia="宋体" w:cs="Times New Roman"/>
                      <w:color w:val="auto"/>
                      <w:kern w:val="0"/>
                      <w:szCs w:val="21"/>
                      <w:u w:val="none"/>
                      <w:lang w:val="en-US" w:eastAsia="zh-CN"/>
                    </w:rPr>
                  </w:pPr>
                  <w:r>
                    <w:rPr>
                      <w:rFonts w:hint="eastAsia" w:ascii="Times New Roman" w:hAnsi="Times New Roman" w:eastAsia="宋体" w:cs="Times New Roman"/>
                      <w:color w:val="auto"/>
                      <w:kern w:val="0"/>
                      <w:szCs w:val="21"/>
                      <w:u w:val="none"/>
                      <w:lang w:val="en-US" w:eastAsia="zh-CN"/>
                    </w:rPr>
                    <w:t>项目属于危险化学品仓储项目，危险化学品贮存过程中不产生挥发性有机物，不涉及重金属排放项目；项目采用雨污分流制，初期雨水和事故废水分类收集，排入</w:t>
                  </w:r>
                  <w:r>
                    <w:rPr>
                      <w:rFonts w:hint="eastAsia" w:cs="Times New Roman"/>
                      <w:color w:val="auto"/>
                      <w:kern w:val="0"/>
                      <w:szCs w:val="21"/>
                      <w:u w:val="none"/>
                      <w:lang w:val="en-US" w:eastAsia="zh-CN"/>
                    </w:rPr>
                    <w:t>钦州港工业污水集中处理厂</w:t>
                  </w:r>
                  <w:r>
                    <w:rPr>
                      <w:rFonts w:hint="eastAsia" w:ascii="Times New Roman" w:hAnsi="Times New Roman" w:eastAsia="宋体" w:cs="Times New Roman"/>
                      <w:color w:val="auto"/>
                      <w:kern w:val="0"/>
                      <w:szCs w:val="21"/>
                      <w:u w:val="none"/>
                      <w:lang w:val="en-US" w:eastAsia="zh-CN"/>
                    </w:rPr>
                    <w:t>处理。事故废水不能满足</w:t>
                  </w:r>
                  <w:r>
                    <w:rPr>
                      <w:rFonts w:hint="eastAsia" w:cs="Times New Roman"/>
                      <w:color w:val="auto"/>
                      <w:kern w:val="0"/>
                      <w:szCs w:val="21"/>
                      <w:u w:val="none"/>
                      <w:lang w:val="en-US" w:eastAsia="zh-CN"/>
                    </w:rPr>
                    <w:t>钦州港工业污水集中处理厂</w:t>
                  </w:r>
                  <w:r>
                    <w:rPr>
                      <w:rFonts w:hint="eastAsia" w:ascii="Times New Roman" w:hAnsi="Times New Roman" w:eastAsia="宋体" w:cs="Times New Roman"/>
                      <w:color w:val="auto"/>
                      <w:kern w:val="0"/>
                      <w:szCs w:val="21"/>
                      <w:u w:val="none"/>
                      <w:lang w:val="en-US" w:eastAsia="zh-CN"/>
                    </w:rPr>
                    <w:t>进水水质指标时，委托有相关资质单位处置。项目危险废物委托有相关资质单位处置。</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350C61E2">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符合</w:t>
                  </w:r>
                </w:p>
              </w:tc>
            </w:tr>
            <w:tr w14:paraId="62BC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0DD4FD12">
                  <w:pPr>
                    <w:adjustRightInd w:val="0"/>
                    <w:snapToGrid w:val="0"/>
                    <w:spacing w:line="240" w:lineRule="auto"/>
                    <w:ind w:firstLine="0" w:firstLineChars="0"/>
                    <w:jc w:val="center"/>
                    <w:rPr>
                      <w:rFonts w:hint="eastAsia" w:ascii="Times New Roman" w:hAnsi="Times New Roman" w:eastAsia="宋体" w:cs="Times New Roman"/>
                      <w:bCs/>
                      <w:color w:val="auto"/>
                      <w:szCs w:val="21"/>
                      <w:u w:val="none"/>
                      <w:lang w:val="en-US" w:eastAsia="zh-CN"/>
                    </w:rPr>
                  </w:pPr>
                  <w:r>
                    <w:rPr>
                      <w:rFonts w:hint="eastAsia" w:ascii="Times New Roman" w:hAnsi="Times New Roman" w:eastAsia="宋体" w:cs="Times New Roman"/>
                      <w:bCs/>
                      <w:color w:val="auto"/>
                      <w:szCs w:val="21"/>
                      <w:u w:val="none"/>
                      <w:lang w:val="en-US" w:eastAsia="zh-CN"/>
                    </w:rPr>
                    <w:t>环境风险防控</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24C13589">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1、开展环境风险评估，制定突发环境事件应急预案并备案，配备应急能力和物资，建设环境应急队伍，并定期演练。企业、园区与地方人民政府环境应急预案应当有机衔接。</w:t>
                  </w:r>
                </w:p>
                <w:p w14:paraId="012FAC90">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2、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p w14:paraId="2F62DB75">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3、建设项目应严格落实环境保护措施和环境风险防范措施，减缓对周边生态环境敏感区的不良环境影响。</w:t>
                  </w:r>
                </w:p>
              </w:tc>
              <w:tc>
                <w:tcPr>
                  <w:tcW w:w="1764" w:type="dxa"/>
                  <w:tcBorders>
                    <w:top w:val="single" w:color="auto" w:sz="4" w:space="0"/>
                    <w:left w:val="single" w:color="auto" w:sz="4" w:space="0"/>
                    <w:bottom w:val="single" w:color="auto" w:sz="4" w:space="0"/>
                    <w:right w:val="single" w:color="auto" w:sz="4" w:space="0"/>
                  </w:tcBorders>
                  <w:noWrap w:val="0"/>
                  <w:vAlign w:val="center"/>
                </w:tcPr>
                <w:p w14:paraId="1531130E">
                  <w:pPr>
                    <w:widowControl/>
                    <w:adjustRightInd w:val="0"/>
                    <w:snapToGrid w:val="0"/>
                    <w:spacing w:line="240" w:lineRule="auto"/>
                    <w:ind w:firstLine="0" w:firstLineChars="0"/>
                    <w:jc w:val="both"/>
                    <w:textAlignment w:val="center"/>
                    <w:rPr>
                      <w:rFonts w:hint="default" w:ascii="Times New Roman" w:hAnsi="Times New Roman" w:eastAsia="宋体" w:cs="Times New Roman"/>
                      <w:color w:val="auto"/>
                      <w:kern w:val="0"/>
                      <w:szCs w:val="21"/>
                      <w:u w:val="none"/>
                      <w:lang w:val="en-US" w:eastAsia="zh-CN"/>
                    </w:rPr>
                  </w:pPr>
                  <w:r>
                    <w:rPr>
                      <w:rFonts w:hint="eastAsia" w:ascii="Times New Roman" w:hAnsi="Times New Roman" w:eastAsia="宋体" w:cs="Times New Roman"/>
                      <w:color w:val="auto"/>
                      <w:kern w:val="0"/>
                      <w:szCs w:val="21"/>
                      <w:u w:val="none"/>
                      <w:lang w:val="en-US" w:eastAsia="zh-CN"/>
                    </w:rPr>
                    <w:t>项目建成后将制定突发环境事件应急预案并备案；项目不属于土壤重点污染监管单位；项目将严格落实环境保护措施和环境风险防范措施。</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1E2A415A">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符合</w:t>
                  </w:r>
                </w:p>
              </w:tc>
            </w:tr>
            <w:tr w14:paraId="2055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73D78EF0">
                  <w:pPr>
                    <w:adjustRightInd w:val="0"/>
                    <w:snapToGrid w:val="0"/>
                    <w:spacing w:line="240" w:lineRule="auto"/>
                    <w:ind w:firstLine="0" w:firstLineChars="0"/>
                    <w:jc w:val="center"/>
                    <w:rPr>
                      <w:rFonts w:hint="eastAsia" w:ascii="Times New Roman" w:hAnsi="Times New Roman" w:eastAsia="宋体" w:cs="Times New Roman"/>
                      <w:bCs/>
                      <w:color w:val="auto"/>
                      <w:szCs w:val="21"/>
                      <w:u w:val="none"/>
                      <w:lang w:val="en-US" w:eastAsia="zh-CN"/>
                    </w:rPr>
                  </w:pPr>
                  <w:r>
                    <w:rPr>
                      <w:rFonts w:hint="eastAsia" w:ascii="Times New Roman" w:hAnsi="Times New Roman" w:eastAsia="宋体" w:cs="Times New Roman"/>
                      <w:bCs/>
                      <w:color w:val="auto"/>
                      <w:szCs w:val="21"/>
                      <w:u w:val="none"/>
                      <w:lang w:val="en-US" w:eastAsia="zh-CN"/>
                    </w:rPr>
                    <w:t>资源开发利用效率要求</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2083E279">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1、污染物排放以及用水、能耗、物耗、岸线与土地利用等资源环境指标达到行业先进水平。</w:t>
                  </w:r>
                </w:p>
                <w:p w14:paraId="784392B9">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2、依据《钦州市人民政府关于划定高污染燃料禁燃区的通告》，高污染燃料为：（一）除单台出力大于等于20蒸吨/小时锅炉以外的燃用煤炭及其制品；（二）石油焦、油页岩、原油、重油、渣油、煤焦油，以及各种可燃废物和直接燃用的生物质非成型燃料（树木、秸秆、锯末、稻壳、蔗渣等）。</w:t>
                  </w:r>
                </w:p>
                <w:p w14:paraId="243134B1">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高污染燃料禁燃区内在集中供热管网或者燃气管网覆盖范围内的单台出力小于20蒸吨/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单台出力65蒸吨/小时以上燃煤机组按照国家相关污染物排放标准有序开展超低排放改造。禁燃区内禁止新建、扩建燃用高污染燃料的锅炉、窑炉等燃烧设施。</w:t>
                  </w:r>
                </w:p>
              </w:tc>
              <w:tc>
                <w:tcPr>
                  <w:tcW w:w="1764" w:type="dxa"/>
                  <w:tcBorders>
                    <w:top w:val="single" w:color="auto" w:sz="4" w:space="0"/>
                    <w:left w:val="single" w:color="auto" w:sz="4" w:space="0"/>
                    <w:bottom w:val="single" w:color="auto" w:sz="4" w:space="0"/>
                    <w:right w:val="single" w:color="auto" w:sz="4" w:space="0"/>
                  </w:tcBorders>
                  <w:noWrap w:val="0"/>
                  <w:vAlign w:val="center"/>
                </w:tcPr>
                <w:p w14:paraId="2E856C0A">
                  <w:pPr>
                    <w:widowControl/>
                    <w:adjustRightInd w:val="0"/>
                    <w:snapToGrid w:val="0"/>
                    <w:spacing w:line="240" w:lineRule="auto"/>
                    <w:ind w:firstLine="0" w:firstLineChars="0"/>
                    <w:jc w:val="both"/>
                    <w:textAlignment w:val="center"/>
                    <w:rPr>
                      <w:rFonts w:hint="default" w:ascii="Times New Roman" w:hAnsi="Times New Roman" w:eastAsia="宋体" w:cs="Times New Roman"/>
                      <w:color w:val="auto"/>
                      <w:kern w:val="0"/>
                      <w:szCs w:val="21"/>
                      <w:u w:val="none"/>
                      <w:lang w:val="en-US" w:eastAsia="zh-CN"/>
                    </w:rPr>
                  </w:pPr>
                  <w:r>
                    <w:rPr>
                      <w:rFonts w:hint="eastAsia" w:ascii="Times New Roman" w:hAnsi="Times New Roman"/>
                      <w:color w:val="auto"/>
                      <w:kern w:val="0"/>
                      <w:szCs w:val="21"/>
                      <w:u w:val="none"/>
                      <w:lang w:val="en-US" w:eastAsia="zh-CN" w:bidi="ar"/>
                    </w:rPr>
                    <w:t>项目</w:t>
                  </w:r>
                  <w:r>
                    <w:rPr>
                      <w:rFonts w:hint="eastAsia" w:ascii="Times New Roman" w:hAnsi="Times New Roman"/>
                      <w:color w:val="auto"/>
                      <w:kern w:val="0"/>
                      <w:szCs w:val="21"/>
                      <w:u w:val="none"/>
                      <w:lang w:bidi="ar"/>
                    </w:rPr>
                    <w:t>污染物排放以及用水、能耗、物耗、岸线与土地利用等资源环境指标达到行业先进水平</w:t>
                  </w:r>
                  <w:r>
                    <w:rPr>
                      <w:rFonts w:hint="eastAsia" w:ascii="Times New Roman" w:hAnsi="Times New Roman"/>
                      <w:color w:val="auto"/>
                      <w:kern w:val="0"/>
                      <w:szCs w:val="21"/>
                      <w:u w:val="none"/>
                      <w:lang w:eastAsia="zh-CN" w:bidi="ar"/>
                    </w:rPr>
                    <w:t>，</w:t>
                  </w:r>
                  <w:r>
                    <w:rPr>
                      <w:rFonts w:hint="eastAsia" w:ascii="Times New Roman" w:hAnsi="Times New Roman"/>
                      <w:color w:val="auto"/>
                      <w:kern w:val="0"/>
                      <w:szCs w:val="21"/>
                      <w:u w:val="single"/>
                      <w:lang w:val="en-US" w:eastAsia="zh-CN" w:bidi="ar"/>
                    </w:rPr>
                    <w:t>项目不涉及使用燃料。</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70583777">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符合</w:t>
                  </w:r>
                </w:p>
              </w:tc>
            </w:tr>
          </w:tbl>
          <w:p w14:paraId="71018B24">
            <w:pPr>
              <w:pStyle w:val="6"/>
              <w:spacing w:line="500" w:lineRule="exact"/>
              <w:ind w:firstLine="480"/>
              <w:rPr>
                <w:rFonts w:hint="eastAsia" w:ascii="Times New Roman" w:hAnsi="Times New Roman" w:eastAsia="宋体" w:cs="Times New Roman"/>
                <w:color w:val="auto"/>
                <w:kern w:val="0"/>
                <w:sz w:val="24"/>
                <w:u w:val="none"/>
                <w:lang w:val="en-US" w:eastAsia="zh-CN"/>
              </w:rPr>
            </w:pPr>
            <w:r>
              <w:rPr>
                <w:rFonts w:hint="eastAsia" w:ascii="Times New Roman" w:hAnsi="Times New Roman" w:eastAsia="宋体" w:cs="Times New Roman"/>
                <w:color w:val="auto"/>
                <w:kern w:val="0"/>
                <w:sz w:val="24"/>
                <w:u w:val="none"/>
                <w:lang w:val="en-US" w:eastAsia="zh-CN"/>
              </w:rPr>
              <w:t>项目与钦州市生态环境局关于印发《钦州市环境管控单元生态环境准入及管控要求清单（试行）》的通知（钦环发〔2022〕3号）相符性分析</w:t>
            </w:r>
          </w:p>
          <w:p w14:paraId="02F91417">
            <w:pPr>
              <w:pStyle w:val="6"/>
              <w:spacing w:line="500" w:lineRule="exact"/>
              <w:ind w:firstLine="480"/>
              <w:rPr>
                <w:rFonts w:hint="eastAsia" w:ascii="Times New Roman" w:hAnsi="Times New Roman" w:eastAsia="宋体" w:cs="Times New Roman"/>
                <w:color w:val="auto"/>
                <w:kern w:val="0"/>
                <w:sz w:val="24"/>
                <w:u w:val="none"/>
                <w:lang w:val="en-US" w:eastAsia="zh-CN"/>
              </w:rPr>
            </w:pPr>
            <w:r>
              <w:rPr>
                <w:rFonts w:hint="eastAsia" w:ascii="Times New Roman" w:hAnsi="Times New Roman" w:eastAsia="宋体" w:cs="Times New Roman"/>
                <w:color w:val="auto"/>
                <w:kern w:val="0"/>
                <w:sz w:val="24"/>
                <w:u w:val="none"/>
                <w:lang w:val="en-US" w:eastAsia="zh-CN"/>
              </w:rPr>
              <w:t>项目属于广西钦州石化产业园重点管控单元（环境管控单元编码：ZH45070220003）。</w:t>
            </w:r>
          </w:p>
          <w:p w14:paraId="7AAA3DAB">
            <w:pPr>
              <w:spacing w:line="500" w:lineRule="exact"/>
              <w:jc w:val="center"/>
              <w:rPr>
                <w:rFonts w:hint="eastAsia" w:ascii="Times New Roman" w:hAnsi="Times New Roman" w:eastAsia="宋体" w:cs="Times New Roman"/>
                <w:b/>
                <w:bCs/>
                <w:color w:val="auto"/>
                <w:kern w:val="0"/>
                <w:sz w:val="24"/>
                <w:u w:val="none"/>
              </w:rPr>
            </w:pPr>
          </w:p>
          <w:p w14:paraId="247FE96A">
            <w:pPr>
              <w:spacing w:line="500" w:lineRule="exact"/>
              <w:jc w:val="center"/>
              <w:rPr>
                <w:rFonts w:hint="eastAsia" w:ascii="Times New Roman" w:hAnsi="Times New Roman" w:eastAsia="宋体" w:cs="Times New Roman"/>
                <w:b/>
                <w:bCs/>
                <w:color w:val="auto"/>
                <w:kern w:val="0"/>
                <w:sz w:val="24"/>
                <w:u w:val="none"/>
              </w:rPr>
            </w:pPr>
            <w:r>
              <w:rPr>
                <w:rFonts w:hint="eastAsia" w:ascii="Times New Roman" w:hAnsi="Times New Roman" w:eastAsia="宋体" w:cs="Times New Roman"/>
                <w:b/>
                <w:bCs/>
                <w:color w:val="auto"/>
                <w:kern w:val="0"/>
                <w:sz w:val="24"/>
                <w:u w:val="none"/>
              </w:rPr>
              <w:t>表1-</w:t>
            </w:r>
            <w:r>
              <w:rPr>
                <w:rFonts w:hint="eastAsia" w:cs="Times New Roman"/>
                <w:b/>
                <w:bCs/>
                <w:color w:val="auto"/>
                <w:kern w:val="0"/>
                <w:sz w:val="24"/>
                <w:u w:val="none"/>
                <w:lang w:val="en-US" w:eastAsia="zh-CN"/>
              </w:rPr>
              <w:t>4</w:t>
            </w:r>
            <w:r>
              <w:rPr>
                <w:rFonts w:hint="eastAsia" w:ascii="Times New Roman" w:hAnsi="Times New Roman" w:eastAsia="宋体" w:cs="Times New Roman"/>
                <w:b/>
                <w:bCs/>
                <w:color w:val="auto"/>
                <w:kern w:val="0"/>
                <w:sz w:val="24"/>
                <w:u w:val="none"/>
              </w:rPr>
              <w:t xml:space="preserve">  </w:t>
            </w:r>
            <w:r>
              <w:rPr>
                <w:rFonts w:hint="eastAsia" w:ascii="Times New Roman" w:hAnsi="Times New Roman" w:eastAsia="宋体"/>
                <w:b/>
                <w:bCs/>
                <w:iCs w:val="0"/>
                <w:color w:val="auto"/>
                <w:kern w:val="0"/>
                <w:sz w:val="24"/>
                <w:szCs w:val="24"/>
                <w:u w:val="none"/>
                <w:lang w:eastAsia="zh-CN"/>
              </w:rPr>
              <w:t>钦州市</w:t>
            </w:r>
            <w:r>
              <w:rPr>
                <w:rFonts w:hint="eastAsia" w:ascii="Times New Roman" w:hAnsi="Times New Roman" w:eastAsia="宋体"/>
                <w:b/>
                <w:bCs/>
                <w:iCs w:val="0"/>
                <w:color w:val="auto"/>
                <w:kern w:val="0"/>
                <w:sz w:val="24"/>
                <w:szCs w:val="24"/>
                <w:u w:val="none"/>
                <w:lang w:val="en-US" w:eastAsia="zh-CN"/>
              </w:rPr>
              <w:t>生态环境准入及</w:t>
            </w:r>
            <w:r>
              <w:rPr>
                <w:rFonts w:hint="eastAsia" w:ascii="Times New Roman" w:hAnsi="Times New Roman" w:eastAsia="宋体"/>
                <w:b/>
                <w:bCs/>
                <w:iCs w:val="0"/>
                <w:color w:val="auto"/>
                <w:kern w:val="0"/>
                <w:sz w:val="24"/>
                <w:szCs w:val="24"/>
                <w:u w:val="none"/>
                <w:lang w:eastAsia="zh-CN"/>
              </w:rPr>
              <w:t>管控</w:t>
            </w:r>
            <w:r>
              <w:rPr>
                <w:rFonts w:hint="eastAsia" w:ascii="Times New Roman" w:hAnsi="Times New Roman" w:eastAsia="宋体"/>
                <w:b/>
                <w:bCs/>
                <w:iCs w:val="0"/>
                <w:color w:val="auto"/>
                <w:kern w:val="0"/>
                <w:sz w:val="24"/>
                <w:szCs w:val="24"/>
                <w:u w:val="none"/>
                <w:lang w:val="en-US" w:eastAsia="zh-CN"/>
              </w:rPr>
              <w:t>要求</w:t>
            </w:r>
            <w:r>
              <w:rPr>
                <w:rFonts w:hint="eastAsia" w:ascii="Times New Roman" w:hAnsi="Times New Roman" w:eastAsia="宋体"/>
                <w:b/>
                <w:bCs/>
                <w:iCs w:val="0"/>
                <w:color w:val="auto"/>
                <w:kern w:val="0"/>
                <w:sz w:val="24"/>
                <w:szCs w:val="24"/>
                <w:u w:val="none"/>
                <w:lang w:eastAsia="zh-CN"/>
              </w:rPr>
              <w:t>清单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4344"/>
              <w:gridCol w:w="1485"/>
              <w:gridCol w:w="465"/>
            </w:tblGrid>
            <w:tr w14:paraId="3A93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65A4856B">
                  <w:pPr>
                    <w:adjustRightInd w:val="0"/>
                    <w:snapToGrid w:val="0"/>
                    <w:spacing w:line="240" w:lineRule="auto"/>
                    <w:ind w:firstLine="0" w:firstLineChars="0"/>
                    <w:jc w:val="center"/>
                    <w:rPr>
                      <w:rFonts w:ascii="Times New Roman" w:hAnsi="Times New Roman" w:eastAsia="宋体" w:cs="Times New Roman"/>
                      <w:b w:val="0"/>
                      <w:bCs w:val="0"/>
                      <w:color w:val="auto"/>
                      <w:szCs w:val="21"/>
                      <w:u w:val="none"/>
                    </w:rPr>
                  </w:pPr>
                  <w:r>
                    <w:rPr>
                      <w:rFonts w:ascii="Times New Roman" w:hAnsi="Times New Roman" w:eastAsia="宋体" w:cs="Times New Roman"/>
                      <w:b w:val="0"/>
                      <w:bCs w:val="0"/>
                      <w:color w:val="auto"/>
                      <w:szCs w:val="21"/>
                      <w:u w:val="none"/>
                    </w:rPr>
                    <w:t>管控类别</w:t>
                  </w:r>
                </w:p>
              </w:tc>
              <w:tc>
                <w:tcPr>
                  <w:tcW w:w="4344" w:type="dxa"/>
                  <w:tcBorders>
                    <w:top w:val="single" w:color="auto" w:sz="4" w:space="0"/>
                    <w:left w:val="nil"/>
                    <w:bottom w:val="single" w:color="auto" w:sz="4" w:space="0"/>
                    <w:right w:val="single" w:color="auto" w:sz="4" w:space="0"/>
                  </w:tcBorders>
                  <w:noWrap w:val="0"/>
                  <w:vAlign w:val="center"/>
                </w:tcPr>
                <w:p w14:paraId="659D1A90">
                  <w:pPr>
                    <w:adjustRightInd w:val="0"/>
                    <w:snapToGrid w:val="0"/>
                    <w:spacing w:line="240" w:lineRule="auto"/>
                    <w:ind w:firstLine="0" w:firstLineChars="0"/>
                    <w:jc w:val="center"/>
                    <w:rPr>
                      <w:rFonts w:hint="default" w:ascii="Times New Roman" w:hAnsi="Times New Roman" w:eastAsia="宋体" w:cs="Times New Roman"/>
                      <w:b w:val="0"/>
                      <w:bCs w:val="0"/>
                      <w:color w:val="auto"/>
                      <w:szCs w:val="21"/>
                      <w:u w:val="none"/>
                      <w:lang w:val="en-US" w:eastAsia="zh-CN"/>
                    </w:rPr>
                  </w:pPr>
                  <w:r>
                    <w:rPr>
                      <w:rFonts w:hint="eastAsia" w:ascii="Times New Roman" w:hAnsi="Times New Roman" w:eastAsia="宋体" w:cs="Times New Roman"/>
                      <w:b w:val="0"/>
                      <w:bCs w:val="0"/>
                      <w:color w:val="auto"/>
                      <w:szCs w:val="21"/>
                      <w:u w:val="none"/>
                    </w:rPr>
                    <w:t>广西钦州石化产业园重点管控单元</w:t>
                  </w:r>
                  <w:r>
                    <w:rPr>
                      <w:rFonts w:hint="eastAsia" w:ascii="Times New Roman" w:hAnsi="Times New Roman" w:eastAsia="宋体" w:cs="Times New Roman"/>
                      <w:b w:val="0"/>
                      <w:bCs w:val="0"/>
                      <w:color w:val="auto"/>
                      <w:szCs w:val="21"/>
                      <w:u w:val="none"/>
                      <w:lang w:val="en-US" w:eastAsia="zh-CN"/>
                    </w:rPr>
                    <w:t>要求</w:t>
                  </w:r>
                </w:p>
              </w:tc>
              <w:tc>
                <w:tcPr>
                  <w:tcW w:w="1485" w:type="dxa"/>
                  <w:tcBorders>
                    <w:top w:val="single" w:color="auto" w:sz="4" w:space="0"/>
                    <w:left w:val="nil"/>
                    <w:bottom w:val="single" w:color="auto" w:sz="4" w:space="0"/>
                    <w:right w:val="single" w:color="auto" w:sz="4" w:space="0"/>
                  </w:tcBorders>
                  <w:noWrap w:val="0"/>
                  <w:vAlign w:val="center"/>
                </w:tcPr>
                <w:p w14:paraId="0D0DB2DE">
                  <w:pPr>
                    <w:adjustRightInd w:val="0"/>
                    <w:snapToGrid w:val="0"/>
                    <w:spacing w:line="240" w:lineRule="auto"/>
                    <w:ind w:firstLine="0" w:firstLineChars="0"/>
                    <w:jc w:val="center"/>
                    <w:rPr>
                      <w:rFonts w:ascii="Times New Roman" w:hAnsi="Times New Roman" w:eastAsia="宋体" w:cs="Times New Roman"/>
                      <w:b w:val="0"/>
                      <w:bCs w:val="0"/>
                      <w:color w:val="auto"/>
                      <w:szCs w:val="21"/>
                      <w:u w:val="none"/>
                    </w:rPr>
                  </w:pPr>
                  <w:r>
                    <w:rPr>
                      <w:rFonts w:ascii="Times New Roman" w:hAnsi="Times New Roman" w:eastAsia="宋体" w:cs="Times New Roman"/>
                      <w:b w:val="0"/>
                      <w:bCs w:val="0"/>
                      <w:color w:val="auto"/>
                      <w:szCs w:val="21"/>
                      <w:u w:val="none"/>
                    </w:rPr>
                    <w:t>本项目</w:t>
                  </w:r>
                </w:p>
              </w:tc>
              <w:tc>
                <w:tcPr>
                  <w:tcW w:w="465" w:type="dxa"/>
                  <w:tcBorders>
                    <w:top w:val="single" w:color="auto" w:sz="4" w:space="0"/>
                    <w:left w:val="nil"/>
                    <w:bottom w:val="single" w:color="auto" w:sz="4" w:space="0"/>
                    <w:right w:val="single" w:color="auto" w:sz="4" w:space="0"/>
                  </w:tcBorders>
                  <w:noWrap w:val="0"/>
                  <w:vAlign w:val="center"/>
                </w:tcPr>
                <w:p w14:paraId="7DAED5DA">
                  <w:pPr>
                    <w:adjustRightInd w:val="0"/>
                    <w:snapToGrid w:val="0"/>
                    <w:spacing w:line="240" w:lineRule="auto"/>
                    <w:ind w:firstLine="0" w:firstLineChars="0"/>
                    <w:jc w:val="center"/>
                    <w:rPr>
                      <w:rFonts w:ascii="Times New Roman" w:hAnsi="Times New Roman" w:eastAsia="宋体" w:cs="Times New Roman"/>
                      <w:b w:val="0"/>
                      <w:bCs w:val="0"/>
                      <w:color w:val="auto"/>
                      <w:szCs w:val="21"/>
                      <w:u w:val="none"/>
                    </w:rPr>
                  </w:pPr>
                  <w:r>
                    <w:rPr>
                      <w:rFonts w:ascii="Times New Roman" w:hAnsi="Times New Roman" w:eastAsia="宋体" w:cs="Times New Roman"/>
                      <w:b w:val="0"/>
                      <w:bCs w:val="0"/>
                      <w:color w:val="auto"/>
                      <w:szCs w:val="21"/>
                      <w:u w:val="none"/>
                    </w:rPr>
                    <w:t>相符性</w:t>
                  </w:r>
                </w:p>
              </w:tc>
            </w:tr>
            <w:tr w14:paraId="31B8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nil"/>
                    <w:left w:val="single" w:color="auto" w:sz="4" w:space="0"/>
                    <w:bottom w:val="single" w:color="auto" w:sz="4" w:space="0"/>
                    <w:right w:val="single" w:color="auto" w:sz="4" w:space="0"/>
                  </w:tcBorders>
                  <w:noWrap w:val="0"/>
                  <w:vAlign w:val="center"/>
                </w:tcPr>
                <w:p w14:paraId="1E979F6C">
                  <w:pPr>
                    <w:adjustRightInd w:val="0"/>
                    <w:snapToGrid w:val="0"/>
                    <w:spacing w:line="240" w:lineRule="auto"/>
                    <w:ind w:firstLine="0" w:firstLineChars="0"/>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bCs/>
                      <w:color w:val="auto"/>
                      <w:szCs w:val="21"/>
                      <w:u w:val="none"/>
                      <w:lang w:val="en-US" w:eastAsia="zh-CN"/>
                    </w:rPr>
                    <w:t>空间布局约束</w:t>
                  </w:r>
                </w:p>
              </w:tc>
              <w:tc>
                <w:tcPr>
                  <w:tcW w:w="4344" w:type="dxa"/>
                  <w:tcBorders>
                    <w:top w:val="single" w:color="auto" w:sz="4" w:space="0"/>
                    <w:left w:val="nil"/>
                    <w:bottom w:val="single" w:color="auto" w:sz="4" w:space="0"/>
                    <w:right w:val="single" w:color="auto" w:sz="4" w:space="0"/>
                  </w:tcBorders>
                  <w:noWrap w:val="0"/>
                  <w:vAlign w:val="center"/>
                </w:tcPr>
                <w:p w14:paraId="4104B9BF">
                  <w:pPr>
                    <w:widowControl/>
                    <w:adjustRightInd w:val="0"/>
                    <w:snapToGrid w:val="0"/>
                    <w:spacing w:line="240" w:lineRule="auto"/>
                    <w:ind w:firstLine="0" w:firstLineChars="0"/>
                    <w:textAlignment w:val="center"/>
                    <w:rPr>
                      <w:rFonts w:hint="eastAsia"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1、依据《国务院关于加强滨海湿地保护严格管控围填海的通知》，除国家重大战略项目外，原则上禁止新增围填海项目。三墩片区布局国家重大项目确需新增围填海的，须严格论证对中华白海豚等重点保护动物及其生境的影响，审慎决策，最大限度减轻不良环境影响。</w:t>
                  </w:r>
                </w:p>
                <w:p w14:paraId="62902F07">
                  <w:pPr>
                    <w:widowControl/>
                    <w:adjustRightInd w:val="0"/>
                    <w:snapToGrid w:val="0"/>
                    <w:spacing w:line="240" w:lineRule="auto"/>
                    <w:ind w:firstLine="0" w:firstLineChars="0"/>
                    <w:textAlignment w:val="center"/>
                    <w:rPr>
                      <w:rFonts w:hint="eastAsia"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2、建设项目应为石化产业园区产业链范围内的项目，选址应符合石化产业园区规划的功能分区。禁止引进不符合国家产业政策和相关行业准入条件，清洁生产水平不达标、装置单位产品能源消耗限额不达标、污染物排放不达标的项目。</w:t>
                  </w:r>
                </w:p>
                <w:p w14:paraId="4E625CC5">
                  <w:pPr>
                    <w:widowControl/>
                    <w:adjustRightInd w:val="0"/>
                    <w:snapToGrid w:val="0"/>
                    <w:spacing w:line="240" w:lineRule="auto"/>
                    <w:ind w:firstLine="0" w:firstLineChars="0"/>
                    <w:textAlignment w:val="center"/>
                    <w:rPr>
                      <w:rFonts w:hint="eastAsia"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3、优化园区规划空间布局，对丙烯腈、苯乙烯、环氧丙烷等新引进项目加强源头风险管控；丙烯腈装置原则上应配套 MMA 装置同步建设，及时消耗丙烯腈装置产生的氢氰酸和废酸，降低环境风险。</w:t>
                  </w:r>
                </w:p>
                <w:p w14:paraId="7C78F475">
                  <w:pPr>
                    <w:widowControl/>
                    <w:adjustRightInd w:val="0"/>
                    <w:snapToGrid w:val="0"/>
                    <w:spacing w:line="240" w:lineRule="auto"/>
                    <w:ind w:firstLine="0" w:firstLineChars="0"/>
                    <w:textAlignment w:val="center"/>
                    <w:rPr>
                      <w:rFonts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4、居住用地周边严控布局潜在污染扰民和环境风险突出的建设项目。</w:t>
                  </w:r>
                </w:p>
              </w:tc>
              <w:tc>
                <w:tcPr>
                  <w:tcW w:w="1485" w:type="dxa"/>
                  <w:tcBorders>
                    <w:top w:val="single" w:color="auto" w:sz="4" w:space="0"/>
                    <w:left w:val="nil"/>
                    <w:bottom w:val="single" w:color="auto" w:sz="4" w:space="0"/>
                    <w:right w:val="single" w:color="auto" w:sz="4" w:space="0"/>
                  </w:tcBorders>
                  <w:noWrap w:val="0"/>
                  <w:vAlign w:val="center"/>
                </w:tcPr>
                <w:p w14:paraId="7CFB621E">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Cs w:val="21"/>
                      <w:u w:val="none"/>
                      <w:lang w:val="en-US" w:eastAsia="zh-CN"/>
                    </w:rPr>
                  </w:pPr>
                  <w:r>
                    <w:rPr>
                      <w:rFonts w:hint="eastAsia" w:ascii="Times New Roman" w:hAnsi="Times New Roman" w:eastAsia="宋体" w:cs="Times New Roman"/>
                      <w:color w:val="auto"/>
                      <w:kern w:val="0"/>
                      <w:szCs w:val="21"/>
                      <w:u w:val="none"/>
                      <w:lang w:val="en-US" w:eastAsia="zh-CN"/>
                    </w:rPr>
                    <w:t>项目不涉及围填海；项目位于石化产业园内石化码头物料仓储区，用地为</w:t>
                  </w:r>
                  <w:r>
                    <w:rPr>
                      <w:rFonts w:hint="eastAsia" w:cs="Times New Roman"/>
                      <w:color w:val="auto"/>
                      <w:kern w:val="0"/>
                      <w:szCs w:val="21"/>
                      <w:u w:val="none"/>
                      <w:lang w:val="en-US" w:eastAsia="zh-CN"/>
                    </w:rPr>
                    <w:t>工业</w:t>
                  </w:r>
                  <w:r>
                    <w:rPr>
                      <w:rFonts w:hint="eastAsia" w:ascii="Times New Roman" w:hAnsi="Times New Roman" w:eastAsia="宋体" w:cs="Times New Roman"/>
                      <w:color w:val="auto"/>
                      <w:kern w:val="0"/>
                      <w:szCs w:val="21"/>
                      <w:u w:val="none"/>
                      <w:lang w:val="en-US" w:eastAsia="zh-CN"/>
                    </w:rPr>
                    <w:t>用地，符合园区规划；项目不属于污染扰民和环境风险突出的项目。</w:t>
                  </w:r>
                </w:p>
              </w:tc>
              <w:tc>
                <w:tcPr>
                  <w:tcW w:w="465" w:type="dxa"/>
                  <w:tcBorders>
                    <w:top w:val="single" w:color="auto" w:sz="4" w:space="0"/>
                    <w:left w:val="nil"/>
                    <w:bottom w:val="single" w:color="auto" w:sz="4" w:space="0"/>
                    <w:right w:val="single" w:color="auto" w:sz="4" w:space="0"/>
                  </w:tcBorders>
                  <w:noWrap w:val="0"/>
                  <w:vAlign w:val="center"/>
                </w:tcPr>
                <w:p w14:paraId="5BBC9953">
                  <w:pPr>
                    <w:widowControl/>
                    <w:adjustRightInd w:val="0"/>
                    <w:snapToGrid w:val="0"/>
                    <w:spacing w:line="240" w:lineRule="auto"/>
                    <w:ind w:firstLine="0" w:firstLineChars="0"/>
                    <w:jc w:val="center"/>
                    <w:textAlignment w:val="center"/>
                    <w:rPr>
                      <w:rFonts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符合</w:t>
                  </w:r>
                </w:p>
              </w:tc>
            </w:tr>
            <w:tr w14:paraId="347C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7BC21EA7">
                  <w:pPr>
                    <w:adjustRightInd w:val="0"/>
                    <w:snapToGrid w:val="0"/>
                    <w:spacing w:line="240" w:lineRule="auto"/>
                    <w:ind w:firstLine="0" w:firstLineChars="0"/>
                    <w:jc w:val="center"/>
                    <w:rPr>
                      <w:rFonts w:hint="eastAsia" w:ascii="Times New Roman" w:hAnsi="Times New Roman" w:eastAsia="宋体" w:cs="Times New Roman"/>
                      <w:bCs/>
                      <w:color w:val="auto"/>
                      <w:szCs w:val="21"/>
                      <w:u w:val="none"/>
                      <w:lang w:val="en-US" w:eastAsia="zh-CN"/>
                    </w:rPr>
                  </w:pPr>
                  <w:r>
                    <w:rPr>
                      <w:rFonts w:hint="eastAsia" w:ascii="Times New Roman" w:hAnsi="Times New Roman" w:eastAsia="宋体" w:cs="Times New Roman"/>
                      <w:bCs/>
                      <w:color w:val="auto"/>
                      <w:szCs w:val="21"/>
                      <w:u w:val="none"/>
                      <w:lang w:val="en-US" w:eastAsia="zh-CN"/>
                    </w:rPr>
                    <w:t>污染物排放管控</w:t>
                  </w:r>
                </w:p>
              </w:tc>
              <w:tc>
                <w:tcPr>
                  <w:tcW w:w="4344" w:type="dxa"/>
                  <w:tcBorders>
                    <w:top w:val="single" w:color="auto" w:sz="4" w:space="0"/>
                    <w:left w:val="single" w:color="auto" w:sz="4" w:space="0"/>
                    <w:bottom w:val="single" w:color="auto" w:sz="4" w:space="0"/>
                    <w:right w:val="single" w:color="auto" w:sz="4" w:space="0"/>
                  </w:tcBorders>
                  <w:noWrap w:val="0"/>
                  <w:vAlign w:val="center"/>
                </w:tcPr>
                <w:p w14:paraId="20053C49">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1、大力推进低氮燃烧和烟气脱硝，有序推进园区集中供热。</w:t>
                  </w:r>
                </w:p>
                <w:p w14:paraId="59CDF6EA">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2、推动石化、化工等重点行业挥发性有机物（VOCs）污染防治。推动石化行业VOCs泄漏检测与修复行动、VOCs削减和有毒有害原料替代。</w:t>
                  </w:r>
                </w:p>
                <w:p w14:paraId="36D45332">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3、石化、化工行业全面推进行业达标排放改造。</w:t>
                  </w:r>
                </w:p>
                <w:p w14:paraId="116D4F3E">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4、逐步完成工业集聚区集中式污水处理设施建设，确保已建污水处理设施稳定运行及达标排放。园区集中式污水处理设施总排口安装自动监控系统、视频监控系统，并与生态环境主管部门联网。按照“清污分流、雨污分流”原则，实施废水分类收集、分质处理。</w:t>
                  </w:r>
                </w:p>
                <w:p w14:paraId="0A0002F8">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5、园区及园区企业排放水污染物，要满足国家或者地方规定的水污染物排放标准和重点水污染物排放总量控制指标。直接外排水环境的，执行国家或者地方规定的标准要求；经城镇污水集中处理设施处理后排放的，执行市政部门管理要求；经园区污水集中处理设施处理后排放的，执行园区管理部门相关要求。</w:t>
                  </w: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C3C702E">
                  <w:pPr>
                    <w:widowControl/>
                    <w:adjustRightInd w:val="0"/>
                    <w:snapToGrid w:val="0"/>
                    <w:spacing w:line="240" w:lineRule="auto"/>
                    <w:ind w:firstLine="0" w:firstLineChars="0"/>
                    <w:jc w:val="both"/>
                    <w:textAlignment w:val="center"/>
                    <w:rPr>
                      <w:rFonts w:hint="default" w:ascii="Times New Roman" w:hAnsi="Times New Roman" w:eastAsia="宋体" w:cs="Times New Roman"/>
                      <w:color w:val="auto"/>
                      <w:kern w:val="0"/>
                      <w:szCs w:val="21"/>
                      <w:u w:val="none"/>
                      <w:lang w:val="en-US" w:eastAsia="zh-CN"/>
                    </w:rPr>
                  </w:pPr>
                  <w:r>
                    <w:rPr>
                      <w:rFonts w:hint="eastAsia" w:ascii="Times New Roman" w:hAnsi="Times New Roman" w:eastAsia="宋体" w:cs="Times New Roman"/>
                      <w:color w:val="auto"/>
                      <w:kern w:val="0"/>
                      <w:szCs w:val="21"/>
                      <w:u w:val="none"/>
                      <w:lang w:val="en-US" w:eastAsia="zh-CN"/>
                    </w:rPr>
                    <w:t>项目为危险化学品仓储项目，项目初期雨水经初期雨水收集池收集，事故废水经事故废水收集池收集后排入</w:t>
                  </w:r>
                  <w:r>
                    <w:rPr>
                      <w:rFonts w:hint="eastAsia" w:cs="Times New Roman"/>
                      <w:color w:val="auto"/>
                      <w:kern w:val="0"/>
                      <w:szCs w:val="21"/>
                      <w:u w:val="none"/>
                      <w:lang w:val="en-US" w:eastAsia="zh-CN"/>
                    </w:rPr>
                    <w:t>钦州港工业污水集中处理厂</w:t>
                  </w:r>
                  <w:r>
                    <w:rPr>
                      <w:rFonts w:hint="eastAsia" w:ascii="Times New Roman" w:hAnsi="Times New Roman" w:eastAsia="宋体" w:cs="Times New Roman"/>
                      <w:color w:val="auto"/>
                      <w:kern w:val="0"/>
                      <w:szCs w:val="21"/>
                      <w:u w:val="none"/>
                      <w:lang w:val="en-US" w:eastAsia="zh-CN"/>
                    </w:rPr>
                    <w:t>处理，当事故废水不能满足</w:t>
                  </w:r>
                  <w:r>
                    <w:rPr>
                      <w:rFonts w:hint="eastAsia" w:cs="Times New Roman"/>
                      <w:color w:val="auto"/>
                      <w:kern w:val="0"/>
                      <w:szCs w:val="21"/>
                      <w:u w:val="none"/>
                      <w:lang w:val="en-US" w:eastAsia="zh-CN"/>
                    </w:rPr>
                    <w:t>钦州港工业污水集中处理厂</w:t>
                  </w:r>
                  <w:r>
                    <w:rPr>
                      <w:rFonts w:hint="eastAsia" w:ascii="Times New Roman" w:hAnsi="Times New Roman" w:eastAsia="宋体" w:cs="Times New Roman"/>
                      <w:color w:val="auto"/>
                      <w:kern w:val="0"/>
                      <w:szCs w:val="21"/>
                      <w:u w:val="none"/>
                      <w:lang w:val="en-US" w:eastAsia="zh-CN"/>
                    </w:rPr>
                    <w:t>纳管标准时，委托有相关资质单位处置。</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0DC7575F">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符合</w:t>
                  </w:r>
                </w:p>
              </w:tc>
            </w:tr>
            <w:tr w14:paraId="396D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19969581">
                  <w:pPr>
                    <w:adjustRightInd w:val="0"/>
                    <w:snapToGrid w:val="0"/>
                    <w:spacing w:line="240" w:lineRule="auto"/>
                    <w:ind w:firstLine="0" w:firstLineChars="0"/>
                    <w:jc w:val="center"/>
                    <w:rPr>
                      <w:rFonts w:hint="eastAsia" w:ascii="Times New Roman" w:hAnsi="Times New Roman" w:eastAsia="宋体" w:cs="Times New Roman"/>
                      <w:bCs/>
                      <w:color w:val="auto"/>
                      <w:szCs w:val="21"/>
                      <w:u w:val="none"/>
                      <w:lang w:val="en-US" w:eastAsia="zh-CN"/>
                    </w:rPr>
                  </w:pPr>
                  <w:r>
                    <w:rPr>
                      <w:rFonts w:hint="eastAsia" w:ascii="Times New Roman" w:hAnsi="Times New Roman" w:eastAsia="宋体" w:cs="Times New Roman"/>
                      <w:bCs/>
                      <w:color w:val="auto"/>
                      <w:szCs w:val="21"/>
                      <w:u w:val="none"/>
                      <w:lang w:val="en-US" w:eastAsia="zh-CN"/>
                    </w:rPr>
                    <w:t>环境风险防控</w:t>
                  </w:r>
                </w:p>
              </w:tc>
              <w:tc>
                <w:tcPr>
                  <w:tcW w:w="4344" w:type="dxa"/>
                  <w:tcBorders>
                    <w:top w:val="single" w:color="auto" w:sz="4" w:space="0"/>
                    <w:left w:val="single" w:color="auto" w:sz="4" w:space="0"/>
                    <w:bottom w:val="single" w:color="auto" w:sz="4" w:space="0"/>
                    <w:right w:val="single" w:color="auto" w:sz="4" w:space="0"/>
                  </w:tcBorders>
                  <w:noWrap w:val="0"/>
                  <w:vAlign w:val="center"/>
                </w:tcPr>
                <w:p w14:paraId="0E90F9A0">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1、建设项目应严格落实环境保护措施和环境风险防范措施，减缓对周边海域和陆域生态环境敏感区的不良环境影响。</w:t>
                  </w:r>
                </w:p>
                <w:p w14:paraId="59FCA077">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2、三墩片区实行封闭式管理。开展环境风险评估，制定突发环境事件应急预案并备案，配备应急能力和物资，建设环境应急队伍，并定期演练。企业、园区与地方人民政府环境应急预案应当有机衔接。</w:t>
                  </w:r>
                </w:p>
                <w:p w14:paraId="42E0CABB">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3、土壤污染重点监管单位应当严格控制有毒有害物质排放，并按年度向所在地设区的市人民政府生态环境主管部门报告排放情况；建立土壤污染隐患排查制度，保证持续有效防止有毒有害物质渗漏、流失、扬散。</w:t>
                  </w:r>
                </w:p>
              </w:tc>
              <w:tc>
                <w:tcPr>
                  <w:tcW w:w="1485" w:type="dxa"/>
                  <w:tcBorders>
                    <w:top w:val="single" w:color="auto" w:sz="4" w:space="0"/>
                    <w:left w:val="single" w:color="auto" w:sz="4" w:space="0"/>
                    <w:bottom w:val="single" w:color="auto" w:sz="4" w:space="0"/>
                    <w:right w:val="single" w:color="auto" w:sz="4" w:space="0"/>
                  </w:tcBorders>
                  <w:noWrap w:val="0"/>
                  <w:vAlign w:val="center"/>
                </w:tcPr>
                <w:p w14:paraId="27D916E6">
                  <w:pPr>
                    <w:widowControl/>
                    <w:adjustRightInd w:val="0"/>
                    <w:snapToGrid w:val="0"/>
                    <w:spacing w:line="240" w:lineRule="auto"/>
                    <w:ind w:firstLine="0" w:firstLineChars="0"/>
                    <w:jc w:val="both"/>
                    <w:textAlignment w:val="center"/>
                    <w:rPr>
                      <w:rFonts w:hint="default" w:ascii="Times New Roman" w:hAnsi="Times New Roman" w:eastAsia="宋体" w:cs="Times New Roman"/>
                      <w:color w:val="auto"/>
                      <w:kern w:val="0"/>
                      <w:szCs w:val="21"/>
                      <w:u w:val="none"/>
                      <w:lang w:val="en-US" w:eastAsia="zh-CN"/>
                    </w:rPr>
                  </w:pPr>
                  <w:r>
                    <w:rPr>
                      <w:rFonts w:hint="eastAsia" w:ascii="Times New Roman" w:hAnsi="Times New Roman" w:eastAsia="宋体" w:cs="Times New Roman"/>
                      <w:color w:val="auto"/>
                      <w:kern w:val="0"/>
                      <w:szCs w:val="21"/>
                      <w:u w:val="none"/>
                      <w:lang w:val="en-US" w:eastAsia="zh-CN"/>
                    </w:rPr>
                    <w:t>项目建成后将严格落实本评价提出的各项环境保护措施和风险防范措施，项目将制定突发环境事件应急预案并备案；项目不属于土壤重点污染监管单位。</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1F660AD9">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符合</w:t>
                  </w:r>
                </w:p>
              </w:tc>
            </w:tr>
            <w:tr w14:paraId="07E5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1A5F4B3D">
                  <w:pPr>
                    <w:adjustRightInd w:val="0"/>
                    <w:snapToGrid w:val="0"/>
                    <w:spacing w:line="240" w:lineRule="auto"/>
                    <w:ind w:firstLine="0" w:firstLineChars="0"/>
                    <w:jc w:val="center"/>
                    <w:rPr>
                      <w:rFonts w:hint="eastAsia" w:ascii="Times New Roman" w:hAnsi="Times New Roman" w:eastAsia="宋体" w:cs="Times New Roman"/>
                      <w:bCs/>
                      <w:color w:val="auto"/>
                      <w:szCs w:val="21"/>
                      <w:u w:val="none"/>
                      <w:lang w:val="en-US" w:eastAsia="zh-CN"/>
                    </w:rPr>
                  </w:pPr>
                  <w:r>
                    <w:rPr>
                      <w:rFonts w:hint="eastAsia" w:ascii="Times New Roman" w:hAnsi="Times New Roman" w:eastAsia="宋体" w:cs="Times New Roman"/>
                      <w:bCs/>
                      <w:color w:val="auto"/>
                      <w:szCs w:val="21"/>
                      <w:u w:val="none"/>
                      <w:lang w:val="en-US" w:eastAsia="zh-CN"/>
                    </w:rPr>
                    <w:t>资源开发利用效率要求</w:t>
                  </w:r>
                </w:p>
              </w:tc>
              <w:tc>
                <w:tcPr>
                  <w:tcW w:w="4344" w:type="dxa"/>
                  <w:tcBorders>
                    <w:top w:val="single" w:color="auto" w:sz="4" w:space="0"/>
                    <w:left w:val="single" w:color="auto" w:sz="4" w:space="0"/>
                    <w:bottom w:val="single" w:color="auto" w:sz="4" w:space="0"/>
                    <w:right w:val="single" w:color="auto" w:sz="4" w:space="0"/>
                  </w:tcBorders>
                  <w:noWrap w:val="0"/>
                  <w:vAlign w:val="center"/>
                </w:tcPr>
                <w:p w14:paraId="17A47A30">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高污染燃料禁燃区内在集中供热管网或者燃气管网覆盖范围内的单台出力小于20蒸吨/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单台出力65蒸吨/小时以上燃煤机组按照国家相关污染物排放标准有序开展超低排放改造。禁燃区内禁止新建、扩建燃用高污染燃料的锅炉、窑炉等燃烧设施。（依据《钦州市人民政府关于划定高污染燃料禁燃区的通告》，高污染燃料为：</w:t>
                  </w:r>
                </w:p>
                <w:p w14:paraId="6366FC62">
                  <w:pPr>
                    <w:widowControl/>
                    <w:adjustRightInd w:val="0"/>
                    <w:snapToGrid w:val="0"/>
                    <w:spacing w:line="240" w:lineRule="auto"/>
                    <w:ind w:firstLine="0" w:firstLineChars="0"/>
                    <w:textAlignment w:val="center"/>
                    <w:rPr>
                      <w:rFonts w:hint="eastAsia" w:ascii="Times New Roman" w:hAnsi="Times New Roman"/>
                      <w:color w:val="auto"/>
                      <w:kern w:val="0"/>
                      <w:szCs w:val="21"/>
                      <w:u w:val="none"/>
                      <w:lang w:bidi="ar"/>
                    </w:rPr>
                  </w:pPr>
                  <w:r>
                    <w:rPr>
                      <w:rFonts w:hint="eastAsia" w:ascii="Times New Roman" w:hAnsi="Times New Roman"/>
                      <w:color w:val="auto"/>
                      <w:kern w:val="0"/>
                      <w:szCs w:val="21"/>
                      <w:u w:val="none"/>
                      <w:lang w:bidi="ar"/>
                    </w:rPr>
                    <w:t>（一）除单台出力大于等于20蒸吨/小时锅炉以外的燃用煤炭及其制品；（二）石油焦、油页岩、原油、重油、渣油、煤焦油，以及各种可燃废物和直接燃用的生物质非成型燃料〈树木、秸秆、锯末、稻壳、蔗渣等〉）。</w:t>
                  </w: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8F7CA21">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Cs w:val="21"/>
                      <w:u w:val="none"/>
                      <w:lang w:val="en-US" w:eastAsia="zh-CN"/>
                    </w:rPr>
                  </w:pPr>
                  <w:r>
                    <w:rPr>
                      <w:rFonts w:hint="eastAsia" w:ascii="Times New Roman" w:hAnsi="Times New Roman"/>
                      <w:color w:val="auto"/>
                      <w:kern w:val="0"/>
                      <w:szCs w:val="21"/>
                      <w:u w:val="none"/>
                      <w:lang w:val="en-US" w:eastAsia="zh-CN" w:bidi="ar"/>
                    </w:rPr>
                    <w:t>项目不涉及使用燃料。</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2DDD80BB">
                  <w:pPr>
                    <w:widowControl/>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Cs w:val="21"/>
                      <w:u w:val="none"/>
                    </w:rPr>
                    <w:t>符合</w:t>
                  </w:r>
                </w:p>
              </w:tc>
            </w:tr>
          </w:tbl>
          <w:p w14:paraId="234EEEE3">
            <w:pPr>
              <w:spacing w:line="500" w:lineRule="exact"/>
              <w:jc w:val="center"/>
              <w:rPr>
                <w:rFonts w:hint="eastAsia" w:ascii="Times New Roman" w:hAnsi="Times New Roman" w:eastAsia="宋体" w:cs="Times New Roman"/>
                <w:b/>
                <w:bCs/>
                <w:color w:val="auto"/>
                <w:kern w:val="0"/>
                <w:sz w:val="24"/>
                <w:u w:val="none"/>
                <w:lang w:val="en-US" w:eastAsia="zh-CN"/>
              </w:rPr>
            </w:pPr>
            <w:r>
              <w:rPr>
                <w:rFonts w:hint="eastAsia" w:ascii="Times New Roman" w:hAnsi="Times New Roman" w:eastAsia="宋体" w:cs="Times New Roman"/>
                <w:b/>
                <w:bCs/>
                <w:color w:val="auto"/>
                <w:kern w:val="0"/>
                <w:sz w:val="24"/>
                <w:u w:val="none"/>
                <w:lang w:val="en-US" w:eastAsia="zh-CN"/>
              </w:rPr>
              <w:t>表1-</w:t>
            </w:r>
            <w:r>
              <w:rPr>
                <w:rFonts w:hint="eastAsia" w:cs="Times New Roman"/>
                <w:b/>
                <w:bCs/>
                <w:color w:val="auto"/>
                <w:kern w:val="0"/>
                <w:sz w:val="24"/>
                <w:u w:val="none"/>
                <w:lang w:val="en-US" w:eastAsia="zh-CN"/>
              </w:rPr>
              <w:t>5</w:t>
            </w:r>
            <w:r>
              <w:rPr>
                <w:rFonts w:hint="eastAsia" w:ascii="Times New Roman" w:hAnsi="Times New Roman" w:eastAsia="宋体" w:cs="Times New Roman"/>
                <w:b/>
                <w:bCs/>
                <w:color w:val="auto"/>
                <w:kern w:val="0"/>
                <w:sz w:val="24"/>
                <w:u w:val="none"/>
                <w:lang w:val="en-US" w:eastAsia="zh-CN"/>
              </w:rPr>
              <w:t>与北部湾经济区生态环境总体准入及管控要求的相符性</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
              <w:gridCol w:w="803"/>
              <w:gridCol w:w="595"/>
              <w:gridCol w:w="3181"/>
              <w:gridCol w:w="1336"/>
              <w:gridCol w:w="479"/>
            </w:tblGrid>
            <w:tr w14:paraId="3152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89" w:type="pct"/>
                  <w:tcBorders>
                    <w:top w:val="single" w:color="auto" w:sz="4" w:space="0"/>
                    <w:left w:val="single" w:color="auto" w:sz="4" w:space="0"/>
                    <w:bottom w:val="single" w:color="auto" w:sz="4" w:space="0"/>
                    <w:right w:val="single" w:color="auto" w:sz="4" w:space="0"/>
                  </w:tcBorders>
                  <w:noWrap w:val="0"/>
                  <w:vAlign w:val="center"/>
                </w:tcPr>
                <w:p w14:paraId="1D111C33">
                  <w:pPr>
                    <w:adjustRightInd w:val="0"/>
                    <w:snapToGrid w:val="0"/>
                    <w:jc w:val="center"/>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适用</w:t>
                  </w:r>
                </w:p>
                <w:p w14:paraId="3F9F44D5">
                  <w:pPr>
                    <w:adjustRightInd w:val="0"/>
                    <w:snapToGrid w:val="0"/>
                    <w:jc w:val="center"/>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分区</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37F25BCE">
                  <w:pPr>
                    <w:adjustRightInd w:val="0"/>
                    <w:snapToGrid w:val="0"/>
                    <w:jc w:val="center"/>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适用对象</w:t>
                  </w:r>
                </w:p>
              </w:tc>
              <w:tc>
                <w:tcPr>
                  <w:tcW w:w="438" w:type="pct"/>
                  <w:tcBorders>
                    <w:top w:val="single" w:color="auto" w:sz="4" w:space="0"/>
                    <w:left w:val="single" w:color="auto" w:sz="4" w:space="0"/>
                    <w:bottom w:val="single" w:color="auto" w:sz="4" w:space="0"/>
                    <w:right w:val="single" w:color="auto" w:sz="4" w:space="0"/>
                  </w:tcBorders>
                  <w:noWrap w:val="0"/>
                  <w:vAlign w:val="center"/>
                </w:tcPr>
                <w:p w14:paraId="303FBF0F">
                  <w:pPr>
                    <w:adjustRightInd w:val="0"/>
                    <w:snapToGrid w:val="0"/>
                    <w:jc w:val="center"/>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管控要求</w:t>
                  </w:r>
                </w:p>
                <w:p w14:paraId="41AEACEF">
                  <w:pPr>
                    <w:adjustRightInd w:val="0"/>
                    <w:snapToGrid w:val="0"/>
                    <w:jc w:val="center"/>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类别</w:t>
                  </w:r>
                </w:p>
              </w:tc>
              <w:tc>
                <w:tcPr>
                  <w:tcW w:w="2343" w:type="pct"/>
                  <w:tcBorders>
                    <w:top w:val="single" w:color="auto" w:sz="4" w:space="0"/>
                    <w:left w:val="single" w:color="auto" w:sz="4" w:space="0"/>
                    <w:bottom w:val="single" w:color="auto" w:sz="4" w:space="0"/>
                    <w:right w:val="single" w:color="auto" w:sz="4" w:space="0"/>
                  </w:tcBorders>
                  <w:noWrap w:val="0"/>
                  <w:vAlign w:val="center"/>
                </w:tcPr>
                <w:p w14:paraId="07318C3B">
                  <w:pPr>
                    <w:adjustRightInd w:val="0"/>
                    <w:snapToGrid w:val="0"/>
                    <w:jc w:val="center"/>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生态环境准入及管控要求</w:t>
                  </w:r>
                </w:p>
              </w:tc>
              <w:tc>
                <w:tcPr>
                  <w:tcW w:w="984" w:type="pct"/>
                  <w:tcBorders>
                    <w:top w:val="single" w:color="auto" w:sz="4" w:space="0"/>
                    <w:left w:val="single" w:color="auto" w:sz="4" w:space="0"/>
                    <w:bottom w:val="single" w:color="auto" w:sz="4" w:space="0"/>
                    <w:right w:val="single" w:color="auto" w:sz="4" w:space="0"/>
                  </w:tcBorders>
                  <w:noWrap w:val="0"/>
                  <w:vAlign w:val="center"/>
                </w:tcPr>
                <w:p w14:paraId="6BF13890">
                  <w:pPr>
                    <w:adjustRightInd w:val="0"/>
                    <w:snapToGrid w:val="0"/>
                    <w:jc w:val="center"/>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项目情况</w:t>
                  </w:r>
                </w:p>
              </w:tc>
              <w:tc>
                <w:tcPr>
                  <w:tcW w:w="352" w:type="pct"/>
                  <w:tcBorders>
                    <w:top w:val="single" w:color="auto" w:sz="4" w:space="0"/>
                    <w:left w:val="single" w:color="auto" w:sz="4" w:space="0"/>
                    <w:bottom w:val="single" w:color="auto" w:sz="4" w:space="0"/>
                    <w:right w:val="single" w:color="auto" w:sz="4" w:space="0"/>
                  </w:tcBorders>
                  <w:noWrap w:val="0"/>
                  <w:vAlign w:val="center"/>
                </w:tcPr>
                <w:p w14:paraId="69FF027E">
                  <w:pPr>
                    <w:adjustRightInd w:val="0"/>
                    <w:snapToGrid w:val="0"/>
                    <w:jc w:val="center"/>
                    <w:rPr>
                      <w:rFonts w:eastAsia="宋体"/>
                      <w:bCs/>
                      <w:color w:val="auto"/>
                      <w:sz w:val="21"/>
                      <w:szCs w:val="21"/>
                      <w:u w:val="none"/>
                    </w:rPr>
                  </w:pPr>
                  <w:r>
                    <w:rPr>
                      <w:rFonts w:eastAsia="宋体"/>
                      <w:bCs/>
                      <w:color w:val="auto"/>
                      <w:sz w:val="21"/>
                      <w:szCs w:val="21"/>
                      <w:u w:val="none"/>
                    </w:rPr>
                    <w:t>符合性</w:t>
                  </w:r>
                </w:p>
              </w:tc>
            </w:tr>
            <w:tr w14:paraId="34F9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Merge w:val="restart"/>
                  <w:tcBorders>
                    <w:top w:val="nil"/>
                    <w:left w:val="single" w:color="auto" w:sz="4" w:space="0"/>
                    <w:right w:val="single" w:color="auto" w:sz="4" w:space="0"/>
                  </w:tcBorders>
                  <w:noWrap w:val="0"/>
                  <w:vAlign w:val="center"/>
                </w:tcPr>
                <w:p w14:paraId="63262698">
                  <w:pPr>
                    <w:adjustRightInd w:val="0"/>
                    <w:snapToGrid w:val="0"/>
                    <w:jc w:val="center"/>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北部湾经济区全部分区</w:t>
                  </w:r>
                </w:p>
              </w:tc>
              <w:tc>
                <w:tcPr>
                  <w:tcW w:w="591" w:type="pct"/>
                  <w:vMerge w:val="restart"/>
                  <w:tcBorders>
                    <w:top w:val="nil"/>
                    <w:left w:val="single" w:color="auto" w:sz="4" w:space="0"/>
                    <w:right w:val="single" w:color="auto" w:sz="4" w:space="0"/>
                  </w:tcBorders>
                  <w:noWrap w:val="0"/>
                  <w:vAlign w:val="center"/>
                </w:tcPr>
                <w:p w14:paraId="0C22BA38">
                  <w:pPr>
                    <w:adjustRightInd w:val="0"/>
                    <w:snapToGrid w:val="0"/>
                    <w:jc w:val="center"/>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北部湾经济区（本清单适用于南宁市、北海市、钦州市、防城港市和玉林市）</w:t>
                  </w:r>
                </w:p>
              </w:tc>
              <w:tc>
                <w:tcPr>
                  <w:tcW w:w="438" w:type="pct"/>
                  <w:tcBorders>
                    <w:top w:val="single" w:color="auto" w:sz="4" w:space="0"/>
                    <w:left w:val="single" w:color="auto" w:sz="4" w:space="0"/>
                    <w:bottom w:val="single" w:color="auto" w:sz="4" w:space="0"/>
                    <w:right w:val="single" w:color="auto" w:sz="4" w:space="0"/>
                  </w:tcBorders>
                  <w:noWrap w:val="0"/>
                  <w:vAlign w:val="center"/>
                </w:tcPr>
                <w:p w14:paraId="5D08C274">
                  <w:pPr>
                    <w:adjustRightInd w:val="0"/>
                    <w:snapToGrid w:val="0"/>
                    <w:jc w:val="center"/>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空间</w:t>
                  </w:r>
                </w:p>
                <w:p w14:paraId="0C1EC568">
                  <w:pPr>
                    <w:adjustRightInd w:val="0"/>
                    <w:snapToGrid w:val="0"/>
                    <w:jc w:val="center"/>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布局约束</w:t>
                  </w:r>
                </w:p>
              </w:tc>
              <w:tc>
                <w:tcPr>
                  <w:tcW w:w="2343" w:type="pct"/>
                  <w:tcBorders>
                    <w:top w:val="single" w:color="auto" w:sz="4" w:space="0"/>
                    <w:left w:val="single" w:color="auto" w:sz="4" w:space="0"/>
                    <w:bottom w:val="single" w:color="auto" w:sz="4" w:space="0"/>
                    <w:right w:val="single" w:color="auto" w:sz="4" w:space="0"/>
                  </w:tcBorders>
                  <w:noWrap w:val="0"/>
                  <w:vAlign w:val="center"/>
                </w:tcPr>
                <w:p w14:paraId="4AF65B0F">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1．坚持高质量发展和高水平保护并重，引领广西高质量发展的重要增长极和成为具有区域影响力和带动力的重要增长极，建设宜居宜业宜游蓝色生态湾区。</w:t>
                  </w:r>
                </w:p>
                <w:p w14:paraId="59C8C355">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2．实行严格的资源环境生态红线管控，合理开发和节约资源，加强对水源林、防护林、湿地等生态系统的保护与修复。</w:t>
                  </w:r>
                </w:p>
                <w:p w14:paraId="18304A99">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3．加大滨海湿地保护和修复力度，对红树林、珊瑚礁、海草床等重要海洋生态系统实行最严格的保护措施，加强珍稀濒危物种及重要海洋生态系统的生境保护。加强沿海防护林体系建设，加强对防城江、北仑河、钦江等重要江河源头区、湖库型饮用水源地等区域水土流失预防。推进互花米草防治。</w:t>
                  </w:r>
                </w:p>
                <w:p w14:paraId="6B95680E">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4．严格围填海管控，禁止在海域内实施连岛行动。保护北部湾自然岸线，严格控制岸线利用项目准入门槛。合理有序开发利用滩涂资源。</w:t>
                  </w:r>
                </w:p>
                <w:p w14:paraId="405BFD1F">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5．南流江流域、廉州湾海域超过环境承载力的县市区严格区域主要污染物管控要求，新改扩“两高”、重点行业建设项目实行主要污染物区域削减方案。廉州湾沿岸新设排污口选址必须符合《中华人民共和国海洋环境保护法》《</w:t>
                  </w:r>
                  <w:r>
                    <w:rPr>
                      <w:rFonts w:hint="eastAsia" w:cs="Times New Roman"/>
                      <w:bCs/>
                      <w:color w:val="auto"/>
                      <w:sz w:val="21"/>
                      <w:szCs w:val="21"/>
                      <w:u w:val="none"/>
                      <w:lang w:eastAsia="zh-CN"/>
                    </w:rPr>
                    <w:t>中华人民共和国防治陆源污染物污染损害海洋环境管理条例</w:t>
                  </w:r>
                  <w:r>
                    <w:rPr>
                      <w:rFonts w:hint="default" w:ascii="Times New Roman" w:hAnsi="Times New Roman" w:eastAsia="宋体" w:cs="Times New Roman"/>
                      <w:bCs/>
                      <w:color w:val="auto"/>
                      <w:sz w:val="21"/>
                      <w:szCs w:val="21"/>
                      <w:u w:val="none"/>
                    </w:rPr>
                    <w:t>》等有关规定。</w:t>
                  </w:r>
                </w:p>
                <w:p w14:paraId="2D91DDE0">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6．依法依规推动落后产能有序退出。</w:t>
                  </w:r>
                </w:p>
                <w:p w14:paraId="6CB459C3">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7．严禁占用运河沿线两岸1公里范围内预留作为生态廊道的用地，科学规划平陆运河沿岸生态廊道空间和开发保护核心管制区。</w:t>
                  </w:r>
                </w:p>
                <w:p w14:paraId="319C67D9">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8．执行平陆运河绿色工程防范管控重点清单、打造特色亮点清单，平陆运河绿色工程评估指标体系。</w:t>
                  </w:r>
                </w:p>
              </w:tc>
              <w:tc>
                <w:tcPr>
                  <w:tcW w:w="984" w:type="pct"/>
                  <w:tcBorders>
                    <w:top w:val="single" w:color="auto" w:sz="4" w:space="0"/>
                    <w:left w:val="single" w:color="auto" w:sz="4" w:space="0"/>
                    <w:bottom w:val="single" w:color="auto" w:sz="4" w:space="0"/>
                    <w:right w:val="single" w:color="auto" w:sz="4" w:space="0"/>
                  </w:tcBorders>
                  <w:noWrap w:val="0"/>
                  <w:vAlign w:val="center"/>
                </w:tcPr>
                <w:p w14:paraId="55147071">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1、项目为</w:t>
                  </w:r>
                  <w:r>
                    <w:rPr>
                      <w:rFonts w:hint="eastAsia" w:ascii="Times New Roman" w:hAnsi="Times New Roman" w:eastAsia="宋体" w:cs="Times New Roman"/>
                      <w:bCs/>
                      <w:color w:val="auto"/>
                      <w:sz w:val="21"/>
                      <w:szCs w:val="21"/>
                      <w:u w:val="none"/>
                      <w:lang w:val="en-US" w:eastAsia="zh-CN"/>
                    </w:rPr>
                    <w:t>危险化学品仓储项目</w:t>
                  </w:r>
                  <w:r>
                    <w:rPr>
                      <w:rFonts w:hint="default" w:ascii="Times New Roman" w:hAnsi="Times New Roman" w:eastAsia="宋体" w:cs="Times New Roman"/>
                      <w:bCs/>
                      <w:color w:val="auto"/>
                      <w:sz w:val="21"/>
                      <w:szCs w:val="21"/>
                      <w:u w:val="none"/>
                    </w:rPr>
                    <w:t>，符合相关要求。</w:t>
                  </w:r>
                </w:p>
                <w:p w14:paraId="6D204C86">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2、项目</w:t>
                  </w:r>
                  <w:r>
                    <w:rPr>
                      <w:rFonts w:hint="default" w:ascii="Times New Roman" w:hAnsi="Times New Roman" w:eastAsia="宋体" w:cs="Times New Roman"/>
                      <w:bCs/>
                      <w:color w:val="auto"/>
                      <w:sz w:val="21"/>
                      <w:szCs w:val="21"/>
                      <w:u w:val="none"/>
                      <w:lang w:val="en-US" w:eastAsia="zh-CN"/>
                    </w:rPr>
                    <w:t>符合资源环境生态红线管控要求</w:t>
                  </w:r>
                  <w:r>
                    <w:rPr>
                      <w:rFonts w:hint="default" w:ascii="Times New Roman" w:hAnsi="Times New Roman" w:eastAsia="宋体" w:cs="Times New Roman"/>
                      <w:bCs/>
                      <w:color w:val="auto"/>
                      <w:sz w:val="21"/>
                      <w:szCs w:val="21"/>
                      <w:u w:val="none"/>
                    </w:rPr>
                    <w:t xml:space="preserve">。 </w:t>
                  </w:r>
                </w:p>
                <w:p w14:paraId="0C9FFFAC">
                  <w:pPr>
                    <w:adjustRightInd w:val="0"/>
                    <w:snapToGrid w:val="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rPr>
                    <w:t>3、项目不涉及</w:t>
                  </w:r>
                  <w:r>
                    <w:rPr>
                      <w:rFonts w:hint="default" w:ascii="Times New Roman" w:hAnsi="Times New Roman" w:eastAsia="宋体" w:cs="Times New Roman"/>
                      <w:bCs/>
                      <w:color w:val="auto"/>
                      <w:sz w:val="21"/>
                      <w:szCs w:val="21"/>
                      <w:u w:val="none"/>
                      <w:lang w:val="en-US" w:eastAsia="zh-CN"/>
                    </w:rPr>
                    <w:t>滨海湿地、红树林、珊瑚</w:t>
                  </w:r>
                  <w:r>
                    <w:rPr>
                      <w:rFonts w:hint="default" w:ascii="Times New Roman" w:hAnsi="Times New Roman" w:eastAsia="宋体" w:cs="Times New Roman"/>
                      <w:bCs/>
                      <w:color w:val="auto"/>
                      <w:sz w:val="21"/>
                      <w:szCs w:val="21"/>
                      <w:u w:val="none"/>
                    </w:rPr>
                    <w:t>礁</w:t>
                  </w:r>
                  <w:r>
                    <w:rPr>
                      <w:rFonts w:hint="default" w:ascii="Times New Roman" w:hAnsi="Times New Roman" w:eastAsia="宋体" w:cs="Times New Roman"/>
                      <w:bCs/>
                      <w:color w:val="auto"/>
                      <w:sz w:val="21"/>
                      <w:szCs w:val="21"/>
                      <w:u w:val="none"/>
                      <w:lang w:val="en-US" w:eastAsia="zh-CN"/>
                    </w:rPr>
                    <w:t>等海洋生态系统。</w:t>
                  </w:r>
                </w:p>
                <w:p w14:paraId="31437F9F">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4、项目不涉及</w:t>
                  </w:r>
                  <w:r>
                    <w:rPr>
                      <w:rFonts w:hint="default" w:ascii="Times New Roman" w:hAnsi="Times New Roman" w:eastAsia="宋体" w:cs="Times New Roman"/>
                      <w:bCs/>
                      <w:color w:val="auto"/>
                      <w:sz w:val="21"/>
                      <w:szCs w:val="21"/>
                      <w:u w:val="none"/>
                      <w:lang w:val="en-US" w:eastAsia="zh-CN"/>
                    </w:rPr>
                    <w:t>开发利用滩涂资源。</w:t>
                  </w:r>
                </w:p>
                <w:p w14:paraId="6E66E9B9">
                  <w:pPr>
                    <w:adjustRightInd w:val="0"/>
                    <w:snapToGrid w:val="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rPr>
                    <w:t>5、</w:t>
                  </w:r>
                  <w:r>
                    <w:rPr>
                      <w:rFonts w:hint="default" w:ascii="Times New Roman" w:hAnsi="Times New Roman" w:eastAsia="宋体" w:cs="Times New Roman"/>
                      <w:bCs/>
                      <w:color w:val="auto"/>
                      <w:sz w:val="21"/>
                      <w:szCs w:val="21"/>
                      <w:u w:val="none"/>
                      <w:lang w:val="en-US" w:eastAsia="zh-CN"/>
                    </w:rPr>
                    <w:t>项目不涉及南流江流域、廉州湾海域。</w:t>
                  </w:r>
                </w:p>
                <w:p w14:paraId="491AFB15">
                  <w:pPr>
                    <w:adjustRightInd w:val="0"/>
                    <w:snapToGrid w:val="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6、项目不属于产能落后行业。</w:t>
                  </w:r>
                </w:p>
                <w:p w14:paraId="7F37C9EE">
                  <w:pPr>
                    <w:adjustRightInd w:val="0"/>
                    <w:snapToGrid w:val="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7、项目位于钦州石化产业园内，用地为</w:t>
                  </w:r>
                  <w:r>
                    <w:rPr>
                      <w:rFonts w:hint="eastAsia" w:cs="Times New Roman"/>
                      <w:bCs/>
                      <w:color w:val="auto"/>
                      <w:sz w:val="21"/>
                      <w:szCs w:val="21"/>
                      <w:u w:val="none"/>
                      <w:lang w:val="en-US" w:eastAsia="zh-CN"/>
                    </w:rPr>
                    <w:t>工业</w:t>
                  </w:r>
                  <w:r>
                    <w:rPr>
                      <w:rFonts w:hint="default" w:ascii="Times New Roman" w:hAnsi="Times New Roman" w:eastAsia="宋体" w:cs="Times New Roman"/>
                      <w:bCs/>
                      <w:color w:val="auto"/>
                      <w:sz w:val="21"/>
                      <w:szCs w:val="21"/>
                      <w:u w:val="none"/>
                      <w:lang w:val="en-US" w:eastAsia="zh-CN"/>
                    </w:rPr>
                    <w:t>用地，不涉及平陆运河沿岸生态廊道空间和开发保护核心管制区。</w:t>
                  </w:r>
                </w:p>
                <w:p w14:paraId="778D8837">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lang w:val="en-US" w:eastAsia="zh-CN"/>
                    </w:rPr>
                    <w:t>8、项目不涉及平陆运河</w:t>
                  </w:r>
                  <w:r>
                    <w:rPr>
                      <w:rFonts w:hint="default" w:ascii="Times New Roman" w:hAnsi="Times New Roman" w:eastAsia="宋体" w:cs="Times New Roman"/>
                      <w:bCs/>
                      <w:color w:val="auto"/>
                      <w:sz w:val="21"/>
                      <w:szCs w:val="21"/>
                      <w:u w:val="none"/>
                    </w:rPr>
                    <w:t>。</w:t>
                  </w:r>
                </w:p>
              </w:tc>
              <w:tc>
                <w:tcPr>
                  <w:tcW w:w="352" w:type="pct"/>
                  <w:tcBorders>
                    <w:top w:val="single" w:color="auto" w:sz="4" w:space="0"/>
                    <w:left w:val="single" w:color="auto" w:sz="4" w:space="0"/>
                    <w:bottom w:val="single" w:color="auto" w:sz="4" w:space="0"/>
                    <w:right w:val="single" w:color="auto" w:sz="4" w:space="0"/>
                  </w:tcBorders>
                  <w:noWrap w:val="0"/>
                  <w:vAlign w:val="center"/>
                </w:tcPr>
                <w:p w14:paraId="7CB713DC">
                  <w:pPr>
                    <w:adjustRightInd w:val="0"/>
                    <w:snapToGrid w:val="0"/>
                    <w:jc w:val="center"/>
                    <w:rPr>
                      <w:rFonts w:eastAsia="宋体"/>
                      <w:bCs/>
                      <w:color w:val="auto"/>
                      <w:sz w:val="21"/>
                      <w:szCs w:val="21"/>
                      <w:u w:val="none"/>
                    </w:rPr>
                  </w:pPr>
                  <w:r>
                    <w:rPr>
                      <w:rFonts w:eastAsia="宋体"/>
                      <w:bCs/>
                      <w:color w:val="auto"/>
                      <w:sz w:val="21"/>
                      <w:szCs w:val="21"/>
                      <w:u w:val="none"/>
                    </w:rPr>
                    <w:t>符合</w:t>
                  </w:r>
                </w:p>
              </w:tc>
            </w:tr>
            <w:tr w14:paraId="2286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Merge w:val="continue"/>
                  <w:tcBorders>
                    <w:left w:val="single" w:color="auto" w:sz="4" w:space="0"/>
                    <w:right w:val="single" w:color="auto" w:sz="4" w:space="0"/>
                  </w:tcBorders>
                  <w:noWrap w:val="0"/>
                  <w:vAlign w:val="center"/>
                </w:tcPr>
                <w:p w14:paraId="0B96D2CA">
                  <w:pPr>
                    <w:adjustRightInd w:val="0"/>
                    <w:snapToGrid w:val="0"/>
                    <w:jc w:val="center"/>
                    <w:rPr>
                      <w:rFonts w:hint="default" w:ascii="Times New Roman" w:hAnsi="Times New Roman" w:eastAsia="宋体" w:cs="Times New Roman"/>
                      <w:bCs/>
                      <w:color w:val="auto"/>
                      <w:sz w:val="21"/>
                      <w:szCs w:val="21"/>
                      <w:u w:val="none"/>
                    </w:rPr>
                  </w:pPr>
                </w:p>
              </w:tc>
              <w:tc>
                <w:tcPr>
                  <w:tcW w:w="591" w:type="pct"/>
                  <w:vMerge w:val="continue"/>
                  <w:tcBorders>
                    <w:left w:val="single" w:color="auto" w:sz="4" w:space="0"/>
                    <w:right w:val="single" w:color="auto" w:sz="4" w:space="0"/>
                  </w:tcBorders>
                  <w:noWrap w:val="0"/>
                  <w:vAlign w:val="center"/>
                </w:tcPr>
                <w:p w14:paraId="32C1E24A">
                  <w:pPr>
                    <w:adjustRightInd w:val="0"/>
                    <w:snapToGrid w:val="0"/>
                    <w:jc w:val="center"/>
                    <w:rPr>
                      <w:rFonts w:hint="default" w:ascii="Times New Roman" w:hAnsi="Times New Roman" w:eastAsia="宋体" w:cs="Times New Roman"/>
                      <w:bCs/>
                      <w:color w:val="auto"/>
                      <w:sz w:val="21"/>
                      <w:szCs w:val="21"/>
                      <w:u w:val="none"/>
                    </w:rPr>
                  </w:pPr>
                </w:p>
              </w:tc>
              <w:tc>
                <w:tcPr>
                  <w:tcW w:w="438" w:type="pct"/>
                  <w:tcBorders>
                    <w:top w:val="single" w:color="auto" w:sz="4" w:space="0"/>
                    <w:left w:val="single" w:color="auto" w:sz="4" w:space="0"/>
                    <w:bottom w:val="single" w:color="auto" w:sz="4" w:space="0"/>
                    <w:right w:val="single" w:color="auto" w:sz="4" w:space="0"/>
                  </w:tcBorders>
                  <w:noWrap w:val="0"/>
                  <w:vAlign w:val="center"/>
                </w:tcPr>
                <w:p w14:paraId="3FFAC78B">
                  <w:pPr>
                    <w:adjustRightInd w:val="0"/>
                    <w:snapToGrid w:val="0"/>
                    <w:jc w:val="center"/>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污染物排放管控</w:t>
                  </w:r>
                </w:p>
              </w:tc>
              <w:tc>
                <w:tcPr>
                  <w:tcW w:w="2343" w:type="pct"/>
                  <w:tcBorders>
                    <w:top w:val="single" w:color="auto" w:sz="4" w:space="0"/>
                    <w:left w:val="single" w:color="auto" w:sz="4" w:space="0"/>
                    <w:bottom w:val="single" w:color="auto" w:sz="4" w:space="0"/>
                    <w:right w:val="single" w:color="auto" w:sz="4" w:space="0"/>
                  </w:tcBorders>
                  <w:noWrap w:val="0"/>
                  <w:vAlign w:val="center"/>
                </w:tcPr>
                <w:p w14:paraId="632134ED">
                  <w:pPr>
                    <w:adjustRightInd w:val="0"/>
                    <w:snapToGrid w:val="0"/>
                    <w:jc w:val="left"/>
                    <w:rPr>
                      <w:rFonts w:hint="default" w:ascii="Times New Roman" w:hAnsi="Times New Roman" w:eastAsia="宋体" w:cs="Times New Roman"/>
                      <w:bCs/>
                      <w:color w:val="auto"/>
                      <w:sz w:val="21"/>
                      <w:szCs w:val="21"/>
                      <w:u w:val="none"/>
                    </w:rPr>
                  </w:pPr>
                  <w:r>
                    <w:rPr>
                      <w:rFonts w:hint="eastAsia" w:cs="Times New Roman"/>
                      <w:bCs/>
                      <w:color w:val="auto"/>
                      <w:sz w:val="21"/>
                      <w:szCs w:val="21"/>
                      <w:u w:val="none"/>
                      <w:lang w:val="en-US" w:eastAsia="zh-CN"/>
                    </w:rPr>
                    <w:t>1</w:t>
                  </w:r>
                  <w:r>
                    <w:rPr>
                      <w:rFonts w:hint="default" w:ascii="Times New Roman" w:hAnsi="Times New Roman" w:eastAsia="宋体" w:cs="Times New Roman"/>
                      <w:bCs/>
                      <w:color w:val="auto"/>
                      <w:sz w:val="21"/>
                      <w:szCs w:val="21"/>
                      <w:u w:val="none"/>
                    </w:rPr>
                    <w:t>．坚持陆海统筹，强化重大海域、入海河流、海岸带的生态环境统筹协同管控，开展北部湾沿海城市生态环境综合治理。推行河长制、湖长制，持续推进钦江、南流江、九洲江等流域综合治理，鼓励施行生态养殖和清洁生产，从源头控制生产、生活污水排放。推行湾长制，协同推进近岸海域污染治理，实施蓝色海湾整治行动和北部湾入海河流综合治理工程，严格控制水产养殖污染、港口码头船舶污染、采沙污染。</w:t>
                  </w:r>
                </w:p>
                <w:p w14:paraId="5AA478C2">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2．围绕建设蓝色海湾城市群，深入推进北钦防生态环境基础设施一体化，统筹推进北钦防三市生态环境齐保共治。加强港口码头环境保护基础设施建设，重点加强有色矿产、硫磺、煤等堆场配套环保设施建设。建立生态环境联防联治平台和机制，推动建立北部湾城市群跨行政区生态环境保护和生态补偿机制。</w:t>
                  </w:r>
                </w:p>
                <w:p w14:paraId="3F2588BE">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3．推进区域大气污染联防联控。共同开展重点行业污染整治和重污染天气联合应对，加强挥发性有机化合物（VOCs）和氮氧化物（NOx）协同控制，协同应对区域多污染物，联合开展空气污染综合治理，改善空气质量。严格城市空气质量达标管理，改善城市环境空气质量，对大气质量改善进度进行监督和考核。</w:t>
                  </w:r>
                </w:p>
                <w:p w14:paraId="2BFD574A">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4．严格控制“两高”行业项目布局和建设，提升“两高”行业清洁生产和减污降碳水平。以碳达峰、碳中和愿景为导向，推动产业转型升级、能源结构优化。开展碳排放权、排污权交易试点。重点管控行业建设项目无主要污染物排放指标来源的，应提出有效的区域削减方案，确保项目投产后区域环境质量不恶化。</w:t>
                  </w:r>
                </w:p>
                <w:p w14:paraId="1808213F">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5．以平陆运河、北部湾港为重点，加强船舶和港口污染防治，加快淘汰老旧船舶，鼓励引导高能耗船舶技术改造升级和提前退出。推动新能源、清洁能源动力船舶应用，加快港口供电设施建设，提高船舶</w:t>
                  </w:r>
                  <w:r>
                    <w:rPr>
                      <w:rFonts w:hint="eastAsia" w:cs="Times New Roman"/>
                      <w:bCs/>
                      <w:color w:val="auto"/>
                      <w:sz w:val="21"/>
                      <w:szCs w:val="21"/>
                      <w:u w:val="none"/>
                      <w:lang w:eastAsia="zh-CN"/>
                    </w:rPr>
                    <w:t>供</w:t>
                  </w:r>
                  <w:r>
                    <w:rPr>
                      <w:rFonts w:hint="default" w:ascii="Times New Roman" w:hAnsi="Times New Roman" w:eastAsia="宋体" w:cs="Times New Roman"/>
                      <w:bCs/>
                      <w:color w:val="auto"/>
                      <w:sz w:val="21"/>
                      <w:szCs w:val="21"/>
                      <w:u w:val="none"/>
                    </w:rPr>
                    <w:t>电设施使用率。</w:t>
                  </w:r>
                </w:p>
                <w:p w14:paraId="4F35099E">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6．平陆运河沿线城市实施生活污水集中处理设施能力提升全覆盖工程，开展城市污水处理设施差别化精准提标改造。</w:t>
                  </w:r>
                </w:p>
              </w:tc>
              <w:tc>
                <w:tcPr>
                  <w:tcW w:w="984" w:type="pct"/>
                  <w:tcBorders>
                    <w:top w:val="single" w:color="auto" w:sz="4" w:space="0"/>
                    <w:left w:val="single" w:color="auto" w:sz="4" w:space="0"/>
                    <w:bottom w:val="single" w:color="auto" w:sz="4" w:space="0"/>
                    <w:right w:val="single" w:color="auto" w:sz="4" w:space="0"/>
                  </w:tcBorders>
                  <w:noWrap w:val="0"/>
                  <w:vAlign w:val="center"/>
                </w:tcPr>
                <w:p w14:paraId="761C28AB">
                  <w:pPr>
                    <w:adjustRightInd w:val="0"/>
                    <w:snapToGrid w:val="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rPr>
                    <w:t>1、</w:t>
                  </w:r>
                  <w:r>
                    <w:rPr>
                      <w:rFonts w:hint="default" w:ascii="Times New Roman" w:hAnsi="Times New Roman" w:eastAsia="宋体" w:cs="Times New Roman"/>
                      <w:bCs/>
                      <w:color w:val="auto"/>
                      <w:sz w:val="21"/>
                      <w:szCs w:val="21"/>
                      <w:u w:val="none"/>
                      <w:lang w:val="en-US" w:eastAsia="zh-CN"/>
                    </w:rPr>
                    <w:t>项目不涉及。</w:t>
                  </w:r>
                </w:p>
                <w:p w14:paraId="1074DE9C">
                  <w:pPr>
                    <w:adjustRightInd w:val="0"/>
                    <w:snapToGrid w:val="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2、项目不涉及。</w:t>
                  </w:r>
                </w:p>
                <w:p w14:paraId="65CA75C9">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lang w:val="en-US" w:eastAsia="zh-CN"/>
                    </w:rPr>
                    <w:t>3、</w:t>
                  </w:r>
                  <w:r>
                    <w:rPr>
                      <w:rFonts w:hint="default" w:ascii="Times New Roman" w:hAnsi="Times New Roman" w:eastAsia="宋体" w:cs="Times New Roman"/>
                      <w:bCs/>
                      <w:color w:val="auto"/>
                      <w:sz w:val="21"/>
                      <w:szCs w:val="21"/>
                      <w:u w:val="none"/>
                    </w:rPr>
                    <w:t>项目</w:t>
                  </w:r>
                  <w:r>
                    <w:rPr>
                      <w:rFonts w:hint="eastAsia" w:ascii="Times New Roman" w:hAnsi="Times New Roman" w:eastAsia="宋体" w:cs="Times New Roman"/>
                      <w:bCs/>
                      <w:color w:val="auto"/>
                      <w:sz w:val="21"/>
                      <w:szCs w:val="21"/>
                      <w:u w:val="none"/>
                      <w:lang w:val="en-US" w:eastAsia="zh-CN"/>
                    </w:rPr>
                    <w:t>危险化学品仓储过程中不涉及挥发性有机物贮存和排放</w:t>
                  </w:r>
                  <w:r>
                    <w:rPr>
                      <w:rFonts w:hint="default" w:ascii="Times New Roman" w:hAnsi="Times New Roman" w:eastAsia="宋体" w:cs="Times New Roman"/>
                      <w:bCs/>
                      <w:color w:val="auto"/>
                      <w:sz w:val="21"/>
                      <w:szCs w:val="21"/>
                      <w:u w:val="none"/>
                      <w:lang w:val="en-US" w:eastAsia="zh-CN"/>
                    </w:rPr>
                    <w:t>，项目的建设不会</w:t>
                  </w:r>
                  <w:r>
                    <w:rPr>
                      <w:rFonts w:hint="eastAsia" w:ascii="Times New Roman" w:hAnsi="Times New Roman" w:eastAsia="宋体" w:cs="Times New Roman"/>
                      <w:bCs/>
                      <w:color w:val="auto"/>
                      <w:sz w:val="21"/>
                      <w:szCs w:val="21"/>
                      <w:u w:val="none"/>
                      <w:lang w:val="en-US" w:eastAsia="zh-CN"/>
                    </w:rPr>
                    <w:t>造成</w:t>
                  </w:r>
                  <w:r>
                    <w:rPr>
                      <w:rFonts w:hint="default" w:ascii="Times New Roman" w:hAnsi="Times New Roman" w:eastAsia="宋体" w:cs="Times New Roman"/>
                      <w:bCs/>
                      <w:color w:val="auto"/>
                      <w:sz w:val="21"/>
                      <w:szCs w:val="21"/>
                      <w:u w:val="none"/>
                      <w:lang w:val="en-US" w:eastAsia="zh-CN"/>
                    </w:rPr>
                    <w:t>区域环境质量降级</w:t>
                  </w:r>
                  <w:r>
                    <w:rPr>
                      <w:rFonts w:hint="default" w:ascii="Times New Roman" w:hAnsi="Times New Roman" w:eastAsia="宋体" w:cs="Times New Roman"/>
                      <w:bCs/>
                      <w:color w:val="auto"/>
                      <w:sz w:val="21"/>
                      <w:szCs w:val="21"/>
                      <w:u w:val="none"/>
                    </w:rPr>
                    <w:t>。</w:t>
                  </w:r>
                </w:p>
                <w:p w14:paraId="173B59C3">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lang w:val="en-US" w:eastAsia="zh-CN"/>
                    </w:rPr>
                    <w:t>4</w:t>
                  </w:r>
                  <w:r>
                    <w:rPr>
                      <w:rFonts w:hint="default" w:ascii="Times New Roman" w:hAnsi="Times New Roman" w:eastAsia="宋体" w:cs="Times New Roman"/>
                      <w:bCs/>
                      <w:color w:val="auto"/>
                      <w:sz w:val="21"/>
                      <w:szCs w:val="21"/>
                      <w:u w:val="none"/>
                    </w:rPr>
                    <w:t>、项目不</w:t>
                  </w:r>
                  <w:r>
                    <w:rPr>
                      <w:rFonts w:hint="default" w:ascii="Times New Roman" w:hAnsi="Times New Roman" w:eastAsia="宋体" w:cs="Times New Roman"/>
                      <w:bCs/>
                      <w:color w:val="auto"/>
                      <w:sz w:val="21"/>
                      <w:szCs w:val="21"/>
                      <w:u w:val="none"/>
                      <w:lang w:val="en-US" w:eastAsia="zh-CN"/>
                    </w:rPr>
                    <w:t>属于</w:t>
                  </w:r>
                  <w:r>
                    <w:rPr>
                      <w:rFonts w:hint="eastAsia" w:ascii="Times New Roman" w:hAnsi="Times New Roman" w:eastAsia="宋体" w:cs="Times New Roman"/>
                      <w:bCs/>
                      <w:color w:val="auto"/>
                      <w:sz w:val="21"/>
                      <w:szCs w:val="21"/>
                      <w:u w:val="none"/>
                      <w:lang w:val="en-US" w:eastAsia="zh-CN"/>
                    </w:rPr>
                    <w:t>“</w:t>
                  </w:r>
                  <w:r>
                    <w:rPr>
                      <w:rFonts w:hint="default" w:ascii="Times New Roman" w:hAnsi="Times New Roman" w:eastAsia="宋体" w:cs="Times New Roman"/>
                      <w:bCs/>
                      <w:color w:val="auto"/>
                      <w:sz w:val="21"/>
                      <w:szCs w:val="21"/>
                      <w:u w:val="none"/>
                      <w:lang w:val="en-US" w:eastAsia="zh-CN"/>
                    </w:rPr>
                    <w:t>两高</w:t>
                  </w:r>
                  <w:r>
                    <w:rPr>
                      <w:rFonts w:hint="eastAsia" w:ascii="Times New Roman" w:hAnsi="Times New Roman" w:eastAsia="宋体" w:cs="Times New Roman"/>
                      <w:bCs/>
                      <w:color w:val="auto"/>
                      <w:sz w:val="21"/>
                      <w:szCs w:val="21"/>
                      <w:u w:val="none"/>
                      <w:lang w:val="en-US" w:eastAsia="zh-CN"/>
                    </w:rPr>
                    <w:t>”</w:t>
                  </w:r>
                  <w:r>
                    <w:rPr>
                      <w:rFonts w:hint="default" w:ascii="Times New Roman" w:hAnsi="Times New Roman" w:eastAsia="宋体" w:cs="Times New Roman"/>
                      <w:bCs/>
                      <w:color w:val="auto"/>
                      <w:sz w:val="21"/>
                      <w:szCs w:val="21"/>
                      <w:u w:val="none"/>
                      <w:lang w:val="en-US" w:eastAsia="zh-CN"/>
                    </w:rPr>
                    <w:t>项目</w:t>
                  </w:r>
                  <w:r>
                    <w:rPr>
                      <w:rFonts w:hint="default" w:ascii="Times New Roman" w:hAnsi="Times New Roman" w:eastAsia="宋体" w:cs="Times New Roman"/>
                      <w:bCs/>
                      <w:color w:val="auto"/>
                      <w:sz w:val="21"/>
                      <w:szCs w:val="21"/>
                      <w:u w:val="none"/>
                    </w:rPr>
                    <w:t>。</w:t>
                  </w:r>
                </w:p>
                <w:p w14:paraId="64A92CE1">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lang w:val="en-US" w:eastAsia="zh-CN"/>
                    </w:rPr>
                    <w:t>5</w:t>
                  </w:r>
                  <w:r>
                    <w:rPr>
                      <w:rFonts w:hint="default" w:ascii="Times New Roman" w:hAnsi="Times New Roman" w:eastAsia="宋体" w:cs="Times New Roman"/>
                      <w:bCs/>
                      <w:color w:val="auto"/>
                      <w:sz w:val="21"/>
                      <w:szCs w:val="21"/>
                      <w:u w:val="none"/>
                    </w:rPr>
                    <w:t>、</w:t>
                  </w:r>
                  <w:r>
                    <w:rPr>
                      <w:rFonts w:hint="default" w:ascii="Times New Roman" w:hAnsi="Times New Roman" w:eastAsia="宋体" w:cs="Times New Roman"/>
                      <w:bCs/>
                      <w:color w:val="auto"/>
                      <w:sz w:val="21"/>
                      <w:szCs w:val="21"/>
                      <w:u w:val="none"/>
                      <w:lang w:val="en-US" w:eastAsia="zh-CN"/>
                    </w:rPr>
                    <w:t>项目不涉及船舶和港口</w:t>
                  </w:r>
                  <w:r>
                    <w:rPr>
                      <w:rFonts w:hint="default" w:ascii="Times New Roman" w:hAnsi="Times New Roman" w:eastAsia="宋体" w:cs="Times New Roman"/>
                      <w:bCs/>
                      <w:color w:val="auto"/>
                      <w:sz w:val="21"/>
                      <w:szCs w:val="21"/>
                      <w:u w:val="none"/>
                    </w:rPr>
                    <w:t>。</w:t>
                  </w:r>
                </w:p>
                <w:p w14:paraId="070A4833">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lang w:val="en-US" w:eastAsia="zh-CN"/>
                    </w:rPr>
                    <w:t>6</w:t>
                  </w:r>
                  <w:r>
                    <w:rPr>
                      <w:rFonts w:hint="default" w:ascii="Times New Roman" w:hAnsi="Times New Roman" w:eastAsia="宋体" w:cs="Times New Roman"/>
                      <w:bCs/>
                      <w:color w:val="auto"/>
                      <w:sz w:val="21"/>
                      <w:szCs w:val="21"/>
                      <w:u w:val="none"/>
                    </w:rPr>
                    <w:t>、项目</w:t>
                  </w:r>
                  <w:r>
                    <w:rPr>
                      <w:rFonts w:hint="default" w:ascii="Times New Roman" w:hAnsi="Times New Roman" w:eastAsia="宋体" w:cs="Times New Roman"/>
                      <w:bCs/>
                      <w:color w:val="auto"/>
                      <w:sz w:val="21"/>
                      <w:szCs w:val="21"/>
                      <w:u w:val="none"/>
                      <w:lang w:val="en-US" w:eastAsia="zh-CN"/>
                    </w:rPr>
                    <w:t>不涉及</w:t>
                  </w:r>
                  <w:r>
                    <w:rPr>
                      <w:rFonts w:hint="eastAsia" w:ascii="Times New Roman" w:hAnsi="Times New Roman" w:eastAsia="宋体" w:cs="Times New Roman"/>
                      <w:bCs/>
                      <w:color w:val="auto"/>
                      <w:sz w:val="21"/>
                      <w:szCs w:val="21"/>
                      <w:u w:val="none"/>
                      <w:lang w:val="en-US" w:eastAsia="zh-CN"/>
                    </w:rPr>
                    <w:t>平陆运河</w:t>
                  </w:r>
                  <w:r>
                    <w:rPr>
                      <w:rFonts w:hint="default" w:ascii="Times New Roman" w:hAnsi="Times New Roman" w:eastAsia="宋体" w:cs="Times New Roman"/>
                      <w:bCs/>
                      <w:color w:val="auto"/>
                      <w:sz w:val="21"/>
                      <w:szCs w:val="21"/>
                      <w:u w:val="none"/>
                    </w:rPr>
                    <w:t>。</w:t>
                  </w:r>
                </w:p>
              </w:tc>
              <w:tc>
                <w:tcPr>
                  <w:tcW w:w="352" w:type="pct"/>
                  <w:tcBorders>
                    <w:top w:val="single" w:color="auto" w:sz="4" w:space="0"/>
                    <w:left w:val="single" w:color="auto" w:sz="4" w:space="0"/>
                    <w:bottom w:val="single" w:color="auto" w:sz="4" w:space="0"/>
                    <w:right w:val="single" w:color="auto" w:sz="4" w:space="0"/>
                  </w:tcBorders>
                  <w:noWrap w:val="0"/>
                  <w:vAlign w:val="center"/>
                </w:tcPr>
                <w:p w14:paraId="5A3C90FB">
                  <w:pPr>
                    <w:adjustRightInd w:val="0"/>
                    <w:snapToGrid w:val="0"/>
                    <w:jc w:val="center"/>
                    <w:rPr>
                      <w:rFonts w:eastAsia="宋体"/>
                      <w:bCs/>
                      <w:color w:val="auto"/>
                      <w:sz w:val="21"/>
                      <w:szCs w:val="21"/>
                      <w:u w:val="none"/>
                    </w:rPr>
                  </w:pPr>
                  <w:r>
                    <w:rPr>
                      <w:rFonts w:eastAsia="宋体"/>
                      <w:bCs/>
                      <w:color w:val="auto"/>
                      <w:sz w:val="21"/>
                      <w:szCs w:val="21"/>
                      <w:u w:val="none"/>
                    </w:rPr>
                    <w:t>符合</w:t>
                  </w:r>
                </w:p>
              </w:tc>
            </w:tr>
            <w:tr w14:paraId="0F31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Merge w:val="continue"/>
                  <w:tcBorders>
                    <w:left w:val="single" w:color="auto" w:sz="4" w:space="0"/>
                    <w:right w:val="single" w:color="auto" w:sz="4" w:space="0"/>
                  </w:tcBorders>
                  <w:noWrap w:val="0"/>
                  <w:vAlign w:val="center"/>
                </w:tcPr>
                <w:p w14:paraId="619089FA">
                  <w:pPr>
                    <w:adjustRightInd w:val="0"/>
                    <w:snapToGrid w:val="0"/>
                    <w:jc w:val="center"/>
                    <w:rPr>
                      <w:rFonts w:hint="default" w:ascii="Times New Roman" w:hAnsi="Times New Roman" w:eastAsia="宋体" w:cs="Times New Roman"/>
                      <w:bCs/>
                      <w:color w:val="auto"/>
                      <w:sz w:val="21"/>
                      <w:szCs w:val="21"/>
                      <w:u w:val="none"/>
                    </w:rPr>
                  </w:pPr>
                </w:p>
              </w:tc>
              <w:tc>
                <w:tcPr>
                  <w:tcW w:w="591" w:type="pct"/>
                  <w:vMerge w:val="continue"/>
                  <w:tcBorders>
                    <w:left w:val="single" w:color="auto" w:sz="4" w:space="0"/>
                    <w:right w:val="single" w:color="auto" w:sz="4" w:space="0"/>
                  </w:tcBorders>
                  <w:noWrap w:val="0"/>
                  <w:vAlign w:val="center"/>
                </w:tcPr>
                <w:p w14:paraId="10D7BEE7">
                  <w:pPr>
                    <w:adjustRightInd w:val="0"/>
                    <w:snapToGrid w:val="0"/>
                    <w:jc w:val="center"/>
                    <w:rPr>
                      <w:rFonts w:hint="default" w:ascii="Times New Roman" w:hAnsi="Times New Roman" w:eastAsia="宋体" w:cs="Times New Roman"/>
                      <w:bCs/>
                      <w:color w:val="auto"/>
                      <w:sz w:val="21"/>
                      <w:szCs w:val="21"/>
                      <w:u w:val="none"/>
                    </w:rPr>
                  </w:pPr>
                </w:p>
              </w:tc>
              <w:tc>
                <w:tcPr>
                  <w:tcW w:w="438" w:type="pct"/>
                  <w:tcBorders>
                    <w:top w:val="single" w:color="auto" w:sz="4" w:space="0"/>
                    <w:left w:val="single" w:color="auto" w:sz="4" w:space="0"/>
                    <w:bottom w:val="single" w:color="auto" w:sz="4" w:space="0"/>
                    <w:right w:val="single" w:color="auto" w:sz="4" w:space="0"/>
                  </w:tcBorders>
                  <w:noWrap w:val="0"/>
                  <w:vAlign w:val="center"/>
                </w:tcPr>
                <w:p w14:paraId="51AE2576">
                  <w:pPr>
                    <w:adjustRightInd w:val="0"/>
                    <w:snapToGrid w:val="0"/>
                    <w:jc w:val="center"/>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环境风险防控</w:t>
                  </w:r>
                </w:p>
              </w:tc>
              <w:tc>
                <w:tcPr>
                  <w:tcW w:w="2343" w:type="pct"/>
                  <w:tcBorders>
                    <w:top w:val="single" w:color="auto" w:sz="4" w:space="0"/>
                    <w:left w:val="single" w:color="auto" w:sz="4" w:space="0"/>
                    <w:bottom w:val="single" w:color="auto" w:sz="4" w:space="0"/>
                    <w:right w:val="single" w:color="auto" w:sz="4" w:space="0"/>
                  </w:tcBorders>
                  <w:noWrap w:val="0"/>
                  <w:vAlign w:val="center"/>
                </w:tcPr>
                <w:p w14:paraId="7FC917BD">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1．强化沿海工业园区和沿海石油、石化、化工、冶炼及危化品储运等企业的环境风险防控。</w:t>
                  </w:r>
                </w:p>
                <w:p w14:paraId="241D4790">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2．建立和完善海上溢油、危险化学品泄漏、赤潮应急反应预案，提升应对海洋突发环境事件能力，防范海上溢油、危险化学品泄漏等重大环境风险。加强海洋环境监测，实施海洋环境预警预报工程。</w:t>
                  </w:r>
                </w:p>
                <w:p w14:paraId="260361DF">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3．实行严格的核污染监控管理，提升核安全治理能力，提高核设施安全水平，降低核安全风险，推进放射性污染防治，确保辐射环境质量保持良好，强化核辐射安全监管体系，消除核安全隐患。</w:t>
                  </w:r>
                </w:p>
              </w:tc>
              <w:tc>
                <w:tcPr>
                  <w:tcW w:w="984" w:type="pct"/>
                  <w:tcBorders>
                    <w:top w:val="single" w:color="auto" w:sz="4" w:space="0"/>
                    <w:left w:val="single" w:color="auto" w:sz="4" w:space="0"/>
                    <w:bottom w:val="single" w:color="auto" w:sz="4" w:space="0"/>
                    <w:right w:val="single" w:color="auto" w:sz="4" w:space="0"/>
                  </w:tcBorders>
                  <w:noWrap w:val="0"/>
                  <w:vAlign w:val="center"/>
                </w:tcPr>
                <w:p w14:paraId="70C0E089">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1、项目属于</w:t>
                  </w:r>
                  <w:r>
                    <w:rPr>
                      <w:rFonts w:hint="eastAsia" w:ascii="Times New Roman" w:hAnsi="Times New Roman" w:eastAsia="宋体" w:cs="Times New Roman"/>
                      <w:bCs/>
                      <w:color w:val="auto"/>
                      <w:sz w:val="21"/>
                      <w:szCs w:val="21"/>
                      <w:u w:val="none"/>
                      <w:lang w:val="en-US" w:eastAsia="zh-CN"/>
                    </w:rPr>
                    <w:t>危险化学仓储</w:t>
                  </w:r>
                  <w:r>
                    <w:rPr>
                      <w:rFonts w:hint="default" w:ascii="Times New Roman" w:hAnsi="Times New Roman" w:eastAsia="宋体" w:cs="Times New Roman"/>
                      <w:bCs/>
                      <w:color w:val="auto"/>
                      <w:sz w:val="21"/>
                      <w:szCs w:val="21"/>
                      <w:u w:val="none"/>
                    </w:rPr>
                    <w:t>项目，本次评价已要求建设单位落实各项环境保护措施和环境风险防范措施。</w:t>
                  </w:r>
                </w:p>
                <w:p w14:paraId="1FF00FAF">
                  <w:pPr>
                    <w:adjustRightInd w:val="0"/>
                    <w:snapToGrid w:val="0"/>
                    <w:jc w:val="left"/>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2、本次评价已要求项目编制突发环境事件应急预案，并在生态环境局备案，与园区环境事件应急预案进行联动。</w:t>
                  </w:r>
                </w:p>
                <w:p w14:paraId="59D7DB5F">
                  <w:pPr>
                    <w:adjustRightInd w:val="0"/>
                    <w:snapToGrid w:val="0"/>
                    <w:jc w:val="left"/>
                    <w:rPr>
                      <w:rFonts w:hint="default" w:ascii="Times New Roman" w:hAnsi="Times New Roman" w:eastAsia="宋体" w:cs="Times New Roman"/>
                      <w:color w:val="auto"/>
                      <w:sz w:val="21"/>
                      <w:szCs w:val="21"/>
                      <w:u w:val="none"/>
                    </w:rPr>
                  </w:pPr>
                  <w:r>
                    <w:rPr>
                      <w:rFonts w:hint="default" w:ascii="Times New Roman" w:hAnsi="Times New Roman" w:eastAsia="宋体" w:cs="Times New Roman"/>
                      <w:bCs/>
                      <w:color w:val="auto"/>
                      <w:sz w:val="21"/>
                      <w:szCs w:val="21"/>
                      <w:u w:val="none"/>
                    </w:rPr>
                    <w:t>3、项目不涉及</w:t>
                  </w:r>
                  <w:r>
                    <w:rPr>
                      <w:rFonts w:hint="eastAsia" w:ascii="Times New Roman" w:hAnsi="Times New Roman" w:eastAsia="宋体" w:cs="Times New Roman"/>
                      <w:bCs/>
                      <w:color w:val="auto"/>
                      <w:sz w:val="21"/>
                      <w:szCs w:val="21"/>
                      <w:u w:val="none"/>
                      <w:lang w:val="en-US" w:eastAsia="zh-CN"/>
                    </w:rPr>
                    <w:t>核污染</w:t>
                  </w:r>
                  <w:r>
                    <w:rPr>
                      <w:rFonts w:hint="default" w:ascii="Times New Roman" w:hAnsi="Times New Roman" w:eastAsia="宋体" w:cs="Times New Roman"/>
                      <w:bCs/>
                      <w:color w:val="auto"/>
                      <w:sz w:val="21"/>
                      <w:szCs w:val="21"/>
                      <w:u w:val="none"/>
                    </w:rPr>
                    <w:t>。</w:t>
                  </w:r>
                </w:p>
              </w:tc>
              <w:tc>
                <w:tcPr>
                  <w:tcW w:w="352" w:type="pct"/>
                  <w:tcBorders>
                    <w:top w:val="single" w:color="auto" w:sz="4" w:space="0"/>
                    <w:left w:val="single" w:color="auto" w:sz="4" w:space="0"/>
                    <w:bottom w:val="single" w:color="auto" w:sz="4" w:space="0"/>
                    <w:right w:val="single" w:color="auto" w:sz="4" w:space="0"/>
                  </w:tcBorders>
                  <w:noWrap w:val="0"/>
                  <w:vAlign w:val="center"/>
                </w:tcPr>
                <w:p w14:paraId="00EBB877">
                  <w:pPr>
                    <w:adjustRightInd w:val="0"/>
                    <w:snapToGrid w:val="0"/>
                    <w:jc w:val="center"/>
                    <w:rPr>
                      <w:rFonts w:eastAsia="宋体"/>
                      <w:bCs/>
                      <w:color w:val="auto"/>
                      <w:sz w:val="21"/>
                      <w:szCs w:val="21"/>
                      <w:u w:val="none"/>
                    </w:rPr>
                  </w:pPr>
                  <w:r>
                    <w:rPr>
                      <w:rFonts w:eastAsia="宋体"/>
                      <w:bCs/>
                      <w:color w:val="auto"/>
                      <w:sz w:val="21"/>
                      <w:szCs w:val="21"/>
                      <w:u w:val="none"/>
                    </w:rPr>
                    <w:t>符合</w:t>
                  </w:r>
                </w:p>
              </w:tc>
            </w:tr>
            <w:tr w14:paraId="32A7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Merge w:val="continue"/>
                  <w:tcBorders>
                    <w:left w:val="single" w:color="auto" w:sz="4" w:space="0"/>
                    <w:right w:val="single" w:color="auto" w:sz="4" w:space="0"/>
                  </w:tcBorders>
                  <w:noWrap w:val="0"/>
                  <w:vAlign w:val="center"/>
                </w:tcPr>
                <w:p w14:paraId="5F2ED1D9">
                  <w:pPr>
                    <w:adjustRightInd w:val="0"/>
                    <w:snapToGrid w:val="0"/>
                    <w:jc w:val="center"/>
                    <w:rPr>
                      <w:rFonts w:hint="default" w:ascii="Times New Roman" w:hAnsi="Times New Roman" w:eastAsia="宋体" w:cs="Times New Roman"/>
                      <w:bCs/>
                      <w:color w:val="auto"/>
                      <w:sz w:val="21"/>
                      <w:szCs w:val="21"/>
                      <w:u w:val="none"/>
                    </w:rPr>
                  </w:pPr>
                </w:p>
              </w:tc>
              <w:tc>
                <w:tcPr>
                  <w:tcW w:w="591" w:type="pct"/>
                  <w:vMerge w:val="continue"/>
                  <w:tcBorders>
                    <w:left w:val="single" w:color="auto" w:sz="4" w:space="0"/>
                    <w:right w:val="single" w:color="auto" w:sz="4" w:space="0"/>
                  </w:tcBorders>
                  <w:noWrap w:val="0"/>
                  <w:vAlign w:val="center"/>
                </w:tcPr>
                <w:p w14:paraId="086CCAE7">
                  <w:pPr>
                    <w:adjustRightInd w:val="0"/>
                    <w:snapToGrid w:val="0"/>
                    <w:jc w:val="center"/>
                    <w:rPr>
                      <w:rFonts w:hint="default" w:ascii="Times New Roman" w:hAnsi="Times New Roman" w:eastAsia="宋体" w:cs="Times New Roman"/>
                      <w:bCs/>
                      <w:color w:val="auto"/>
                      <w:sz w:val="21"/>
                      <w:szCs w:val="21"/>
                      <w:u w:val="none"/>
                    </w:rPr>
                  </w:pPr>
                </w:p>
              </w:tc>
              <w:tc>
                <w:tcPr>
                  <w:tcW w:w="438" w:type="pct"/>
                  <w:tcBorders>
                    <w:top w:val="single" w:color="auto" w:sz="4" w:space="0"/>
                    <w:left w:val="single" w:color="auto" w:sz="4" w:space="0"/>
                    <w:right w:val="single" w:color="auto" w:sz="4" w:space="0"/>
                  </w:tcBorders>
                  <w:noWrap w:val="0"/>
                  <w:vAlign w:val="center"/>
                </w:tcPr>
                <w:p w14:paraId="433A428C">
                  <w:pPr>
                    <w:adjustRightInd w:val="0"/>
                    <w:snapToGrid w:val="0"/>
                    <w:jc w:val="center"/>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资源开发利用效率要求</w:t>
                  </w:r>
                </w:p>
              </w:tc>
              <w:tc>
                <w:tcPr>
                  <w:tcW w:w="2343" w:type="pct"/>
                  <w:tcBorders>
                    <w:top w:val="single" w:color="auto" w:sz="4" w:space="0"/>
                    <w:left w:val="single" w:color="auto" w:sz="4" w:space="0"/>
                    <w:bottom w:val="single" w:color="auto" w:sz="4" w:space="0"/>
                    <w:right w:val="single" w:color="auto" w:sz="4" w:space="0"/>
                  </w:tcBorders>
                  <w:noWrap w:val="0"/>
                  <w:vAlign w:val="center"/>
                </w:tcPr>
                <w:p w14:paraId="3B6A474C">
                  <w:pPr>
                    <w:pStyle w:val="24"/>
                    <w:widowControl w:val="0"/>
                    <w:ind w:left="0" w:leftChars="0" w:firstLine="0" w:firstLineChars="0"/>
                    <w:jc w:val="both"/>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kern w:val="2"/>
                      <w:sz w:val="21"/>
                      <w:szCs w:val="21"/>
                      <w:u w:val="none"/>
                      <w:lang w:val="en-US" w:eastAsia="zh-CN" w:bidi="ar-SA"/>
                    </w:rPr>
                    <w:t>1．严格执行能耗“双控”，新建项目能源利用效率应达到国内先进水平。2．实施水资源消耗总量和强度“双控”。</w:t>
                  </w:r>
                </w:p>
              </w:tc>
              <w:tc>
                <w:tcPr>
                  <w:tcW w:w="984" w:type="pct"/>
                  <w:tcBorders>
                    <w:top w:val="single" w:color="auto" w:sz="4" w:space="0"/>
                    <w:left w:val="single" w:color="auto" w:sz="4" w:space="0"/>
                    <w:bottom w:val="single" w:color="auto" w:sz="4" w:space="0"/>
                    <w:right w:val="single" w:color="auto" w:sz="4" w:space="0"/>
                  </w:tcBorders>
                  <w:noWrap w:val="0"/>
                  <w:vAlign w:val="center"/>
                </w:tcPr>
                <w:p w14:paraId="2609EA97">
                  <w:pPr>
                    <w:adjustRightInd w:val="0"/>
                    <w:snapToGrid w:val="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color w:val="auto"/>
                      <w:sz w:val="21"/>
                      <w:szCs w:val="21"/>
                      <w:u w:val="none"/>
                    </w:rPr>
                    <w:t>项目</w:t>
                  </w:r>
                  <w:r>
                    <w:rPr>
                      <w:rFonts w:hint="eastAsia" w:ascii="Times New Roman" w:hAnsi="Times New Roman" w:eastAsia="宋体" w:cs="Times New Roman"/>
                      <w:color w:val="auto"/>
                      <w:sz w:val="21"/>
                      <w:szCs w:val="21"/>
                      <w:u w:val="none"/>
                      <w:lang w:val="en-US" w:eastAsia="zh-CN"/>
                    </w:rPr>
                    <w:t>为危险化学品仓储项目，不属于工业生产类项目，项目运营过程中消耗少量的</w:t>
                  </w:r>
                  <w:r>
                    <w:rPr>
                      <w:rFonts w:hint="eastAsia" w:cs="Times New Roman"/>
                      <w:color w:val="auto"/>
                      <w:sz w:val="21"/>
                      <w:szCs w:val="21"/>
                      <w:u w:val="none"/>
                      <w:lang w:val="en-US" w:eastAsia="zh-CN"/>
                    </w:rPr>
                    <w:t>电能</w:t>
                  </w:r>
                  <w:r>
                    <w:rPr>
                      <w:rFonts w:hint="eastAsia" w:ascii="Times New Roman" w:hAnsi="Times New Roman" w:eastAsia="宋体" w:cs="Times New Roman"/>
                      <w:color w:val="auto"/>
                      <w:sz w:val="21"/>
                      <w:szCs w:val="21"/>
                      <w:u w:val="none"/>
                      <w:lang w:val="en-US" w:eastAsia="zh-CN"/>
                    </w:rPr>
                    <w:t>资源</w:t>
                  </w:r>
                  <w:r>
                    <w:rPr>
                      <w:rFonts w:hint="default" w:ascii="Times New Roman" w:hAnsi="Times New Roman" w:eastAsia="宋体" w:cs="Times New Roman"/>
                      <w:color w:val="auto"/>
                      <w:sz w:val="21"/>
                      <w:szCs w:val="21"/>
                      <w:u w:val="none"/>
                      <w:lang w:val="en-US" w:eastAsia="zh-CN"/>
                    </w:rPr>
                    <w:t>。</w:t>
                  </w:r>
                </w:p>
              </w:tc>
              <w:tc>
                <w:tcPr>
                  <w:tcW w:w="352" w:type="pct"/>
                  <w:tcBorders>
                    <w:top w:val="single" w:color="auto" w:sz="4" w:space="0"/>
                    <w:left w:val="single" w:color="auto" w:sz="4" w:space="0"/>
                    <w:bottom w:val="single" w:color="auto" w:sz="4" w:space="0"/>
                    <w:right w:val="single" w:color="auto" w:sz="4" w:space="0"/>
                  </w:tcBorders>
                  <w:noWrap w:val="0"/>
                  <w:vAlign w:val="center"/>
                </w:tcPr>
                <w:p w14:paraId="1510B189">
                  <w:pPr>
                    <w:adjustRightInd w:val="0"/>
                    <w:snapToGrid w:val="0"/>
                    <w:jc w:val="center"/>
                    <w:rPr>
                      <w:rFonts w:eastAsia="宋体"/>
                      <w:bCs/>
                      <w:color w:val="auto"/>
                      <w:sz w:val="21"/>
                      <w:szCs w:val="21"/>
                      <w:u w:val="none"/>
                    </w:rPr>
                  </w:pPr>
                  <w:r>
                    <w:rPr>
                      <w:rFonts w:eastAsia="宋体"/>
                      <w:bCs/>
                      <w:color w:val="auto"/>
                      <w:sz w:val="21"/>
                      <w:szCs w:val="21"/>
                      <w:u w:val="none"/>
                    </w:rPr>
                    <w:t>符合</w:t>
                  </w:r>
                </w:p>
              </w:tc>
            </w:tr>
          </w:tbl>
          <w:p w14:paraId="745E5F22">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综上，项目符合钦州市、北部湾经济区、钦州港经济技术开发区、广西钦州石化产业园环境准入及管控要求。</w:t>
            </w:r>
          </w:p>
          <w:p w14:paraId="72FF29C5">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4、与《广西生态保护正面清单（2022）》和《广西生态保护禁止事项清单（2022）》（桂环发</w:t>
            </w:r>
            <w:r>
              <w:rPr>
                <w:rFonts w:hint="eastAsia"/>
                <w:kern w:val="0"/>
                <w:sz w:val="24"/>
              </w:rPr>
              <w:t>〔20</w:t>
            </w:r>
            <w:r>
              <w:rPr>
                <w:rFonts w:hint="eastAsia"/>
                <w:kern w:val="0"/>
                <w:sz w:val="24"/>
                <w:lang w:val="en-US" w:eastAsia="zh-CN"/>
              </w:rPr>
              <w:t>22</w:t>
            </w:r>
            <w:r>
              <w:rPr>
                <w:rFonts w:hint="eastAsia"/>
                <w:kern w:val="0"/>
                <w:sz w:val="24"/>
              </w:rPr>
              <w:t>〕</w:t>
            </w:r>
            <w:r>
              <w:rPr>
                <w:rFonts w:hint="eastAsia" w:ascii="Times New Roman" w:hAnsi="Times New Roman" w:eastAsia="宋体" w:cs="Times New Roman"/>
                <w:color w:val="auto"/>
                <w:kern w:val="0"/>
                <w:sz w:val="24"/>
                <w:lang w:val="en-US" w:eastAsia="zh-CN"/>
              </w:rPr>
              <w:t>54号）符合性分析</w:t>
            </w:r>
          </w:p>
          <w:p w14:paraId="12228120">
            <w:pPr>
              <w:pStyle w:val="6"/>
              <w:spacing w:line="500" w:lineRule="exact"/>
              <w:ind w:firstLine="480"/>
              <w:rPr>
                <w:rFonts w:hint="eastAsia" w:ascii="Times New Roman" w:hAnsi="Times New Roman" w:eastAsia="宋体" w:cs="Times New Roman"/>
                <w:color w:val="auto"/>
                <w:kern w:val="0"/>
                <w:sz w:val="24"/>
                <w:u w:val="none"/>
                <w:lang w:val="en-US" w:eastAsia="zh-CN"/>
              </w:rPr>
            </w:pPr>
            <w:r>
              <w:rPr>
                <w:rFonts w:hint="eastAsia" w:ascii="Times New Roman" w:hAnsi="Times New Roman" w:eastAsia="宋体" w:cs="Times New Roman"/>
                <w:color w:val="auto"/>
                <w:kern w:val="0"/>
                <w:sz w:val="24"/>
                <w:u w:val="none"/>
                <w:lang w:val="en-US" w:eastAsia="zh-CN"/>
              </w:rPr>
              <w:t>项目不属于桂环发</w:t>
            </w:r>
            <w:r>
              <w:rPr>
                <w:rFonts w:hint="eastAsia"/>
                <w:kern w:val="0"/>
                <w:sz w:val="24"/>
              </w:rPr>
              <w:t>〔2</w:t>
            </w:r>
            <w:r>
              <w:rPr>
                <w:rFonts w:hint="eastAsia"/>
                <w:kern w:val="0"/>
                <w:sz w:val="24"/>
                <w:lang w:val="en-US" w:eastAsia="zh-CN"/>
              </w:rPr>
              <w:t>022</w:t>
            </w:r>
            <w:r>
              <w:rPr>
                <w:rFonts w:hint="eastAsia"/>
                <w:kern w:val="0"/>
                <w:sz w:val="24"/>
              </w:rPr>
              <w:t>〕</w:t>
            </w:r>
            <w:r>
              <w:rPr>
                <w:rFonts w:hint="eastAsia" w:ascii="Times New Roman" w:hAnsi="Times New Roman" w:eastAsia="宋体" w:cs="Times New Roman"/>
                <w:color w:val="auto"/>
                <w:kern w:val="0"/>
                <w:sz w:val="24"/>
                <w:u w:val="none"/>
                <w:lang w:val="en-US" w:eastAsia="zh-CN"/>
              </w:rPr>
              <w:t>54号中《广西生态保护正面清单（2022）》</w:t>
            </w:r>
            <w:r>
              <w:rPr>
                <w:rFonts w:hint="eastAsia" w:cs="Times New Roman"/>
                <w:color w:val="auto"/>
                <w:kern w:val="0"/>
                <w:sz w:val="24"/>
                <w:u w:val="none"/>
                <w:lang w:val="en-US" w:eastAsia="zh-CN"/>
              </w:rPr>
              <w:t>中</w:t>
            </w:r>
            <w:r>
              <w:rPr>
                <w:rFonts w:hint="eastAsia" w:ascii="Times New Roman" w:hAnsi="Times New Roman" w:eastAsia="宋体" w:cs="Times New Roman"/>
                <w:color w:val="auto"/>
                <w:kern w:val="0"/>
                <w:sz w:val="24"/>
                <w:u w:val="none"/>
                <w:lang w:val="en-US" w:eastAsia="zh-CN"/>
              </w:rPr>
              <w:t>鼓励的项目，不属于《广西生态保护禁止事项清单（2022）》中禁止的项目。</w:t>
            </w:r>
          </w:p>
          <w:p w14:paraId="763B83B8">
            <w:pPr>
              <w:pStyle w:val="6"/>
              <w:spacing w:line="500" w:lineRule="exact"/>
              <w:ind w:firstLine="480"/>
              <w:rPr>
                <w:color w:val="auto"/>
                <w:kern w:val="0"/>
                <w:sz w:val="24"/>
                <w:u w:val="single"/>
              </w:rPr>
            </w:pPr>
            <w:r>
              <w:rPr>
                <w:rFonts w:hint="eastAsia"/>
                <w:color w:val="auto"/>
                <w:kern w:val="0"/>
                <w:sz w:val="24"/>
                <w:u w:val="single"/>
                <w:lang w:val="en-US" w:eastAsia="zh-CN"/>
              </w:rPr>
              <w:t>5</w:t>
            </w:r>
            <w:r>
              <w:rPr>
                <w:rFonts w:hint="eastAsia"/>
                <w:color w:val="auto"/>
                <w:kern w:val="0"/>
                <w:sz w:val="24"/>
                <w:u w:val="single"/>
              </w:rPr>
              <w:t>、项目与《危险化学品仓库储存通则》（GB 15603-2022）的相符性</w:t>
            </w:r>
          </w:p>
          <w:p w14:paraId="60A609D9">
            <w:pPr>
              <w:spacing w:line="500" w:lineRule="exact"/>
              <w:jc w:val="center"/>
              <w:rPr>
                <w:rFonts w:hint="eastAsia" w:ascii="Times New Roman" w:hAnsi="Times New Roman" w:eastAsia="宋体" w:cs="Times New Roman"/>
                <w:b/>
                <w:bCs/>
                <w:color w:val="auto"/>
                <w:kern w:val="0"/>
                <w:sz w:val="24"/>
                <w:u w:val="single"/>
                <w:lang w:val="en-GB" w:eastAsia="zh-CN"/>
              </w:rPr>
            </w:pPr>
            <w:r>
              <w:rPr>
                <w:rFonts w:hint="eastAsia" w:ascii="Times New Roman" w:hAnsi="Times New Roman" w:eastAsia="宋体" w:cs="Times New Roman"/>
                <w:b/>
                <w:bCs/>
                <w:color w:val="auto"/>
                <w:kern w:val="0"/>
                <w:sz w:val="24"/>
                <w:u w:val="single"/>
                <w:lang w:val="en-GB" w:eastAsia="zh-CN"/>
              </w:rPr>
              <w:t>表1-</w:t>
            </w:r>
            <w:r>
              <w:rPr>
                <w:rFonts w:hint="eastAsia" w:cs="Times New Roman"/>
                <w:b/>
                <w:bCs/>
                <w:color w:val="auto"/>
                <w:kern w:val="0"/>
                <w:sz w:val="24"/>
                <w:u w:val="single"/>
                <w:lang w:val="en-US" w:eastAsia="zh-CN"/>
              </w:rPr>
              <w:t>6</w:t>
            </w:r>
            <w:r>
              <w:rPr>
                <w:rFonts w:hint="eastAsia" w:ascii="Times New Roman" w:hAnsi="Times New Roman" w:eastAsia="宋体" w:cs="Times New Roman"/>
                <w:b/>
                <w:bCs/>
                <w:color w:val="auto"/>
                <w:kern w:val="0"/>
                <w:sz w:val="24"/>
                <w:u w:val="single"/>
                <w:lang w:val="en-GB" w:eastAsia="zh-CN"/>
              </w:rPr>
              <w:t xml:space="preserve"> </w:t>
            </w:r>
            <w:r>
              <w:rPr>
                <w:rFonts w:hint="eastAsia" w:ascii="Times New Roman" w:hAnsi="Times New Roman" w:eastAsia="宋体" w:cs="Times New Roman"/>
                <w:b/>
                <w:bCs/>
                <w:color w:val="auto"/>
                <w:kern w:val="0"/>
                <w:sz w:val="24"/>
                <w:u w:val="single"/>
                <w:lang w:val="en-US" w:eastAsia="zh-CN"/>
              </w:rPr>
              <w:t>项目与</w:t>
            </w:r>
            <w:r>
              <w:rPr>
                <w:rFonts w:hint="eastAsia" w:ascii="Times New Roman" w:hAnsi="Times New Roman" w:eastAsia="宋体" w:cs="Times New Roman"/>
                <w:b/>
                <w:bCs/>
                <w:color w:val="auto"/>
                <w:kern w:val="0"/>
                <w:sz w:val="24"/>
                <w:u w:val="single"/>
                <w:lang w:val="en-GB" w:eastAsia="zh-CN"/>
              </w:rPr>
              <w:t>GB 15603-2022相符性分析</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3324"/>
              <w:gridCol w:w="2725"/>
            </w:tblGrid>
            <w:tr w14:paraId="6F61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61DAF7BA">
                  <w:pPr>
                    <w:adjustRightInd w:val="0"/>
                    <w:snapToGrid w:val="0"/>
                    <w:spacing w:line="240" w:lineRule="exact"/>
                    <w:rPr>
                      <w:color w:val="auto"/>
                      <w:szCs w:val="21"/>
                      <w:u w:val="single"/>
                    </w:rPr>
                  </w:pPr>
                  <w:r>
                    <w:rPr>
                      <w:rFonts w:hint="eastAsia"/>
                      <w:color w:val="auto"/>
                      <w:szCs w:val="21"/>
                      <w:u w:val="single"/>
                    </w:rPr>
                    <w:t>序号</w:t>
                  </w:r>
                </w:p>
              </w:tc>
              <w:tc>
                <w:tcPr>
                  <w:tcW w:w="3324" w:type="dxa"/>
                  <w:vAlign w:val="center"/>
                </w:tcPr>
                <w:p w14:paraId="1B60AACD">
                  <w:pPr>
                    <w:adjustRightInd w:val="0"/>
                    <w:snapToGrid w:val="0"/>
                    <w:spacing w:line="240" w:lineRule="exact"/>
                    <w:jc w:val="center"/>
                    <w:rPr>
                      <w:color w:val="auto"/>
                      <w:szCs w:val="21"/>
                      <w:u w:val="single"/>
                    </w:rPr>
                  </w:pPr>
                  <w:r>
                    <w:rPr>
                      <w:rFonts w:hint="eastAsia"/>
                      <w:color w:val="auto"/>
                      <w:szCs w:val="21"/>
                      <w:u w:val="single"/>
                    </w:rPr>
                    <w:t>《危险化学品仓库储存通则》（GB 15603-2022）</w:t>
                  </w:r>
                </w:p>
              </w:tc>
              <w:tc>
                <w:tcPr>
                  <w:tcW w:w="2725" w:type="dxa"/>
                  <w:vAlign w:val="center"/>
                </w:tcPr>
                <w:p w14:paraId="144C3B39">
                  <w:pPr>
                    <w:adjustRightInd w:val="0"/>
                    <w:snapToGrid w:val="0"/>
                    <w:spacing w:line="240" w:lineRule="exact"/>
                    <w:jc w:val="center"/>
                    <w:rPr>
                      <w:color w:val="auto"/>
                      <w:szCs w:val="21"/>
                      <w:u w:val="single"/>
                    </w:rPr>
                  </w:pPr>
                  <w:r>
                    <w:rPr>
                      <w:rFonts w:hint="eastAsia"/>
                      <w:color w:val="auto"/>
                      <w:szCs w:val="21"/>
                      <w:u w:val="single"/>
                    </w:rPr>
                    <w:t>相符性分析</w:t>
                  </w:r>
                </w:p>
              </w:tc>
            </w:tr>
            <w:tr w14:paraId="69D8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3" w:type="dxa"/>
                  <w:gridSpan w:val="3"/>
                  <w:vAlign w:val="center"/>
                </w:tcPr>
                <w:p w14:paraId="2C84DD43">
                  <w:pPr>
                    <w:adjustRightInd w:val="0"/>
                    <w:snapToGrid w:val="0"/>
                    <w:spacing w:line="240" w:lineRule="exact"/>
                    <w:jc w:val="center"/>
                    <w:rPr>
                      <w:color w:val="auto"/>
                      <w:szCs w:val="21"/>
                      <w:u w:val="single"/>
                    </w:rPr>
                  </w:pPr>
                  <w:r>
                    <w:rPr>
                      <w:rFonts w:hint="eastAsia"/>
                      <w:color w:val="auto"/>
                      <w:szCs w:val="21"/>
                      <w:u w:val="single"/>
                    </w:rPr>
                    <w:t>基本要求</w:t>
                  </w:r>
                </w:p>
              </w:tc>
            </w:tr>
            <w:tr w14:paraId="0AE8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0CF2633B">
                  <w:pPr>
                    <w:adjustRightInd w:val="0"/>
                    <w:snapToGrid w:val="0"/>
                    <w:spacing w:line="240" w:lineRule="exact"/>
                    <w:jc w:val="center"/>
                    <w:rPr>
                      <w:color w:val="auto"/>
                      <w:szCs w:val="21"/>
                      <w:u w:val="single"/>
                    </w:rPr>
                  </w:pPr>
                  <w:r>
                    <w:rPr>
                      <w:rFonts w:hint="eastAsia"/>
                      <w:color w:val="auto"/>
                      <w:szCs w:val="21"/>
                      <w:u w:val="single"/>
                    </w:rPr>
                    <w:t>4.1</w:t>
                  </w:r>
                </w:p>
              </w:tc>
              <w:tc>
                <w:tcPr>
                  <w:tcW w:w="3324" w:type="dxa"/>
                  <w:vAlign w:val="center"/>
                </w:tcPr>
                <w:p w14:paraId="699FC0B9">
                  <w:pPr>
                    <w:widowControl/>
                    <w:adjustRightInd w:val="0"/>
                    <w:snapToGrid w:val="0"/>
                    <w:textAlignment w:val="center"/>
                    <w:rPr>
                      <w:color w:val="auto"/>
                      <w:kern w:val="0"/>
                      <w:szCs w:val="21"/>
                      <w:u w:val="single"/>
                    </w:rPr>
                  </w:pPr>
                  <w:r>
                    <w:rPr>
                      <w:color w:val="auto"/>
                      <w:kern w:val="0"/>
                      <w:szCs w:val="21"/>
                      <w:u w:val="single"/>
                    </w:rPr>
                    <w:t>危险化学品储存、经营企业的仓库规划选址、建设、安全设施，应符合GB 50016、GB 18265的要求。</w:t>
                  </w:r>
                </w:p>
              </w:tc>
              <w:tc>
                <w:tcPr>
                  <w:tcW w:w="2725" w:type="dxa"/>
                  <w:vAlign w:val="center"/>
                </w:tcPr>
                <w:p w14:paraId="62E0339D">
                  <w:pPr>
                    <w:widowControl/>
                    <w:adjustRightInd w:val="0"/>
                    <w:snapToGrid w:val="0"/>
                    <w:textAlignment w:val="center"/>
                    <w:rPr>
                      <w:color w:val="auto"/>
                      <w:kern w:val="0"/>
                      <w:szCs w:val="21"/>
                      <w:u w:val="single"/>
                    </w:rPr>
                  </w:pPr>
                  <w:r>
                    <w:rPr>
                      <w:rFonts w:hint="eastAsia"/>
                      <w:color w:val="auto"/>
                      <w:kern w:val="0"/>
                      <w:szCs w:val="21"/>
                      <w:u w:val="single"/>
                    </w:rPr>
                    <w:t>符合，项目选址、建设、安全设施符合《建筑设计防火规范》（2018年版）（GB50016-2014）、GB 18265-2019的要求。</w:t>
                  </w:r>
                </w:p>
              </w:tc>
            </w:tr>
            <w:tr w14:paraId="21AF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5" w:hRule="atLeast"/>
              </w:trPr>
              <w:tc>
                <w:tcPr>
                  <w:tcW w:w="734" w:type="dxa"/>
                  <w:vAlign w:val="center"/>
                </w:tcPr>
                <w:p w14:paraId="1B7D6316">
                  <w:pPr>
                    <w:adjustRightInd w:val="0"/>
                    <w:snapToGrid w:val="0"/>
                    <w:spacing w:line="240" w:lineRule="exact"/>
                    <w:jc w:val="center"/>
                    <w:rPr>
                      <w:color w:val="auto"/>
                      <w:szCs w:val="21"/>
                      <w:u w:val="single"/>
                    </w:rPr>
                  </w:pPr>
                  <w:r>
                    <w:rPr>
                      <w:rFonts w:hint="eastAsia"/>
                      <w:color w:val="auto"/>
                      <w:szCs w:val="21"/>
                      <w:u w:val="single"/>
                    </w:rPr>
                    <w:t>4.2</w:t>
                  </w:r>
                </w:p>
              </w:tc>
              <w:tc>
                <w:tcPr>
                  <w:tcW w:w="3324" w:type="dxa"/>
                  <w:vAlign w:val="center"/>
                </w:tcPr>
                <w:p w14:paraId="02EE6B85">
                  <w:pPr>
                    <w:widowControl/>
                    <w:adjustRightInd w:val="0"/>
                    <w:snapToGrid w:val="0"/>
                    <w:textAlignment w:val="center"/>
                    <w:rPr>
                      <w:color w:val="auto"/>
                      <w:kern w:val="0"/>
                      <w:szCs w:val="21"/>
                      <w:u w:val="single"/>
                    </w:rPr>
                  </w:pPr>
                  <w:r>
                    <w:rPr>
                      <w:rFonts w:hint="eastAsia"/>
                      <w:color w:val="auto"/>
                      <w:kern w:val="0"/>
                      <w:szCs w:val="21"/>
                      <w:u w:val="single"/>
                    </w:rPr>
                    <w:t>应建立危险化学品储存信息管理系统，按照储存量大小进行分层次要求，实时记录作业基础数据，包括但不限于：</w:t>
                  </w:r>
                </w:p>
                <w:p w14:paraId="4A1DCD4B">
                  <w:pPr>
                    <w:widowControl/>
                    <w:adjustRightInd w:val="0"/>
                    <w:snapToGrid w:val="0"/>
                    <w:textAlignment w:val="center"/>
                    <w:rPr>
                      <w:color w:val="auto"/>
                      <w:kern w:val="0"/>
                      <w:szCs w:val="21"/>
                      <w:u w:val="single"/>
                    </w:rPr>
                  </w:pPr>
                  <w:r>
                    <w:rPr>
                      <w:rFonts w:hint="eastAsia"/>
                      <w:color w:val="auto"/>
                      <w:kern w:val="0"/>
                      <w:szCs w:val="21"/>
                      <w:u w:val="single"/>
                    </w:rPr>
                    <w:t>a）危险化学品出入库记录，包括但不限于：时间、品种、品名、数量；</w:t>
                  </w:r>
                </w:p>
                <w:p w14:paraId="115A2231">
                  <w:pPr>
                    <w:widowControl/>
                    <w:adjustRightInd w:val="0"/>
                    <w:snapToGrid w:val="0"/>
                    <w:textAlignment w:val="center"/>
                    <w:rPr>
                      <w:color w:val="auto"/>
                      <w:kern w:val="0"/>
                      <w:szCs w:val="21"/>
                      <w:u w:val="single"/>
                    </w:rPr>
                  </w:pPr>
                  <w:r>
                    <w:rPr>
                      <w:rFonts w:hint="eastAsia"/>
                      <w:color w:val="auto"/>
                      <w:kern w:val="0"/>
                      <w:szCs w:val="21"/>
                      <w:u w:val="single"/>
                    </w:rPr>
                    <w:t>b）识别化学品安全技术说明书中要求的灭火介质，应急、消防要求以及危险特性，理化性质，搬运、储存注意事项和禁忌等，以及可能涉及安全相容矩阵表；</w:t>
                  </w:r>
                </w:p>
                <w:p w14:paraId="1E7AE455">
                  <w:pPr>
                    <w:widowControl/>
                    <w:adjustRightInd w:val="0"/>
                    <w:snapToGrid w:val="0"/>
                    <w:textAlignment w:val="center"/>
                    <w:rPr>
                      <w:color w:val="auto"/>
                      <w:kern w:val="0"/>
                      <w:szCs w:val="21"/>
                      <w:u w:val="single"/>
                    </w:rPr>
                  </w:pPr>
                  <w:r>
                    <w:rPr>
                      <w:rFonts w:hint="eastAsia"/>
                      <w:color w:val="auto"/>
                      <w:kern w:val="0"/>
                      <w:szCs w:val="21"/>
                      <w:u w:val="single"/>
                    </w:rPr>
                    <w:t>c）库存危险化学品品种、数量、库内分布、包装形式等信息；</w:t>
                  </w:r>
                </w:p>
                <w:p w14:paraId="75FDBF02">
                  <w:pPr>
                    <w:widowControl/>
                    <w:adjustRightInd w:val="0"/>
                    <w:snapToGrid w:val="0"/>
                    <w:textAlignment w:val="center"/>
                    <w:rPr>
                      <w:color w:val="auto"/>
                      <w:kern w:val="0"/>
                      <w:szCs w:val="21"/>
                      <w:u w:val="single"/>
                    </w:rPr>
                  </w:pPr>
                  <w:r>
                    <w:rPr>
                      <w:rFonts w:hint="eastAsia"/>
                      <w:color w:val="auto"/>
                      <w:kern w:val="0"/>
                      <w:szCs w:val="21"/>
                      <w:u w:val="single"/>
                    </w:rPr>
                    <w:t>d）库存危险化学品禁忌配存情况；</w:t>
                  </w:r>
                </w:p>
                <w:p w14:paraId="2BF79768">
                  <w:pPr>
                    <w:widowControl/>
                    <w:adjustRightInd w:val="0"/>
                    <w:snapToGrid w:val="0"/>
                    <w:textAlignment w:val="center"/>
                    <w:rPr>
                      <w:color w:val="auto"/>
                      <w:kern w:val="0"/>
                      <w:szCs w:val="21"/>
                      <w:u w:val="single"/>
                    </w:rPr>
                  </w:pPr>
                  <w:r>
                    <w:rPr>
                      <w:rFonts w:hint="eastAsia"/>
                      <w:color w:val="auto"/>
                      <w:kern w:val="0"/>
                      <w:szCs w:val="21"/>
                      <w:u w:val="single"/>
                    </w:rPr>
                    <w:t>e）库存危险化学品安全和应急措施。</w:t>
                  </w:r>
                </w:p>
              </w:tc>
              <w:tc>
                <w:tcPr>
                  <w:tcW w:w="2725" w:type="dxa"/>
                  <w:vAlign w:val="center"/>
                </w:tcPr>
                <w:p w14:paraId="35CD97D6">
                  <w:pPr>
                    <w:widowControl/>
                    <w:adjustRightInd w:val="0"/>
                    <w:snapToGrid w:val="0"/>
                    <w:textAlignment w:val="center"/>
                    <w:rPr>
                      <w:color w:val="auto"/>
                      <w:kern w:val="0"/>
                      <w:szCs w:val="21"/>
                      <w:u w:val="single"/>
                    </w:rPr>
                  </w:pPr>
                  <w:r>
                    <w:rPr>
                      <w:rFonts w:hint="eastAsia"/>
                      <w:color w:val="auto"/>
                      <w:kern w:val="0"/>
                      <w:szCs w:val="21"/>
                      <w:u w:val="single"/>
                    </w:rPr>
                    <w:t>符合，企业将建立危险化学品储存信息管理系统，按照储存量大小进行分层次要求，实时记录作业基础数据。</w:t>
                  </w:r>
                </w:p>
              </w:tc>
            </w:tr>
            <w:tr w14:paraId="1029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03EC9908">
                  <w:pPr>
                    <w:adjustRightInd w:val="0"/>
                    <w:snapToGrid w:val="0"/>
                    <w:spacing w:line="240" w:lineRule="exact"/>
                    <w:jc w:val="center"/>
                    <w:rPr>
                      <w:color w:val="auto"/>
                      <w:szCs w:val="21"/>
                      <w:u w:val="single"/>
                    </w:rPr>
                  </w:pPr>
                  <w:r>
                    <w:rPr>
                      <w:rFonts w:hint="eastAsia"/>
                      <w:color w:val="auto"/>
                      <w:szCs w:val="21"/>
                      <w:u w:val="single"/>
                    </w:rPr>
                    <w:t>4.3</w:t>
                  </w:r>
                </w:p>
              </w:tc>
              <w:tc>
                <w:tcPr>
                  <w:tcW w:w="3324" w:type="dxa"/>
                  <w:vAlign w:val="center"/>
                </w:tcPr>
                <w:p w14:paraId="6C1FEE86">
                  <w:pPr>
                    <w:widowControl/>
                    <w:adjustRightInd w:val="0"/>
                    <w:snapToGrid w:val="0"/>
                    <w:textAlignment w:val="center"/>
                    <w:rPr>
                      <w:color w:val="auto"/>
                      <w:kern w:val="0"/>
                      <w:szCs w:val="21"/>
                      <w:u w:val="single"/>
                    </w:rPr>
                  </w:pPr>
                  <w:r>
                    <w:rPr>
                      <w:rFonts w:hint="eastAsia"/>
                      <w:color w:val="auto"/>
                      <w:kern w:val="0"/>
                      <w:szCs w:val="21"/>
                      <w:u w:val="single"/>
                    </w:rPr>
                    <w:t>危险化学品储存信息数据应进行异地实时备份，数据保存期限不少于1年。</w:t>
                  </w:r>
                </w:p>
              </w:tc>
              <w:tc>
                <w:tcPr>
                  <w:tcW w:w="2725" w:type="dxa"/>
                  <w:vAlign w:val="center"/>
                </w:tcPr>
                <w:p w14:paraId="0AB23BD0">
                  <w:pPr>
                    <w:widowControl/>
                    <w:adjustRightInd w:val="0"/>
                    <w:snapToGrid w:val="0"/>
                    <w:textAlignment w:val="center"/>
                    <w:rPr>
                      <w:color w:val="auto"/>
                      <w:kern w:val="0"/>
                      <w:szCs w:val="21"/>
                      <w:u w:val="single"/>
                    </w:rPr>
                  </w:pPr>
                  <w:r>
                    <w:rPr>
                      <w:rFonts w:hint="eastAsia"/>
                      <w:color w:val="auto"/>
                      <w:kern w:val="0"/>
                      <w:szCs w:val="21"/>
                      <w:u w:val="single"/>
                    </w:rPr>
                    <w:t>符合，危险化学品储存信息数据将进行异地实时备份，数据保存期限不少于1年。</w:t>
                  </w:r>
                </w:p>
              </w:tc>
            </w:tr>
            <w:tr w14:paraId="1B4D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36C34133">
                  <w:pPr>
                    <w:adjustRightInd w:val="0"/>
                    <w:snapToGrid w:val="0"/>
                    <w:spacing w:line="240" w:lineRule="exact"/>
                    <w:jc w:val="center"/>
                    <w:rPr>
                      <w:color w:val="auto"/>
                      <w:szCs w:val="21"/>
                      <w:u w:val="single"/>
                    </w:rPr>
                  </w:pPr>
                  <w:r>
                    <w:rPr>
                      <w:rFonts w:hint="eastAsia"/>
                      <w:color w:val="auto"/>
                      <w:szCs w:val="21"/>
                      <w:u w:val="single"/>
                    </w:rPr>
                    <w:t>4.4</w:t>
                  </w:r>
                </w:p>
              </w:tc>
              <w:tc>
                <w:tcPr>
                  <w:tcW w:w="3324" w:type="dxa"/>
                  <w:vAlign w:val="center"/>
                </w:tcPr>
                <w:p w14:paraId="43D042A8">
                  <w:pPr>
                    <w:widowControl/>
                    <w:adjustRightInd w:val="0"/>
                    <w:snapToGrid w:val="0"/>
                    <w:textAlignment w:val="center"/>
                    <w:rPr>
                      <w:color w:val="auto"/>
                      <w:kern w:val="0"/>
                      <w:szCs w:val="21"/>
                      <w:u w:val="single"/>
                    </w:rPr>
                  </w:pPr>
                  <w:r>
                    <w:rPr>
                      <w:rFonts w:hint="eastAsia"/>
                      <w:color w:val="auto"/>
                      <w:kern w:val="0"/>
                      <w:szCs w:val="21"/>
                      <w:u w:val="single"/>
                    </w:rPr>
                    <w:t>危险化学品信息系统应具有接入所在地相关监管部门业务信息系统的接口。</w:t>
                  </w:r>
                </w:p>
              </w:tc>
              <w:tc>
                <w:tcPr>
                  <w:tcW w:w="2725" w:type="dxa"/>
                  <w:vAlign w:val="center"/>
                </w:tcPr>
                <w:p w14:paraId="1CD9E749">
                  <w:pPr>
                    <w:widowControl/>
                    <w:adjustRightInd w:val="0"/>
                    <w:snapToGrid w:val="0"/>
                    <w:textAlignment w:val="center"/>
                    <w:rPr>
                      <w:color w:val="auto"/>
                      <w:kern w:val="0"/>
                      <w:szCs w:val="21"/>
                      <w:u w:val="single"/>
                    </w:rPr>
                  </w:pPr>
                  <w:r>
                    <w:rPr>
                      <w:rFonts w:hint="eastAsia"/>
                      <w:color w:val="auto"/>
                      <w:kern w:val="0"/>
                      <w:szCs w:val="21"/>
                      <w:u w:val="single"/>
                    </w:rPr>
                    <w:t>符合，危险化学品信息系统将加入具有接入所在地相关监管部门业务信息系统。</w:t>
                  </w:r>
                </w:p>
              </w:tc>
            </w:tr>
            <w:tr w14:paraId="543E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3" w:type="dxa"/>
                  <w:gridSpan w:val="3"/>
                  <w:vAlign w:val="center"/>
                </w:tcPr>
                <w:p w14:paraId="7BDA3887">
                  <w:pPr>
                    <w:widowControl/>
                    <w:adjustRightInd w:val="0"/>
                    <w:snapToGrid w:val="0"/>
                    <w:jc w:val="center"/>
                    <w:textAlignment w:val="center"/>
                    <w:rPr>
                      <w:color w:val="auto"/>
                      <w:kern w:val="0"/>
                      <w:szCs w:val="21"/>
                      <w:u w:val="single"/>
                    </w:rPr>
                  </w:pPr>
                  <w:r>
                    <w:rPr>
                      <w:rFonts w:hint="eastAsia"/>
                      <w:color w:val="auto"/>
                      <w:kern w:val="0"/>
                      <w:szCs w:val="21"/>
                      <w:u w:val="single"/>
                    </w:rPr>
                    <w:t>储存要求</w:t>
                  </w:r>
                </w:p>
              </w:tc>
            </w:tr>
            <w:tr w14:paraId="4B25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4933D033">
                  <w:pPr>
                    <w:widowControl/>
                    <w:adjustRightInd w:val="0"/>
                    <w:snapToGrid w:val="0"/>
                    <w:jc w:val="center"/>
                    <w:textAlignment w:val="center"/>
                    <w:rPr>
                      <w:color w:val="auto"/>
                      <w:kern w:val="0"/>
                      <w:szCs w:val="21"/>
                      <w:u w:val="single"/>
                    </w:rPr>
                  </w:pPr>
                  <w:r>
                    <w:rPr>
                      <w:rFonts w:hint="eastAsia"/>
                      <w:color w:val="auto"/>
                      <w:kern w:val="0"/>
                      <w:szCs w:val="21"/>
                      <w:u w:val="single"/>
                    </w:rPr>
                    <w:t>5.1</w:t>
                  </w:r>
                </w:p>
              </w:tc>
              <w:tc>
                <w:tcPr>
                  <w:tcW w:w="3324" w:type="dxa"/>
                  <w:vAlign w:val="center"/>
                </w:tcPr>
                <w:p w14:paraId="62FFBAAD">
                  <w:pPr>
                    <w:widowControl/>
                    <w:adjustRightInd w:val="0"/>
                    <w:snapToGrid w:val="0"/>
                    <w:textAlignment w:val="center"/>
                    <w:rPr>
                      <w:color w:val="auto"/>
                      <w:kern w:val="0"/>
                      <w:szCs w:val="21"/>
                      <w:u w:val="single"/>
                    </w:rPr>
                  </w:pPr>
                  <w:r>
                    <w:rPr>
                      <w:rFonts w:hint="eastAsia"/>
                      <w:color w:val="auto"/>
                      <w:kern w:val="0"/>
                      <w:szCs w:val="21"/>
                      <w:u w:val="single"/>
                    </w:rPr>
                    <w:t>危险化学品仓库应采用隔离储存、隔开储存、分离储存的方式对危险化学品进行储存。</w:t>
                  </w:r>
                </w:p>
              </w:tc>
              <w:tc>
                <w:tcPr>
                  <w:tcW w:w="2725" w:type="dxa"/>
                  <w:vAlign w:val="center"/>
                </w:tcPr>
                <w:p w14:paraId="3FC913AA">
                  <w:pPr>
                    <w:widowControl/>
                    <w:adjustRightInd w:val="0"/>
                    <w:snapToGrid w:val="0"/>
                    <w:textAlignment w:val="center"/>
                    <w:rPr>
                      <w:color w:val="auto"/>
                      <w:kern w:val="0"/>
                      <w:szCs w:val="21"/>
                      <w:u w:val="single"/>
                    </w:rPr>
                  </w:pPr>
                  <w:r>
                    <w:rPr>
                      <w:rFonts w:hint="eastAsia"/>
                      <w:color w:val="auto"/>
                      <w:kern w:val="0"/>
                      <w:szCs w:val="21"/>
                      <w:u w:val="single"/>
                    </w:rPr>
                    <w:t>符合，项目危险化学品仓库采用隔离储存、隔开储存、分离储存的方式对危险化学品进行储存。</w:t>
                  </w:r>
                </w:p>
              </w:tc>
            </w:tr>
            <w:tr w14:paraId="464B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7944688C">
                  <w:pPr>
                    <w:widowControl/>
                    <w:adjustRightInd w:val="0"/>
                    <w:snapToGrid w:val="0"/>
                    <w:jc w:val="center"/>
                    <w:textAlignment w:val="center"/>
                    <w:rPr>
                      <w:color w:val="auto"/>
                      <w:kern w:val="0"/>
                      <w:szCs w:val="21"/>
                      <w:u w:val="single"/>
                    </w:rPr>
                  </w:pPr>
                  <w:r>
                    <w:rPr>
                      <w:rFonts w:hint="eastAsia"/>
                      <w:color w:val="auto"/>
                      <w:kern w:val="0"/>
                      <w:szCs w:val="21"/>
                      <w:u w:val="single"/>
                    </w:rPr>
                    <w:t>5.2</w:t>
                  </w:r>
                </w:p>
              </w:tc>
              <w:tc>
                <w:tcPr>
                  <w:tcW w:w="3324" w:type="dxa"/>
                  <w:vAlign w:val="center"/>
                </w:tcPr>
                <w:p w14:paraId="7372B314">
                  <w:pPr>
                    <w:widowControl/>
                    <w:adjustRightInd w:val="0"/>
                    <w:snapToGrid w:val="0"/>
                    <w:textAlignment w:val="center"/>
                    <w:rPr>
                      <w:color w:val="auto"/>
                      <w:kern w:val="0"/>
                      <w:szCs w:val="21"/>
                      <w:u w:val="single"/>
                    </w:rPr>
                  </w:pPr>
                  <w:r>
                    <w:rPr>
                      <w:rFonts w:hint="eastAsia"/>
                      <w:color w:val="auto"/>
                      <w:kern w:val="0"/>
                      <w:szCs w:val="21"/>
                      <w:u w:val="single"/>
                    </w:rPr>
                    <w:t>应选择符合危险化学品的特性、防火要求及化学品安全技术说明书中储存要求的仓储设施进行储存。</w:t>
                  </w:r>
                </w:p>
              </w:tc>
              <w:tc>
                <w:tcPr>
                  <w:tcW w:w="2725" w:type="dxa"/>
                  <w:vAlign w:val="center"/>
                </w:tcPr>
                <w:p w14:paraId="6AA9B32C">
                  <w:pPr>
                    <w:widowControl/>
                    <w:adjustRightInd w:val="0"/>
                    <w:snapToGrid w:val="0"/>
                    <w:textAlignment w:val="center"/>
                    <w:rPr>
                      <w:color w:val="auto"/>
                      <w:kern w:val="0"/>
                      <w:szCs w:val="21"/>
                      <w:u w:val="single"/>
                    </w:rPr>
                  </w:pPr>
                  <w:r>
                    <w:rPr>
                      <w:rFonts w:hint="eastAsia"/>
                      <w:color w:val="auto"/>
                      <w:kern w:val="0"/>
                      <w:szCs w:val="21"/>
                      <w:u w:val="single"/>
                    </w:rPr>
                    <w:t>符合，项目根据危险化学品的特性、防火要求及危险化学品安全技术说明对危险化学品进行分类储存。</w:t>
                  </w:r>
                </w:p>
              </w:tc>
            </w:tr>
            <w:tr w14:paraId="3F41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4" w:type="dxa"/>
                  <w:vAlign w:val="center"/>
                </w:tcPr>
                <w:p w14:paraId="1B511BD1">
                  <w:pPr>
                    <w:widowControl/>
                    <w:adjustRightInd w:val="0"/>
                    <w:snapToGrid w:val="0"/>
                    <w:jc w:val="center"/>
                    <w:textAlignment w:val="center"/>
                    <w:rPr>
                      <w:color w:val="auto"/>
                      <w:kern w:val="0"/>
                      <w:szCs w:val="21"/>
                      <w:u w:val="single"/>
                    </w:rPr>
                  </w:pPr>
                  <w:r>
                    <w:rPr>
                      <w:rFonts w:hint="eastAsia"/>
                      <w:color w:val="auto"/>
                      <w:kern w:val="0"/>
                      <w:szCs w:val="21"/>
                      <w:u w:val="single"/>
                    </w:rPr>
                    <w:t>5.3</w:t>
                  </w:r>
                </w:p>
              </w:tc>
              <w:tc>
                <w:tcPr>
                  <w:tcW w:w="3324" w:type="dxa"/>
                  <w:vAlign w:val="center"/>
                </w:tcPr>
                <w:p w14:paraId="5DED22DC">
                  <w:pPr>
                    <w:widowControl/>
                    <w:adjustRightInd w:val="0"/>
                    <w:snapToGrid w:val="0"/>
                    <w:textAlignment w:val="center"/>
                    <w:rPr>
                      <w:color w:val="auto"/>
                      <w:kern w:val="0"/>
                      <w:szCs w:val="21"/>
                      <w:u w:val="single"/>
                    </w:rPr>
                  </w:pPr>
                  <w:r>
                    <w:rPr>
                      <w:rFonts w:hint="eastAsia"/>
                      <w:color w:val="auto"/>
                      <w:kern w:val="0"/>
                      <w:szCs w:val="21"/>
                      <w:u w:val="single"/>
                    </w:rPr>
                    <w:t>应根据危险化学品仓库的设计和经营许可要求，严格控制危险化学品的储存品种、数量。</w:t>
                  </w:r>
                </w:p>
              </w:tc>
              <w:tc>
                <w:tcPr>
                  <w:tcW w:w="2725" w:type="dxa"/>
                  <w:vAlign w:val="center"/>
                </w:tcPr>
                <w:p w14:paraId="4BDD2C63">
                  <w:pPr>
                    <w:widowControl/>
                    <w:adjustRightInd w:val="0"/>
                    <w:snapToGrid w:val="0"/>
                    <w:textAlignment w:val="center"/>
                    <w:rPr>
                      <w:color w:val="auto"/>
                      <w:kern w:val="0"/>
                      <w:szCs w:val="21"/>
                      <w:u w:val="single"/>
                    </w:rPr>
                  </w:pPr>
                  <w:r>
                    <w:rPr>
                      <w:rFonts w:hint="eastAsia"/>
                      <w:color w:val="auto"/>
                      <w:kern w:val="0"/>
                      <w:szCs w:val="21"/>
                      <w:u w:val="single"/>
                    </w:rPr>
                    <w:t>符合，项目将根据危险化学品仓库的设计和经营许可要求，严格控制危险化学品的储存品种、数量。</w:t>
                  </w:r>
                </w:p>
              </w:tc>
            </w:tr>
            <w:tr w14:paraId="17FA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318D303B">
                  <w:pPr>
                    <w:widowControl/>
                    <w:adjustRightInd w:val="0"/>
                    <w:snapToGrid w:val="0"/>
                    <w:jc w:val="center"/>
                    <w:textAlignment w:val="center"/>
                    <w:rPr>
                      <w:color w:val="auto"/>
                      <w:kern w:val="0"/>
                      <w:szCs w:val="21"/>
                      <w:u w:val="single"/>
                    </w:rPr>
                  </w:pPr>
                  <w:r>
                    <w:rPr>
                      <w:rFonts w:hint="eastAsia"/>
                      <w:color w:val="auto"/>
                      <w:kern w:val="0"/>
                      <w:szCs w:val="21"/>
                      <w:u w:val="single"/>
                    </w:rPr>
                    <w:t>5.4</w:t>
                  </w:r>
                </w:p>
              </w:tc>
              <w:tc>
                <w:tcPr>
                  <w:tcW w:w="3324" w:type="dxa"/>
                  <w:vAlign w:val="center"/>
                </w:tcPr>
                <w:p w14:paraId="6B3EF714">
                  <w:pPr>
                    <w:widowControl/>
                    <w:adjustRightInd w:val="0"/>
                    <w:snapToGrid w:val="0"/>
                    <w:textAlignment w:val="center"/>
                    <w:rPr>
                      <w:color w:val="auto"/>
                      <w:kern w:val="0"/>
                      <w:szCs w:val="21"/>
                      <w:u w:val="single"/>
                    </w:rPr>
                  </w:pPr>
                  <w:r>
                    <w:rPr>
                      <w:rFonts w:hint="eastAsia"/>
                      <w:color w:val="auto"/>
                      <w:kern w:val="0"/>
                      <w:szCs w:val="21"/>
                      <w:u w:val="single"/>
                    </w:rPr>
                    <w:t>危险化学品储存应满足危险化学品分类、包装、储存方式及消防要求。</w:t>
                  </w:r>
                </w:p>
              </w:tc>
              <w:tc>
                <w:tcPr>
                  <w:tcW w:w="2725" w:type="dxa"/>
                  <w:vAlign w:val="center"/>
                </w:tcPr>
                <w:p w14:paraId="1D042D14">
                  <w:pPr>
                    <w:widowControl/>
                    <w:adjustRightInd w:val="0"/>
                    <w:snapToGrid w:val="0"/>
                    <w:textAlignment w:val="center"/>
                    <w:rPr>
                      <w:color w:val="auto"/>
                      <w:kern w:val="0"/>
                      <w:szCs w:val="21"/>
                      <w:u w:val="single"/>
                    </w:rPr>
                  </w:pPr>
                  <w:r>
                    <w:rPr>
                      <w:rFonts w:hint="eastAsia"/>
                      <w:color w:val="auto"/>
                      <w:kern w:val="0"/>
                      <w:szCs w:val="21"/>
                      <w:u w:val="single"/>
                    </w:rPr>
                    <w:t>符合，项目危险化学品储存满足危险化学品分类、包装、储存方式及消防要求。</w:t>
                  </w:r>
                </w:p>
              </w:tc>
            </w:tr>
            <w:tr w14:paraId="3EB5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24564089">
                  <w:pPr>
                    <w:widowControl/>
                    <w:adjustRightInd w:val="0"/>
                    <w:snapToGrid w:val="0"/>
                    <w:jc w:val="center"/>
                    <w:textAlignment w:val="center"/>
                    <w:rPr>
                      <w:color w:val="auto"/>
                      <w:kern w:val="0"/>
                      <w:szCs w:val="21"/>
                      <w:u w:val="single"/>
                    </w:rPr>
                  </w:pPr>
                  <w:r>
                    <w:rPr>
                      <w:rFonts w:hint="eastAsia"/>
                      <w:color w:val="auto"/>
                      <w:kern w:val="0"/>
                      <w:szCs w:val="21"/>
                      <w:u w:val="single"/>
                    </w:rPr>
                    <w:t>5.5</w:t>
                  </w:r>
                </w:p>
              </w:tc>
              <w:tc>
                <w:tcPr>
                  <w:tcW w:w="3324" w:type="dxa"/>
                  <w:vAlign w:val="center"/>
                </w:tcPr>
                <w:p w14:paraId="2B0DE55E">
                  <w:pPr>
                    <w:widowControl/>
                    <w:adjustRightInd w:val="0"/>
                    <w:snapToGrid w:val="0"/>
                    <w:textAlignment w:val="center"/>
                    <w:rPr>
                      <w:color w:val="auto"/>
                      <w:kern w:val="0"/>
                      <w:szCs w:val="21"/>
                      <w:u w:val="single"/>
                    </w:rPr>
                  </w:pPr>
                  <w:r>
                    <w:rPr>
                      <w:rFonts w:hint="eastAsia"/>
                      <w:color w:val="auto"/>
                      <w:kern w:val="0"/>
                      <w:szCs w:val="21"/>
                      <w:u w:val="single"/>
                    </w:rPr>
                    <w:t>危险化学品的储存配存，应符合附录A及其化学品安全技术说明书的要求。</w:t>
                  </w:r>
                </w:p>
              </w:tc>
              <w:tc>
                <w:tcPr>
                  <w:tcW w:w="2725" w:type="dxa"/>
                  <w:vAlign w:val="center"/>
                </w:tcPr>
                <w:p w14:paraId="523926FA">
                  <w:pPr>
                    <w:widowControl/>
                    <w:adjustRightInd w:val="0"/>
                    <w:snapToGrid w:val="0"/>
                    <w:textAlignment w:val="center"/>
                    <w:rPr>
                      <w:color w:val="auto"/>
                      <w:kern w:val="0"/>
                      <w:szCs w:val="21"/>
                      <w:u w:val="single"/>
                    </w:rPr>
                  </w:pPr>
                  <w:r>
                    <w:rPr>
                      <w:rFonts w:hint="eastAsia"/>
                      <w:color w:val="auto"/>
                      <w:kern w:val="0"/>
                      <w:szCs w:val="21"/>
                      <w:u w:val="single"/>
                    </w:rPr>
                    <w:t>符合，危险化学品的储存配存符合GB 15603-2022附录A及其化学品安全技术说明书的要求。</w:t>
                  </w:r>
                </w:p>
              </w:tc>
            </w:tr>
            <w:tr w14:paraId="673A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753F36E0">
                  <w:pPr>
                    <w:widowControl/>
                    <w:adjustRightInd w:val="0"/>
                    <w:snapToGrid w:val="0"/>
                    <w:jc w:val="center"/>
                    <w:textAlignment w:val="center"/>
                    <w:rPr>
                      <w:color w:val="auto"/>
                      <w:kern w:val="0"/>
                      <w:szCs w:val="21"/>
                      <w:u w:val="single"/>
                    </w:rPr>
                  </w:pPr>
                  <w:r>
                    <w:rPr>
                      <w:rFonts w:hint="eastAsia"/>
                      <w:color w:val="auto"/>
                      <w:kern w:val="0"/>
                      <w:szCs w:val="21"/>
                      <w:u w:val="single"/>
                    </w:rPr>
                    <w:t>5.6</w:t>
                  </w:r>
                </w:p>
              </w:tc>
              <w:tc>
                <w:tcPr>
                  <w:tcW w:w="3324" w:type="dxa"/>
                  <w:vAlign w:val="center"/>
                </w:tcPr>
                <w:p w14:paraId="2920217F">
                  <w:pPr>
                    <w:widowControl/>
                    <w:adjustRightInd w:val="0"/>
                    <w:snapToGrid w:val="0"/>
                    <w:textAlignment w:val="center"/>
                    <w:rPr>
                      <w:color w:val="auto"/>
                      <w:kern w:val="0"/>
                      <w:szCs w:val="21"/>
                      <w:u w:val="single"/>
                    </w:rPr>
                  </w:pPr>
                  <w:r>
                    <w:rPr>
                      <w:rFonts w:hint="eastAsia"/>
                      <w:color w:val="auto"/>
                      <w:kern w:val="0"/>
                      <w:szCs w:val="21"/>
                      <w:u w:val="single"/>
                    </w:rPr>
                    <w:t>储存爆炸物的仓库，其外部安全防护距离以及物品存放应满足GB18265的要求。</w:t>
                  </w:r>
                </w:p>
              </w:tc>
              <w:tc>
                <w:tcPr>
                  <w:tcW w:w="2725" w:type="dxa"/>
                  <w:vAlign w:val="center"/>
                </w:tcPr>
                <w:p w14:paraId="6FB43892">
                  <w:pPr>
                    <w:widowControl/>
                    <w:adjustRightInd w:val="0"/>
                    <w:snapToGrid w:val="0"/>
                    <w:textAlignment w:val="center"/>
                    <w:rPr>
                      <w:color w:val="auto"/>
                      <w:kern w:val="0"/>
                      <w:szCs w:val="21"/>
                      <w:u w:val="single"/>
                    </w:rPr>
                  </w:pPr>
                  <w:r>
                    <w:rPr>
                      <w:rFonts w:hint="eastAsia"/>
                      <w:color w:val="auto"/>
                      <w:kern w:val="0"/>
                      <w:szCs w:val="21"/>
                      <w:u w:val="single"/>
                    </w:rPr>
                    <w:t>符合，储存爆炸物的仓库，其外部安全防护距离以及物品存放满足GB18265的要求。</w:t>
                  </w:r>
                </w:p>
              </w:tc>
            </w:tr>
            <w:tr w14:paraId="522E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4CC2EC93">
                  <w:pPr>
                    <w:widowControl/>
                    <w:adjustRightInd w:val="0"/>
                    <w:snapToGrid w:val="0"/>
                    <w:jc w:val="center"/>
                    <w:textAlignment w:val="center"/>
                    <w:rPr>
                      <w:color w:val="auto"/>
                      <w:kern w:val="0"/>
                      <w:szCs w:val="21"/>
                      <w:u w:val="single"/>
                    </w:rPr>
                  </w:pPr>
                  <w:r>
                    <w:rPr>
                      <w:rFonts w:hint="eastAsia"/>
                      <w:color w:val="auto"/>
                      <w:kern w:val="0"/>
                      <w:szCs w:val="21"/>
                      <w:u w:val="single"/>
                    </w:rPr>
                    <w:t>5.7</w:t>
                  </w:r>
                </w:p>
              </w:tc>
              <w:tc>
                <w:tcPr>
                  <w:tcW w:w="3324" w:type="dxa"/>
                  <w:vAlign w:val="center"/>
                </w:tcPr>
                <w:p w14:paraId="1F05527C">
                  <w:pPr>
                    <w:widowControl/>
                    <w:adjustRightInd w:val="0"/>
                    <w:snapToGrid w:val="0"/>
                    <w:textAlignment w:val="center"/>
                    <w:rPr>
                      <w:color w:val="auto"/>
                      <w:kern w:val="0"/>
                      <w:szCs w:val="21"/>
                      <w:u w:val="single"/>
                    </w:rPr>
                  </w:pPr>
                  <w:r>
                    <w:rPr>
                      <w:rFonts w:hint="eastAsia"/>
                      <w:color w:val="auto"/>
                      <w:kern w:val="0"/>
                      <w:szCs w:val="21"/>
                      <w:u w:val="single"/>
                    </w:rPr>
                    <w:t>储存有毒气体或易燃气体，且其构成危险化学品重大危险源的仓库，其外部安全防护距离应满足GB18265的要求。</w:t>
                  </w:r>
                </w:p>
              </w:tc>
              <w:tc>
                <w:tcPr>
                  <w:tcW w:w="2725" w:type="dxa"/>
                  <w:vAlign w:val="center"/>
                </w:tcPr>
                <w:p w14:paraId="3142A399">
                  <w:pPr>
                    <w:widowControl/>
                    <w:adjustRightInd w:val="0"/>
                    <w:snapToGrid w:val="0"/>
                    <w:textAlignment w:val="center"/>
                    <w:rPr>
                      <w:color w:val="auto"/>
                      <w:kern w:val="0"/>
                      <w:szCs w:val="21"/>
                      <w:u w:val="single"/>
                    </w:rPr>
                  </w:pPr>
                  <w:r>
                    <w:rPr>
                      <w:rFonts w:hint="eastAsia"/>
                      <w:color w:val="auto"/>
                      <w:kern w:val="0"/>
                      <w:szCs w:val="21"/>
                      <w:u w:val="single"/>
                    </w:rPr>
                    <w:t>符合，项目不储存有毒气体或易燃气体。</w:t>
                  </w:r>
                </w:p>
              </w:tc>
            </w:tr>
            <w:tr w14:paraId="1184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3D4ED8D0">
                  <w:pPr>
                    <w:widowControl/>
                    <w:adjustRightInd w:val="0"/>
                    <w:snapToGrid w:val="0"/>
                    <w:jc w:val="center"/>
                    <w:textAlignment w:val="center"/>
                    <w:rPr>
                      <w:color w:val="auto"/>
                      <w:kern w:val="0"/>
                      <w:szCs w:val="21"/>
                      <w:u w:val="single"/>
                    </w:rPr>
                  </w:pPr>
                  <w:r>
                    <w:rPr>
                      <w:rFonts w:hint="eastAsia"/>
                      <w:color w:val="auto"/>
                      <w:kern w:val="0"/>
                      <w:szCs w:val="21"/>
                      <w:u w:val="single"/>
                    </w:rPr>
                    <w:t>5.8</w:t>
                  </w:r>
                </w:p>
              </w:tc>
              <w:tc>
                <w:tcPr>
                  <w:tcW w:w="3324" w:type="dxa"/>
                  <w:vAlign w:val="center"/>
                </w:tcPr>
                <w:p w14:paraId="5A6A52B1">
                  <w:pPr>
                    <w:widowControl/>
                    <w:adjustRightInd w:val="0"/>
                    <w:snapToGrid w:val="0"/>
                    <w:textAlignment w:val="center"/>
                    <w:rPr>
                      <w:color w:val="auto"/>
                      <w:kern w:val="0"/>
                      <w:szCs w:val="21"/>
                      <w:u w:val="single"/>
                    </w:rPr>
                  </w:pPr>
                  <w:r>
                    <w:rPr>
                      <w:rFonts w:hint="eastAsia"/>
                      <w:color w:val="auto"/>
                      <w:kern w:val="0"/>
                      <w:szCs w:val="21"/>
                      <w:u w:val="single"/>
                    </w:rPr>
                    <w:t>储存具有火灾危险性危险化学品的仓库，耐火等级、层数、面积及防火间距应符合GB50016的要求。</w:t>
                  </w:r>
                </w:p>
              </w:tc>
              <w:tc>
                <w:tcPr>
                  <w:tcW w:w="2725" w:type="dxa"/>
                  <w:vAlign w:val="center"/>
                </w:tcPr>
                <w:p w14:paraId="4CF9FD59">
                  <w:pPr>
                    <w:widowControl/>
                    <w:adjustRightInd w:val="0"/>
                    <w:snapToGrid w:val="0"/>
                    <w:textAlignment w:val="center"/>
                    <w:rPr>
                      <w:color w:val="auto"/>
                      <w:kern w:val="0"/>
                      <w:szCs w:val="21"/>
                      <w:u w:val="single"/>
                    </w:rPr>
                  </w:pPr>
                  <w:r>
                    <w:rPr>
                      <w:rFonts w:hint="eastAsia"/>
                      <w:color w:val="auto"/>
                      <w:kern w:val="0"/>
                      <w:szCs w:val="21"/>
                      <w:u w:val="single"/>
                    </w:rPr>
                    <w:t>符合，项目危险化学品储存仓库耐火等级、层数、面积及防火间距符合GB50016的要求。</w:t>
                  </w:r>
                </w:p>
              </w:tc>
            </w:tr>
            <w:tr w14:paraId="00E0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6B9BCB6B">
                  <w:pPr>
                    <w:widowControl/>
                    <w:adjustRightInd w:val="0"/>
                    <w:snapToGrid w:val="0"/>
                    <w:jc w:val="center"/>
                    <w:textAlignment w:val="center"/>
                    <w:rPr>
                      <w:color w:val="auto"/>
                      <w:kern w:val="0"/>
                      <w:szCs w:val="21"/>
                      <w:u w:val="single"/>
                    </w:rPr>
                  </w:pPr>
                  <w:r>
                    <w:rPr>
                      <w:rFonts w:hint="eastAsia"/>
                      <w:color w:val="auto"/>
                      <w:kern w:val="0"/>
                      <w:szCs w:val="21"/>
                      <w:u w:val="single"/>
                    </w:rPr>
                    <w:t>5.9</w:t>
                  </w:r>
                </w:p>
              </w:tc>
              <w:tc>
                <w:tcPr>
                  <w:tcW w:w="3324" w:type="dxa"/>
                  <w:vAlign w:val="center"/>
                </w:tcPr>
                <w:p w14:paraId="44370989">
                  <w:pPr>
                    <w:widowControl/>
                    <w:adjustRightInd w:val="0"/>
                    <w:snapToGrid w:val="0"/>
                    <w:textAlignment w:val="center"/>
                    <w:rPr>
                      <w:color w:val="auto"/>
                      <w:kern w:val="0"/>
                      <w:szCs w:val="21"/>
                      <w:u w:val="single"/>
                    </w:rPr>
                  </w:pPr>
                  <w:r>
                    <w:rPr>
                      <w:rFonts w:hint="eastAsia"/>
                      <w:color w:val="auto"/>
                      <w:kern w:val="0"/>
                      <w:szCs w:val="21"/>
                      <w:u w:val="single"/>
                    </w:rPr>
                    <w:t>剧毒化学品、易燃气体、氧化性气体、急性毒性气体、遇水放出易燃气体的物质和混合物、氯酸盐、高锰酸盐、亚硝酸盐、过氧化钠、过氧化氢、溴素应分离储存。</w:t>
                  </w:r>
                </w:p>
              </w:tc>
              <w:tc>
                <w:tcPr>
                  <w:tcW w:w="2725" w:type="dxa"/>
                  <w:vAlign w:val="center"/>
                </w:tcPr>
                <w:p w14:paraId="52D2819F">
                  <w:pPr>
                    <w:widowControl/>
                    <w:adjustRightInd w:val="0"/>
                    <w:snapToGrid w:val="0"/>
                    <w:textAlignment w:val="center"/>
                    <w:rPr>
                      <w:color w:val="auto"/>
                      <w:kern w:val="0"/>
                      <w:szCs w:val="21"/>
                      <w:u w:val="single"/>
                    </w:rPr>
                  </w:pPr>
                  <w:r>
                    <w:rPr>
                      <w:rFonts w:hint="eastAsia"/>
                      <w:color w:val="auto"/>
                      <w:kern w:val="0"/>
                      <w:szCs w:val="21"/>
                      <w:u w:val="single"/>
                    </w:rPr>
                    <w:t>符合，项目不涉及剧毒化学品、易燃气体、氧化性气体、急性毒性气体、遇水放出易燃气体的物质和混合物、氯酸盐、高锰酸盐、亚硝酸盐、过氧化钠、过氧化氢、溴素等物品的储存。</w:t>
                  </w:r>
                </w:p>
              </w:tc>
            </w:tr>
            <w:tr w14:paraId="1DF3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773BA2C0">
                  <w:pPr>
                    <w:widowControl/>
                    <w:adjustRightInd w:val="0"/>
                    <w:snapToGrid w:val="0"/>
                    <w:jc w:val="center"/>
                    <w:textAlignment w:val="center"/>
                    <w:rPr>
                      <w:color w:val="auto"/>
                      <w:kern w:val="0"/>
                      <w:szCs w:val="21"/>
                      <w:u w:val="single"/>
                    </w:rPr>
                  </w:pPr>
                  <w:r>
                    <w:rPr>
                      <w:rFonts w:hint="eastAsia"/>
                      <w:color w:val="auto"/>
                      <w:kern w:val="0"/>
                      <w:szCs w:val="21"/>
                      <w:u w:val="single"/>
                    </w:rPr>
                    <w:t>5.10</w:t>
                  </w:r>
                </w:p>
              </w:tc>
              <w:tc>
                <w:tcPr>
                  <w:tcW w:w="3324" w:type="dxa"/>
                  <w:vAlign w:val="center"/>
                </w:tcPr>
                <w:p w14:paraId="6C24D680">
                  <w:pPr>
                    <w:widowControl/>
                    <w:adjustRightInd w:val="0"/>
                    <w:snapToGrid w:val="0"/>
                    <w:textAlignment w:val="center"/>
                    <w:rPr>
                      <w:color w:val="auto"/>
                      <w:kern w:val="0"/>
                      <w:szCs w:val="21"/>
                      <w:u w:val="single"/>
                    </w:rPr>
                  </w:pPr>
                  <w:r>
                    <w:rPr>
                      <w:rFonts w:hint="eastAsia"/>
                      <w:color w:val="auto"/>
                      <w:kern w:val="0"/>
                      <w:szCs w:val="21"/>
                      <w:u w:val="single"/>
                    </w:rPr>
                    <w:t>剧毒化学品、监控化学品、易制毒化学品、易制爆危险化学品，应按规定将储存地点、储存数量、流向及管理人员的情况报相关部门备案，剧毒化学品以及构成重大危险源的危险化学品，应在专用仓库内单独存放，并实行双人收发、双人保管制度。</w:t>
                  </w:r>
                </w:p>
              </w:tc>
              <w:tc>
                <w:tcPr>
                  <w:tcW w:w="2725" w:type="dxa"/>
                  <w:vAlign w:val="center"/>
                </w:tcPr>
                <w:p w14:paraId="2151CCB6">
                  <w:pPr>
                    <w:widowControl/>
                    <w:adjustRightInd w:val="0"/>
                    <w:snapToGrid w:val="0"/>
                    <w:textAlignment w:val="center"/>
                    <w:rPr>
                      <w:color w:val="auto"/>
                      <w:kern w:val="0"/>
                      <w:szCs w:val="21"/>
                      <w:u w:val="single"/>
                    </w:rPr>
                  </w:pPr>
                  <w:r>
                    <w:rPr>
                      <w:rFonts w:hint="eastAsia"/>
                      <w:color w:val="auto"/>
                      <w:kern w:val="0"/>
                      <w:szCs w:val="21"/>
                      <w:u w:val="single"/>
                    </w:rPr>
                    <w:t>符合，项目不涉及剧毒化学品、监控化学品的储存。项目贮存的盐酸属于易制毒化学品，项目不涉及贮存易制爆危险化学品，项目贮存的盐酸应按规定将储存地点、储存数量、流向及管理人员的情况报相关部门备案。</w:t>
                  </w:r>
                </w:p>
              </w:tc>
            </w:tr>
            <w:tr w14:paraId="0E10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3" w:type="dxa"/>
                  <w:gridSpan w:val="3"/>
                  <w:vAlign w:val="center"/>
                </w:tcPr>
                <w:p w14:paraId="26ED7058">
                  <w:pPr>
                    <w:widowControl/>
                    <w:adjustRightInd w:val="0"/>
                    <w:snapToGrid w:val="0"/>
                    <w:jc w:val="center"/>
                    <w:textAlignment w:val="center"/>
                    <w:rPr>
                      <w:color w:val="auto"/>
                      <w:kern w:val="0"/>
                      <w:szCs w:val="21"/>
                      <w:u w:val="single"/>
                    </w:rPr>
                  </w:pPr>
                  <w:r>
                    <w:rPr>
                      <w:rFonts w:hint="eastAsia"/>
                      <w:color w:val="auto"/>
                      <w:kern w:val="0"/>
                      <w:szCs w:val="21"/>
                      <w:u w:val="single"/>
                    </w:rPr>
                    <w:t>装卸搬运与堆码</w:t>
                  </w:r>
                </w:p>
              </w:tc>
            </w:tr>
            <w:tr w14:paraId="4B67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506215B2">
                  <w:pPr>
                    <w:widowControl/>
                    <w:adjustRightInd w:val="0"/>
                    <w:snapToGrid w:val="0"/>
                    <w:textAlignment w:val="center"/>
                    <w:rPr>
                      <w:color w:val="auto"/>
                      <w:kern w:val="0"/>
                      <w:szCs w:val="21"/>
                      <w:u w:val="single"/>
                    </w:rPr>
                  </w:pPr>
                  <w:r>
                    <w:rPr>
                      <w:rFonts w:hint="eastAsia"/>
                      <w:color w:val="auto"/>
                      <w:kern w:val="0"/>
                      <w:szCs w:val="21"/>
                      <w:u w:val="single"/>
                    </w:rPr>
                    <w:t>6.1.1</w:t>
                  </w:r>
                </w:p>
              </w:tc>
              <w:tc>
                <w:tcPr>
                  <w:tcW w:w="3324" w:type="dxa"/>
                  <w:vAlign w:val="center"/>
                </w:tcPr>
                <w:p w14:paraId="2D9900D5">
                  <w:pPr>
                    <w:widowControl/>
                    <w:adjustRightInd w:val="0"/>
                    <w:snapToGrid w:val="0"/>
                    <w:textAlignment w:val="center"/>
                    <w:rPr>
                      <w:color w:val="auto"/>
                      <w:kern w:val="0"/>
                      <w:szCs w:val="21"/>
                      <w:u w:val="single"/>
                    </w:rPr>
                  </w:pPr>
                  <w:r>
                    <w:rPr>
                      <w:rFonts w:hint="eastAsia"/>
                      <w:color w:val="auto"/>
                      <w:kern w:val="0"/>
                      <w:szCs w:val="21"/>
                      <w:u w:val="single"/>
                    </w:rPr>
                    <w:t>应按照化学品安全技术说明书及装卸要求进行作业。</w:t>
                  </w:r>
                </w:p>
              </w:tc>
              <w:tc>
                <w:tcPr>
                  <w:tcW w:w="2725" w:type="dxa"/>
                  <w:vAlign w:val="center"/>
                </w:tcPr>
                <w:p w14:paraId="6555A6C0">
                  <w:pPr>
                    <w:widowControl/>
                    <w:adjustRightInd w:val="0"/>
                    <w:snapToGrid w:val="0"/>
                    <w:textAlignment w:val="center"/>
                    <w:rPr>
                      <w:color w:val="auto"/>
                      <w:kern w:val="0"/>
                      <w:szCs w:val="21"/>
                      <w:u w:val="single"/>
                    </w:rPr>
                  </w:pPr>
                  <w:r>
                    <w:rPr>
                      <w:rFonts w:hint="eastAsia"/>
                      <w:color w:val="auto"/>
                      <w:kern w:val="0"/>
                      <w:szCs w:val="21"/>
                      <w:u w:val="single"/>
                    </w:rPr>
                    <w:t>符合，项目危险化学品按照化学品安全技术说明书及装卸要求进行作业。</w:t>
                  </w:r>
                </w:p>
              </w:tc>
            </w:tr>
            <w:tr w14:paraId="74C9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035AD0D9">
                  <w:pPr>
                    <w:widowControl/>
                    <w:adjustRightInd w:val="0"/>
                    <w:snapToGrid w:val="0"/>
                    <w:textAlignment w:val="center"/>
                    <w:rPr>
                      <w:color w:val="auto"/>
                      <w:kern w:val="0"/>
                      <w:szCs w:val="21"/>
                      <w:u w:val="single"/>
                    </w:rPr>
                  </w:pPr>
                  <w:r>
                    <w:rPr>
                      <w:rFonts w:hint="eastAsia"/>
                      <w:color w:val="auto"/>
                      <w:kern w:val="0"/>
                      <w:szCs w:val="21"/>
                      <w:u w:val="single"/>
                    </w:rPr>
                    <w:t>6.1.2</w:t>
                  </w:r>
                </w:p>
              </w:tc>
              <w:tc>
                <w:tcPr>
                  <w:tcW w:w="3324" w:type="dxa"/>
                  <w:vAlign w:val="center"/>
                </w:tcPr>
                <w:p w14:paraId="6D6A0C50">
                  <w:pPr>
                    <w:widowControl/>
                    <w:adjustRightInd w:val="0"/>
                    <w:snapToGrid w:val="0"/>
                    <w:textAlignment w:val="center"/>
                    <w:rPr>
                      <w:color w:val="auto"/>
                      <w:kern w:val="0"/>
                      <w:szCs w:val="21"/>
                      <w:u w:val="single"/>
                    </w:rPr>
                  </w:pPr>
                  <w:r>
                    <w:rPr>
                      <w:rFonts w:hint="eastAsia"/>
                      <w:color w:val="auto"/>
                      <w:kern w:val="0"/>
                      <w:szCs w:val="21"/>
                      <w:u w:val="single"/>
                    </w:rPr>
                    <w:t>应做到轻拿轻放，不应拖拉、翻滚、撞击、摩擦、摔扔、挤压等。</w:t>
                  </w:r>
                </w:p>
              </w:tc>
              <w:tc>
                <w:tcPr>
                  <w:tcW w:w="2725" w:type="dxa"/>
                  <w:vAlign w:val="center"/>
                </w:tcPr>
                <w:p w14:paraId="60629E40">
                  <w:pPr>
                    <w:widowControl/>
                    <w:adjustRightInd w:val="0"/>
                    <w:snapToGrid w:val="0"/>
                    <w:textAlignment w:val="center"/>
                    <w:rPr>
                      <w:color w:val="auto"/>
                      <w:kern w:val="0"/>
                      <w:szCs w:val="21"/>
                      <w:u w:val="single"/>
                    </w:rPr>
                  </w:pPr>
                  <w:r>
                    <w:rPr>
                      <w:rFonts w:hint="eastAsia"/>
                      <w:color w:val="auto"/>
                      <w:kern w:val="0"/>
                      <w:szCs w:val="21"/>
                      <w:u w:val="single"/>
                    </w:rPr>
                    <w:t>符合，项目危险化学品储存、搬运严格规范操作，做到轻拿轻放，不拖拉、翻滚、撞击、摩擦、摔扔、挤压等。</w:t>
                  </w:r>
                </w:p>
              </w:tc>
            </w:tr>
            <w:tr w14:paraId="4C6D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75596443">
                  <w:pPr>
                    <w:widowControl/>
                    <w:adjustRightInd w:val="0"/>
                    <w:snapToGrid w:val="0"/>
                    <w:textAlignment w:val="center"/>
                    <w:rPr>
                      <w:color w:val="auto"/>
                      <w:kern w:val="0"/>
                      <w:szCs w:val="21"/>
                      <w:u w:val="single"/>
                    </w:rPr>
                  </w:pPr>
                  <w:r>
                    <w:rPr>
                      <w:rFonts w:hint="eastAsia"/>
                      <w:color w:val="auto"/>
                      <w:kern w:val="0"/>
                      <w:szCs w:val="21"/>
                      <w:u w:val="single"/>
                    </w:rPr>
                    <w:t>6.1.3</w:t>
                  </w:r>
                </w:p>
              </w:tc>
              <w:tc>
                <w:tcPr>
                  <w:tcW w:w="3324" w:type="dxa"/>
                  <w:vAlign w:val="center"/>
                </w:tcPr>
                <w:p w14:paraId="02CF9CC7">
                  <w:pPr>
                    <w:widowControl/>
                    <w:adjustRightInd w:val="0"/>
                    <w:snapToGrid w:val="0"/>
                    <w:textAlignment w:val="center"/>
                    <w:rPr>
                      <w:color w:val="auto"/>
                      <w:kern w:val="0"/>
                      <w:szCs w:val="21"/>
                      <w:u w:val="single"/>
                    </w:rPr>
                  </w:pPr>
                  <w:r>
                    <w:rPr>
                      <w:rFonts w:hint="eastAsia"/>
                      <w:color w:val="auto"/>
                      <w:kern w:val="0"/>
                      <w:szCs w:val="21"/>
                      <w:u w:val="single"/>
                    </w:rPr>
                    <w:t>应使用防爆叉车搬运装卸爆炸物及其他易发生燃烧爆炸的危险化学品。</w:t>
                  </w:r>
                </w:p>
              </w:tc>
              <w:tc>
                <w:tcPr>
                  <w:tcW w:w="2725" w:type="dxa"/>
                  <w:vAlign w:val="center"/>
                </w:tcPr>
                <w:p w14:paraId="4B4DF702">
                  <w:pPr>
                    <w:widowControl/>
                    <w:adjustRightInd w:val="0"/>
                    <w:snapToGrid w:val="0"/>
                    <w:textAlignment w:val="center"/>
                    <w:rPr>
                      <w:color w:val="auto"/>
                      <w:kern w:val="0"/>
                      <w:szCs w:val="21"/>
                      <w:u w:val="single"/>
                    </w:rPr>
                  </w:pPr>
                  <w:r>
                    <w:rPr>
                      <w:rFonts w:hint="eastAsia"/>
                      <w:color w:val="auto"/>
                      <w:kern w:val="0"/>
                      <w:szCs w:val="21"/>
                      <w:u w:val="single"/>
                    </w:rPr>
                    <w:t>符合，项目储存的危险化学品不涉及爆炸物，不涉及易发生燃烧爆炸的危险化学品。</w:t>
                  </w:r>
                </w:p>
              </w:tc>
            </w:tr>
            <w:tr w14:paraId="60E9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130691D2">
                  <w:pPr>
                    <w:widowControl/>
                    <w:adjustRightInd w:val="0"/>
                    <w:snapToGrid w:val="0"/>
                    <w:textAlignment w:val="center"/>
                    <w:rPr>
                      <w:color w:val="auto"/>
                      <w:kern w:val="0"/>
                      <w:szCs w:val="21"/>
                      <w:u w:val="single"/>
                    </w:rPr>
                  </w:pPr>
                  <w:r>
                    <w:rPr>
                      <w:rFonts w:hint="eastAsia"/>
                      <w:color w:val="auto"/>
                      <w:kern w:val="0"/>
                      <w:szCs w:val="21"/>
                      <w:u w:val="single"/>
                    </w:rPr>
                    <w:t>6.2.1</w:t>
                  </w:r>
                </w:p>
              </w:tc>
              <w:tc>
                <w:tcPr>
                  <w:tcW w:w="3324" w:type="dxa"/>
                  <w:vAlign w:val="center"/>
                </w:tcPr>
                <w:p w14:paraId="6EDC36E2">
                  <w:pPr>
                    <w:widowControl/>
                    <w:adjustRightInd w:val="0"/>
                    <w:snapToGrid w:val="0"/>
                    <w:textAlignment w:val="center"/>
                    <w:rPr>
                      <w:color w:val="auto"/>
                      <w:kern w:val="0"/>
                      <w:szCs w:val="21"/>
                      <w:u w:val="single"/>
                    </w:rPr>
                  </w:pPr>
                  <w:r>
                    <w:rPr>
                      <w:rFonts w:hint="eastAsia"/>
                      <w:color w:val="auto"/>
                      <w:kern w:val="0"/>
                      <w:szCs w:val="21"/>
                      <w:u w:val="single"/>
                    </w:rPr>
                    <w:t>危险化学品堆码应整齐、牢固、无倒置；不应遮挡消防设备、安全设施、安全标志和通道。</w:t>
                  </w:r>
                </w:p>
              </w:tc>
              <w:tc>
                <w:tcPr>
                  <w:tcW w:w="2725" w:type="dxa"/>
                  <w:vAlign w:val="center"/>
                </w:tcPr>
                <w:p w14:paraId="2C835DD1">
                  <w:pPr>
                    <w:widowControl/>
                    <w:adjustRightInd w:val="0"/>
                    <w:snapToGrid w:val="0"/>
                    <w:textAlignment w:val="center"/>
                    <w:rPr>
                      <w:color w:val="auto"/>
                      <w:kern w:val="0"/>
                      <w:szCs w:val="21"/>
                      <w:u w:val="single"/>
                    </w:rPr>
                  </w:pPr>
                  <w:r>
                    <w:rPr>
                      <w:rFonts w:hint="eastAsia"/>
                      <w:color w:val="auto"/>
                      <w:kern w:val="0"/>
                      <w:szCs w:val="21"/>
                      <w:u w:val="single"/>
                    </w:rPr>
                    <w:t>符合，本项目危险化学品堆码整齐、牢固、无倒置；不遮挡消防设备、安全设施、安全标志和通道。</w:t>
                  </w:r>
                </w:p>
              </w:tc>
            </w:tr>
            <w:tr w14:paraId="68F6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018E8833">
                  <w:pPr>
                    <w:widowControl/>
                    <w:adjustRightInd w:val="0"/>
                    <w:snapToGrid w:val="0"/>
                    <w:textAlignment w:val="center"/>
                    <w:rPr>
                      <w:color w:val="auto"/>
                      <w:kern w:val="0"/>
                      <w:szCs w:val="21"/>
                      <w:u w:val="single"/>
                    </w:rPr>
                  </w:pPr>
                  <w:r>
                    <w:rPr>
                      <w:rFonts w:hint="eastAsia"/>
                      <w:color w:val="auto"/>
                      <w:kern w:val="0"/>
                      <w:szCs w:val="21"/>
                      <w:u w:val="single"/>
                    </w:rPr>
                    <w:t>6.2.2</w:t>
                  </w:r>
                </w:p>
              </w:tc>
              <w:tc>
                <w:tcPr>
                  <w:tcW w:w="3324" w:type="dxa"/>
                  <w:vAlign w:val="center"/>
                </w:tcPr>
                <w:p w14:paraId="6753A857">
                  <w:pPr>
                    <w:widowControl/>
                    <w:adjustRightInd w:val="0"/>
                    <w:snapToGrid w:val="0"/>
                    <w:textAlignment w:val="center"/>
                    <w:rPr>
                      <w:color w:val="auto"/>
                      <w:kern w:val="0"/>
                      <w:szCs w:val="21"/>
                      <w:u w:val="single"/>
                    </w:rPr>
                  </w:pPr>
                  <w:r>
                    <w:rPr>
                      <w:rFonts w:hint="eastAsia"/>
                      <w:color w:val="auto"/>
                      <w:kern w:val="0"/>
                      <w:szCs w:val="21"/>
                      <w:u w:val="single"/>
                    </w:rPr>
                    <w:t>除200L及以上的钢桶、气体钢瓶外，其他包装的危险化学品不应直接与地面接触，垫底高度不小于10cm。</w:t>
                  </w:r>
                </w:p>
              </w:tc>
              <w:tc>
                <w:tcPr>
                  <w:tcW w:w="2725" w:type="dxa"/>
                  <w:vAlign w:val="center"/>
                </w:tcPr>
                <w:p w14:paraId="5DD3D4E0">
                  <w:pPr>
                    <w:widowControl/>
                    <w:adjustRightInd w:val="0"/>
                    <w:snapToGrid w:val="0"/>
                    <w:textAlignment w:val="center"/>
                    <w:rPr>
                      <w:color w:val="auto"/>
                      <w:kern w:val="0"/>
                      <w:szCs w:val="21"/>
                      <w:u w:val="single"/>
                    </w:rPr>
                  </w:pPr>
                  <w:r>
                    <w:rPr>
                      <w:rFonts w:hint="eastAsia"/>
                      <w:color w:val="auto"/>
                      <w:kern w:val="0"/>
                      <w:szCs w:val="21"/>
                      <w:u w:val="single"/>
                    </w:rPr>
                    <w:t>符合，本项目储存的危险化学品不直接与地面接触，垫底高度不小于10cm。</w:t>
                  </w:r>
                </w:p>
              </w:tc>
            </w:tr>
            <w:tr w14:paraId="653D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558D0071">
                  <w:pPr>
                    <w:widowControl/>
                    <w:adjustRightInd w:val="0"/>
                    <w:snapToGrid w:val="0"/>
                    <w:textAlignment w:val="center"/>
                    <w:rPr>
                      <w:color w:val="auto"/>
                      <w:kern w:val="0"/>
                      <w:szCs w:val="21"/>
                      <w:u w:val="single"/>
                    </w:rPr>
                  </w:pPr>
                  <w:r>
                    <w:rPr>
                      <w:rFonts w:hint="eastAsia"/>
                      <w:color w:val="auto"/>
                      <w:kern w:val="0"/>
                      <w:szCs w:val="21"/>
                      <w:u w:val="single"/>
                    </w:rPr>
                    <w:t>6.2.3</w:t>
                  </w:r>
                </w:p>
              </w:tc>
              <w:tc>
                <w:tcPr>
                  <w:tcW w:w="3324" w:type="dxa"/>
                  <w:vAlign w:val="center"/>
                </w:tcPr>
                <w:p w14:paraId="2433AC0C">
                  <w:pPr>
                    <w:widowControl/>
                    <w:adjustRightInd w:val="0"/>
                    <w:snapToGrid w:val="0"/>
                    <w:textAlignment w:val="center"/>
                    <w:rPr>
                      <w:color w:val="auto"/>
                      <w:kern w:val="0"/>
                      <w:szCs w:val="21"/>
                      <w:u w:val="single"/>
                    </w:rPr>
                  </w:pPr>
                  <w:r>
                    <w:rPr>
                      <w:rFonts w:hint="eastAsia"/>
                      <w:color w:val="auto"/>
                      <w:kern w:val="0"/>
                      <w:szCs w:val="21"/>
                      <w:u w:val="single"/>
                    </w:rPr>
                    <w:t>堆码应符合包装标志要求；包装无堆码标志的危险化学品堆码高度应不超过3m（不含托盘等的高度）。</w:t>
                  </w:r>
                </w:p>
              </w:tc>
              <w:tc>
                <w:tcPr>
                  <w:tcW w:w="2725" w:type="dxa"/>
                  <w:vAlign w:val="center"/>
                </w:tcPr>
                <w:p w14:paraId="4C937457">
                  <w:pPr>
                    <w:widowControl/>
                    <w:adjustRightInd w:val="0"/>
                    <w:snapToGrid w:val="0"/>
                    <w:textAlignment w:val="center"/>
                    <w:rPr>
                      <w:color w:val="auto"/>
                      <w:kern w:val="0"/>
                      <w:szCs w:val="21"/>
                      <w:u w:val="single"/>
                    </w:rPr>
                  </w:pPr>
                  <w:r>
                    <w:rPr>
                      <w:rFonts w:hint="eastAsia"/>
                      <w:color w:val="auto"/>
                      <w:kern w:val="0"/>
                      <w:szCs w:val="21"/>
                      <w:u w:val="single"/>
                    </w:rPr>
                    <w:t>符合，危险化学品堆码符合包装标志要求；包装无堆码标志的危险化学品堆码高度不超过3m（不含托盘等的高度）。</w:t>
                  </w:r>
                </w:p>
              </w:tc>
            </w:tr>
            <w:tr w14:paraId="64EF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7D7CC742">
                  <w:pPr>
                    <w:widowControl/>
                    <w:adjustRightInd w:val="0"/>
                    <w:snapToGrid w:val="0"/>
                    <w:textAlignment w:val="center"/>
                    <w:rPr>
                      <w:color w:val="auto"/>
                      <w:kern w:val="0"/>
                      <w:szCs w:val="21"/>
                      <w:u w:val="single"/>
                    </w:rPr>
                  </w:pPr>
                  <w:r>
                    <w:rPr>
                      <w:rFonts w:hint="eastAsia"/>
                      <w:color w:val="auto"/>
                      <w:kern w:val="0"/>
                      <w:szCs w:val="21"/>
                      <w:u w:val="single"/>
                    </w:rPr>
                    <w:t>6.2.4</w:t>
                  </w:r>
                </w:p>
              </w:tc>
              <w:tc>
                <w:tcPr>
                  <w:tcW w:w="3324" w:type="dxa"/>
                  <w:vAlign w:val="center"/>
                </w:tcPr>
                <w:p w14:paraId="7195F047">
                  <w:pPr>
                    <w:widowControl/>
                    <w:adjustRightInd w:val="0"/>
                    <w:snapToGrid w:val="0"/>
                    <w:textAlignment w:val="center"/>
                    <w:rPr>
                      <w:color w:val="auto"/>
                      <w:kern w:val="0"/>
                      <w:szCs w:val="21"/>
                      <w:u w:val="single"/>
                    </w:rPr>
                  </w:pPr>
                  <w:r>
                    <w:rPr>
                      <w:rFonts w:hint="eastAsia"/>
                      <w:color w:val="auto"/>
                      <w:kern w:val="0"/>
                      <w:szCs w:val="21"/>
                      <w:u w:val="single"/>
                    </w:rPr>
                    <w:t>采用货架存放时，应置于托盘上并采取固定措施。</w:t>
                  </w:r>
                </w:p>
              </w:tc>
              <w:tc>
                <w:tcPr>
                  <w:tcW w:w="2725" w:type="dxa"/>
                  <w:vAlign w:val="center"/>
                </w:tcPr>
                <w:p w14:paraId="26BE49C0">
                  <w:pPr>
                    <w:widowControl/>
                    <w:adjustRightInd w:val="0"/>
                    <w:snapToGrid w:val="0"/>
                    <w:textAlignment w:val="center"/>
                    <w:rPr>
                      <w:color w:val="auto"/>
                      <w:kern w:val="0"/>
                      <w:szCs w:val="21"/>
                      <w:u w:val="single"/>
                    </w:rPr>
                  </w:pPr>
                  <w:r>
                    <w:rPr>
                      <w:rFonts w:hint="eastAsia"/>
                      <w:color w:val="auto"/>
                      <w:kern w:val="0"/>
                      <w:szCs w:val="21"/>
                      <w:u w:val="single"/>
                    </w:rPr>
                    <w:t>符合，本项目危险化学品采用货架存放时，将置于托盘上并采取固定措施。</w:t>
                  </w:r>
                </w:p>
              </w:tc>
            </w:tr>
            <w:tr w14:paraId="33AC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2C0B915D">
                  <w:pPr>
                    <w:widowControl/>
                    <w:adjustRightInd w:val="0"/>
                    <w:snapToGrid w:val="0"/>
                    <w:textAlignment w:val="center"/>
                    <w:rPr>
                      <w:color w:val="auto"/>
                      <w:kern w:val="0"/>
                      <w:szCs w:val="21"/>
                      <w:u w:val="single"/>
                    </w:rPr>
                  </w:pPr>
                  <w:r>
                    <w:rPr>
                      <w:rFonts w:hint="eastAsia"/>
                      <w:color w:val="auto"/>
                      <w:kern w:val="0"/>
                      <w:szCs w:val="21"/>
                      <w:u w:val="single"/>
                    </w:rPr>
                    <w:t>6.2.5</w:t>
                  </w:r>
                </w:p>
              </w:tc>
              <w:tc>
                <w:tcPr>
                  <w:tcW w:w="3324" w:type="dxa"/>
                  <w:vAlign w:val="center"/>
                </w:tcPr>
                <w:p w14:paraId="51A337A6">
                  <w:pPr>
                    <w:widowControl/>
                    <w:adjustRightInd w:val="0"/>
                    <w:snapToGrid w:val="0"/>
                    <w:textAlignment w:val="center"/>
                    <w:rPr>
                      <w:color w:val="auto"/>
                      <w:kern w:val="0"/>
                      <w:szCs w:val="21"/>
                      <w:u w:val="single"/>
                    </w:rPr>
                  </w:pPr>
                  <w:r>
                    <w:rPr>
                      <w:rFonts w:hint="eastAsia"/>
                      <w:color w:val="auto"/>
                      <w:kern w:val="0"/>
                      <w:szCs w:val="21"/>
                      <w:u w:val="single"/>
                    </w:rPr>
                    <w:t>仓库堆垛间距应满足以下要求：</w:t>
                  </w:r>
                </w:p>
                <w:p w14:paraId="71C783A7">
                  <w:pPr>
                    <w:widowControl/>
                    <w:adjustRightInd w:val="0"/>
                    <w:snapToGrid w:val="0"/>
                    <w:textAlignment w:val="center"/>
                    <w:rPr>
                      <w:color w:val="auto"/>
                      <w:kern w:val="0"/>
                      <w:szCs w:val="21"/>
                      <w:u w:val="single"/>
                    </w:rPr>
                  </w:pPr>
                  <w:r>
                    <w:rPr>
                      <w:rFonts w:hint="eastAsia"/>
                      <w:color w:val="auto"/>
                      <w:kern w:val="0"/>
                      <w:szCs w:val="21"/>
                      <w:u w:val="single"/>
                    </w:rPr>
                    <w:t>a）主通道大于或等于200cm；</w:t>
                  </w:r>
                </w:p>
                <w:p w14:paraId="65D914F0">
                  <w:pPr>
                    <w:widowControl/>
                    <w:adjustRightInd w:val="0"/>
                    <w:snapToGrid w:val="0"/>
                    <w:textAlignment w:val="center"/>
                    <w:rPr>
                      <w:color w:val="auto"/>
                      <w:kern w:val="0"/>
                      <w:szCs w:val="21"/>
                      <w:u w:val="single"/>
                    </w:rPr>
                  </w:pPr>
                  <w:r>
                    <w:rPr>
                      <w:rFonts w:hint="eastAsia"/>
                      <w:color w:val="auto"/>
                      <w:kern w:val="0"/>
                      <w:szCs w:val="21"/>
                      <w:u w:val="single"/>
                    </w:rPr>
                    <w:t>b）墙距大于或等于50cm；</w:t>
                  </w:r>
                </w:p>
                <w:p w14:paraId="6111D718">
                  <w:pPr>
                    <w:widowControl/>
                    <w:adjustRightInd w:val="0"/>
                    <w:snapToGrid w:val="0"/>
                    <w:textAlignment w:val="center"/>
                    <w:rPr>
                      <w:color w:val="auto"/>
                      <w:kern w:val="0"/>
                      <w:szCs w:val="21"/>
                      <w:u w:val="single"/>
                    </w:rPr>
                  </w:pPr>
                  <w:r>
                    <w:rPr>
                      <w:rFonts w:hint="eastAsia"/>
                      <w:color w:val="auto"/>
                      <w:kern w:val="0"/>
                      <w:szCs w:val="21"/>
                      <w:u w:val="single"/>
                    </w:rPr>
                    <w:t>c）柱距大于或等于30cm；</w:t>
                  </w:r>
                </w:p>
                <w:p w14:paraId="31E43293">
                  <w:pPr>
                    <w:widowControl/>
                    <w:adjustRightInd w:val="0"/>
                    <w:snapToGrid w:val="0"/>
                    <w:textAlignment w:val="center"/>
                    <w:rPr>
                      <w:color w:val="auto"/>
                      <w:kern w:val="0"/>
                      <w:szCs w:val="21"/>
                      <w:u w:val="single"/>
                    </w:rPr>
                  </w:pPr>
                  <w:r>
                    <w:rPr>
                      <w:rFonts w:hint="eastAsia"/>
                      <w:color w:val="auto"/>
                      <w:kern w:val="0"/>
                      <w:szCs w:val="21"/>
                      <w:u w:val="single"/>
                    </w:rPr>
                    <w:t>d）垛距大于或等于100cm（每个堆垛的面积不应大于150m</w:t>
                  </w:r>
                  <w:r>
                    <w:rPr>
                      <w:rFonts w:hint="eastAsia"/>
                      <w:color w:val="auto"/>
                      <w:kern w:val="0"/>
                      <w:szCs w:val="21"/>
                      <w:u w:val="single"/>
                      <w:vertAlign w:val="superscript"/>
                    </w:rPr>
                    <w:t>2</w:t>
                  </w:r>
                  <w:r>
                    <w:rPr>
                      <w:rFonts w:hint="eastAsia"/>
                      <w:color w:val="auto"/>
                      <w:kern w:val="0"/>
                      <w:szCs w:val="21"/>
                      <w:u w:val="single"/>
                    </w:rPr>
                    <w:t>；</w:t>
                  </w:r>
                </w:p>
                <w:p w14:paraId="0EC3D422">
                  <w:pPr>
                    <w:widowControl/>
                    <w:adjustRightInd w:val="0"/>
                    <w:snapToGrid w:val="0"/>
                    <w:textAlignment w:val="center"/>
                    <w:rPr>
                      <w:color w:val="auto"/>
                      <w:kern w:val="0"/>
                      <w:szCs w:val="21"/>
                      <w:u w:val="single"/>
                    </w:rPr>
                  </w:pPr>
                  <w:r>
                    <w:rPr>
                      <w:rFonts w:hint="eastAsia"/>
                      <w:color w:val="auto"/>
                      <w:kern w:val="0"/>
                      <w:szCs w:val="21"/>
                      <w:u w:val="single"/>
                    </w:rPr>
                    <w:t>e）灯距大于或等于50cm。</w:t>
                  </w:r>
                </w:p>
              </w:tc>
              <w:tc>
                <w:tcPr>
                  <w:tcW w:w="2725" w:type="dxa"/>
                  <w:vAlign w:val="center"/>
                </w:tcPr>
                <w:p w14:paraId="6FEEA153">
                  <w:pPr>
                    <w:widowControl/>
                    <w:adjustRightInd w:val="0"/>
                    <w:snapToGrid w:val="0"/>
                    <w:textAlignment w:val="center"/>
                    <w:rPr>
                      <w:color w:val="auto"/>
                      <w:kern w:val="0"/>
                      <w:szCs w:val="21"/>
                      <w:u w:val="single"/>
                    </w:rPr>
                  </w:pPr>
                  <w:r>
                    <w:rPr>
                      <w:rFonts w:hint="eastAsia"/>
                      <w:color w:val="auto"/>
                      <w:kern w:val="0"/>
                      <w:szCs w:val="21"/>
                      <w:u w:val="single"/>
                    </w:rPr>
                    <w:t>符合，项目危险化学品的堆垛，将按照以下要求进行堆垛：主通道大于或等于200cm；墙距大于或等于50cm；柱距大于或等于30cm；垛距大于或等于100cm（每个堆垛的面积不应大于150m</w:t>
                  </w:r>
                  <w:r>
                    <w:rPr>
                      <w:rFonts w:hint="eastAsia"/>
                      <w:color w:val="auto"/>
                      <w:kern w:val="0"/>
                      <w:szCs w:val="21"/>
                      <w:u w:val="single"/>
                      <w:vertAlign w:val="superscript"/>
                    </w:rPr>
                    <w:t>2</w:t>
                  </w:r>
                  <w:r>
                    <w:rPr>
                      <w:rFonts w:hint="eastAsia"/>
                      <w:color w:val="auto"/>
                      <w:kern w:val="0"/>
                      <w:szCs w:val="21"/>
                      <w:u w:val="single"/>
                    </w:rPr>
                    <w:t>）；灯距大于或等于50cm。</w:t>
                  </w:r>
                </w:p>
              </w:tc>
            </w:tr>
            <w:tr w14:paraId="7062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3" w:type="dxa"/>
                  <w:gridSpan w:val="3"/>
                  <w:vAlign w:val="center"/>
                </w:tcPr>
                <w:p w14:paraId="096AB62D">
                  <w:pPr>
                    <w:widowControl/>
                    <w:adjustRightInd w:val="0"/>
                    <w:snapToGrid w:val="0"/>
                    <w:jc w:val="center"/>
                    <w:textAlignment w:val="center"/>
                    <w:rPr>
                      <w:color w:val="auto"/>
                      <w:kern w:val="0"/>
                      <w:szCs w:val="21"/>
                      <w:u w:val="single"/>
                    </w:rPr>
                  </w:pPr>
                  <w:r>
                    <w:rPr>
                      <w:rFonts w:hint="eastAsia"/>
                      <w:color w:val="auto"/>
                      <w:kern w:val="0"/>
                      <w:szCs w:val="21"/>
                      <w:u w:val="single"/>
                    </w:rPr>
                    <w:t>入库作业</w:t>
                  </w:r>
                </w:p>
              </w:tc>
            </w:tr>
            <w:tr w14:paraId="063B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3610C9E9">
                  <w:pPr>
                    <w:widowControl/>
                    <w:adjustRightInd w:val="0"/>
                    <w:snapToGrid w:val="0"/>
                    <w:textAlignment w:val="center"/>
                    <w:rPr>
                      <w:color w:val="auto"/>
                      <w:kern w:val="0"/>
                      <w:szCs w:val="21"/>
                      <w:u w:val="single"/>
                    </w:rPr>
                  </w:pPr>
                  <w:r>
                    <w:rPr>
                      <w:rFonts w:hint="eastAsia"/>
                      <w:color w:val="auto"/>
                      <w:kern w:val="0"/>
                      <w:szCs w:val="21"/>
                      <w:u w:val="single"/>
                    </w:rPr>
                    <w:t>7.1</w:t>
                  </w:r>
                </w:p>
              </w:tc>
              <w:tc>
                <w:tcPr>
                  <w:tcW w:w="3324" w:type="dxa"/>
                  <w:vAlign w:val="center"/>
                </w:tcPr>
                <w:p w14:paraId="34FE6201">
                  <w:pPr>
                    <w:widowControl/>
                    <w:adjustRightInd w:val="0"/>
                    <w:snapToGrid w:val="0"/>
                    <w:textAlignment w:val="center"/>
                    <w:rPr>
                      <w:color w:val="auto"/>
                      <w:kern w:val="0"/>
                      <w:szCs w:val="21"/>
                      <w:u w:val="single"/>
                    </w:rPr>
                  </w:pPr>
                  <w:r>
                    <w:rPr>
                      <w:rFonts w:hint="eastAsia"/>
                      <w:color w:val="auto"/>
                      <w:kern w:val="0"/>
                      <w:szCs w:val="21"/>
                      <w:u w:val="single"/>
                    </w:rPr>
                    <w:t>入库前应做好储存位置、搬运工具、加固材料，防护装备、交接清单的准备。</w:t>
                  </w:r>
                </w:p>
              </w:tc>
              <w:tc>
                <w:tcPr>
                  <w:tcW w:w="2725" w:type="dxa"/>
                  <w:vAlign w:val="center"/>
                </w:tcPr>
                <w:p w14:paraId="48E61844">
                  <w:pPr>
                    <w:widowControl/>
                    <w:adjustRightInd w:val="0"/>
                    <w:snapToGrid w:val="0"/>
                    <w:textAlignment w:val="center"/>
                    <w:rPr>
                      <w:color w:val="auto"/>
                      <w:kern w:val="0"/>
                      <w:szCs w:val="21"/>
                      <w:u w:val="single"/>
                    </w:rPr>
                  </w:pPr>
                  <w:r>
                    <w:rPr>
                      <w:rFonts w:hint="eastAsia"/>
                      <w:color w:val="auto"/>
                      <w:kern w:val="0"/>
                      <w:szCs w:val="21"/>
                      <w:u w:val="single"/>
                    </w:rPr>
                    <w:t>符合，入库前应做好储存位置、搬运工具、加固材料，防护装备、交接清单的准备。</w:t>
                  </w:r>
                </w:p>
              </w:tc>
            </w:tr>
            <w:tr w14:paraId="2A0B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0208330D">
                  <w:pPr>
                    <w:widowControl/>
                    <w:adjustRightInd w:val="0"/>
                    <w:snapToGrid w:val="0"/>
                    <w:textAlignment w:val="center"/>
                    <w:rPr>
                      <w:color w:val="auto"/>
                      <w:kern w:val="0"/>
                      <w:szCs w:val="21"/>
                      <w:u w:val="single"/>
                    </w:rPr>
                  </w:pPr>
                  <w:r>
                    <w:rPr>
                      <w:rFonts w:hint="eastAsia"/>
                      <w:color w:val="auto"/>
                      <w:kern w:val="0"/>
                      <w:szCs w:val="21"/>
                      <w:u w:val="single"/>
                    </w:rPr>
                    <w:t>7.2</w:t>
                  </w:r>
                </w:p>
              </w:tc>
              <w:tc>
                <w:tcPr>
                  <w:tcW w:w="3324" w:type="dxa"/>
                  <w:vAlign w:val="center"/>
                </w:tcPr>
                <w:p w14:paraId="519D7CFD">
                  <w:pPr>
                    <w:widowControl/>
                    <w:adjustRightInd w:val="0"/>
                    <w:snapToGrid w:val="0"/>
                    <w:textAlignment w:val="center"/>
                    <w:rPr>
                      <w:color w:val="auto"/>
                      <w:kern w:val="0"/>
                      <w:szCs w:val="21"/>
                      <w:u w:val="single"/>
                    </w:rPr>
                  </w:pPr>
                  <w:r>
                    <w:rPr>
                      <w:rFonts w:hint="eastAsia"/>
                      <w:color w:val="auto"/>
                      <w:kern w:val="0"/>
                      <w:szCs w:val="21"/>
                      <w:u w:val="single"/>
                    </w:rPr>
                    <w:t>应对运输车辆（厢）、装载状况（含施封）进行检查。</w:t>
                  </w:r>
                </w:p>
              </w:tc>
              <w:tc>
                <w:tcPr>
                  <w:tcW w:w="2725" w:type="dxa"/>
                  <w:vAlign w:val="center"/>
                </w:tcPr>
                <w:p w14:paraId="024E3558">
                  <w:pPr>
                    <w:widowControl/>
                    <w:adjustRightInd w:val="0"/>
                    <w:snapToGrid w:val="0"/>
                    <w:textAlignment w:val="center"/>
                    <w:rPr>
                      <w:color w:val="auto"/>
                      <w:kern w:val="0"/>
                      <w:szCs w:val="21"/>
                      <w:u w:val="single"/>
                    </w:rPr>
                  </w:pPr>
                  <w:r>
                    <w:rPr>
                      <w:rFonts w:hint="eastAsia"/>
                      <w:color w:val="auto"/>
                      <w:kern w:val="0"/>
                      <w:szCs w:val="21"/>
                      <w:u w:val="single"/>
                    </w:rPr>
                    <w:t>符合，工作人员装卸作业时，对运输车辆（厢）、装载状况（含施封）进行检查。</w:t>
                  </w:r>
                </w:p>
              </w:tc>
            </w:tr>
            <w:tr w14:paraId="09E0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4" w:type="dxa"/>
                  <w:vAlign w:val="center"/>
                </w:tcPr>
                <w:p w14:paraId="244FD67B">
                  <w:pPr>
                    <w:widowControl/>
                    <w:adjustRightInd w:val="0"/>
                    <w:snapToGrid w:val="0"/>
                    <w:textAlignment w:val="center"/>
                    <w:rPr>
                      <w:color w:val="auto"/>
                      <w:kern w:val="0"/>
                      <w:szCs w:val="21"/>
                      <w:u w:val="single"/>
                    </w:rPr>
                  </w:pPr>
                  <w:r>
                    <w:rPr>
                      <w:rFonts w:hint="eastAsia"/>
                      <w:color w:val="auto"/>
                      <w:kern w:val="0"/>
                      <w:szCs w:val="21"/>
                      <w:u w:val="single"/>
                    </w:rPr>
                    <w:t>7.3</w:t>
                  </w:r>
                </w:p>
              </w:tc>
              <w:tc>
                <w:tcPr>
                  <w:tcW w:w="3324" w:type="dxa"/>
                  <w:vAlign w:val="center"/>
                </w:tcPr>
                <w:p w14:paraId="574EA254">
                  <w:pPr>
                    <w:widowControl/>
                    <w:adjustRightInd w:val="0"/>
                    <w:snapToGrid w:val="0"/>
                    <w:textAlignment w:val="center"/>
                    <w:rPr>
                      <w:color w:val="auto"/>
                      <w:kern w:val="0"/>
                      <w:szCs w:val="21"/>
                      <w:u w:val="single"/>
                    </w:rPr>
                  </w:pPr>
                  <w:r>
                    <w:rPr>
                      <w:rFonts w:hint="eastAsia"/>
                      <w:color w:val="auto"/>
                      <w:kern w:val="0"/>
                      <w:szCs w:val="21"/>
                      <w:u w:val="single"/>
                    </w:rPr>
                    <w:t>应对入库危险化学品的品名、规格、数量与入库信息或单据的一致性进行查验。</w:t>
                  </w:r>
                </w:p>
              </w:tc>
              <w:tc>
                <w:tcPr>
                  <w:tcW w:w="2725" w:type="dxa"/>
                  <w:vAlign w:val="center"/>
                </w:tcPr>
                <w:p w14:paraId="15603E92">
                  <w:pPr>
                    <w:widowControl/>
                    <w:adjustRightInd w:val="0"/>
                    <w:snapToGrid w:val="0"/>
                    <w:textAlignment w:val="center"/>
                    <w:rPr>
                      <w:color w:val="auto"/>
                      <w:kern w:val="0"/>
                      <w:szCs w:val="21"/>
                      <w:u w:val="single"/>
                    </w:rPr>
                  </w:pPr>
                  <w:r>
                    <w:rPr>
                      <w:rFonts w:hint="eastAsia"/>
                      <w:color w:val="auto"/>
                      <w:kern w:val="0"/>
                      <w:szCs w:val="21"/>
                      <w:u w:val="single"/>
                    </w:rPr>
                    <w:t>符合，工作人员对入库危险化学品的品名、规格、数量与入库信息或单据的一致性进行查验。</w:t>
                  </w:r>
                </w:p>
              </w:tc>
            </w:tr>
            <w:tr w14:paraId="65C9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4" w:type="dxa"/>
                  <w:vAlign w:val="center"/>
                </w:tcPr>
                <w:p w14:paraId="30ED4972">
                  <w:pPr>
                    <w:widowControl/>
                    <w:adjustRightInd w:val="0"/>
                    <w:snapToGrid w:val="0"/>
                    <w:textAlignment w:val="center"/>
                    <w:rPr>
                      <w:color w:val="auto"/>
                      <w:kern w:val="0"/>
                      <w:szCs w:val="21"/>
                      <w:u w:val="single"/>
                    </w:rPr>
                  </w:pPr>
                  <w:r>
                    <w:rPr>
                      <w:rFonts w:hint="eastAsia"/>
                      <w:color w:val="auto"/>
                      <w:kern w:val="0"/>
                      <w:szCs w:val="21"/>
                      <w:u w:val="single"/>
                    </w:rPr>
                    <w:t>7.4</w:t>
                  </w:r>
                </w:p>
              </w:tc>
              <w:tc>
                <w:tcPr>
                  <w:tcW w:w="3324" w:type="dxa"/>
                  <w:vAlign w:val="center"/>
                </w:tcPr>
                <w:p w14:paraId="63D94D0E">
                  <w:pPr>
                    <w:widowControl/>
                    <w:adjustRightInd w:val="0"/>
                    <w:snapToGrid w:val="0"/>
                    <w:textAlignment w:val="center"/>
                    <w:rPr>
                      <w:color w:val="auto"/>
                      <w:kern w:val="0"/>
                      <w:szCs w:val="21"/>
                      <w:u w:val="single"/>
                    </w:rPr>
                  </w:pPr>
                  <w:r>
                    <w:rPr>
                      <w:rFonts w:hint="eastAsia"/>
                      <w:color w:val="auto"/>
                      <w:kern w:val="0"/>
                      <w:szCs w:val="21"/>
                      <w:u w:val="single"/>
                    </w:rPr>
                    <w:t>入库物品的包装应完好，标志、安全标签应规范、清晰。</w:t>
                  </w:r>
                </w:p>
              </w:tc>
              <w:tc>
                <w:tcPr>
                  <w:tcW w:w="2725" w:type="dxa"/>
                  <w:vAlign w:val="center"/>
                </w:tcPr>
                <w:p w14:paraId="433B8E6B">
                  <w:pPr>
                    <w:widowControl/>
                    <w:adjustRightInd w:val="0"/>
                    <w:snapToGrid w:val="0"/>
                    <w:textAlignment w:val="center"/>
                    <w:rPr>
                      <w:color w:val="auto"/>
                      <w:kern w:val="0"/>
                      <w:szCs w:val="21"/>
                      <w:u w:val="single"/>
                    </w:rPr>
                  </w:pPr>
                  <w:r>
                    <w:rPr>
                      <w:rFonts w:hint="eastAsia"/>
                      <w:color w:val="auto"/>
                      <w:kern w:val="0"/>
                      <w:szCs w:val="21"/>
                      <w:u w:val="single"/>
                    </w:rPr>
                    <w:t>符合，入库物品的包装应完好，标志、安全标签应规范、清晰，对不符合要求的物品拒收。</w:t>
                  </w:r>
                </w:p>
              </w:tc>
            </w:tr>
            <w:tr w14:paraId="5621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4" w:type="dxa"/>
                  <w:vAlign w:val="center"/>
                </w:tcPr>
                <w:p w14:paraId="500A073F">
                  <w:pPr>
                    <w:widowControl/>
                    <w:adjustRightInd w:val="0"/>
                    <w:snapToGrid w:val="0"/>
                    <w:textAlignment w:val="center"/>
                    <w:rPr>
                      <w:color w:val="auto"/>
                      <w:kern w:val="0"/>
                      <w:szCs w:val="21"/>
                      <w:u w:val="single"/>
                    </w:rPr>
                  </w:pPr>
                  <w:r>
                    <w:rPr>
                      <w:rFonts w:hint="eastAsia"/>
                      <w:color w:val="auto"/>
                      <w:kern w:val="0"/>
                      <w:szCs w:val="21"/>
                      <w:u w:val="single"/>
                    </w:rPr>
                    <w:t>7.5</w:t>
                  </w:r>
                </w:p>
              </w:tc>
              <w:tc>
                <w:tcPr>
                  <w:tcW w:w="3324" w:type="dxa"/>
                  <w:vAlign w:val="center"/>
                </w:tcPr>
                <w:p w14:paraId="4348924C">
                  <w:pPr>
                    <w:widowControl/>
                    <w:adjustRightInd w:val="0"/>
                    <w:snapToGrid w:val="0"/>
                    <w:textAlignment w:val="center"/>
                    <w:rPr>
                      <w:color w:val="auto"/>
                      <w:kern w:val="0"/>
                      <w:szCs w:val="21"/>
                      <w:u w:val="single"/>
                    </w:rPr>
                  </w:pPr>
                  <w:r>
                    <w:rPr>
                      <w:rFonts w:hint="eastAsia"/>
                      <w:color w:val="auto"/>
                      <w:kern w:val="0"/>
                      <w:szCs w:val="21"/>
                      <w:u w:val="single"/>
                    </w:rPr>
                    <w:t>入库物品应附有中文化学品安全技术说明书和安全标签。</w:t>
                  </w:r>
                </w:p>
              </w:tc>
              <w:tc>
                <w:tcPr>
                  <w:tcW w:w="2725" w:type="dxa"/>
                  <w:vAlign w:val="center"/>
                </w:tcPr>
                <w:p w14:paraId="4D4ABA07">
                  <w:pPr>
                    <w:widowControl/>
                    <w:adjustRightInd w:val="0"/>
                    <w:snapToGrid w:val="0"/>
                    <w:textAlignment w:val="center"/>
                    <w:rPr>
                      <w:color w:val="auto"/>
                      <w:kern w:val="0"/>
                      <w:szCs w:val="21"/>
                      <w:u w:val="single"/>
                    </w:rPr>
                  </w:pPr>
                  <w:r>
                    <w:rPr>
                      <w:rFonts w:hint="eastAsia"/>
                      <w:color w:val="auto"/>
                      <w:kern w:val="0"/>
                      <w:szCs w:val="21"/>
                      <w:u w:val="single"/>
                    </w:rPr>
                    <w:t>符合，要求入库物品附有中文化学品安全技术说明书和安全标签。拒收无中文化学品安全技术说明书和安全标签的危险化学品。</w:t>
                  </w:r>
                </w:p>
              </w:tc>
            </w:tr>
            <w:tr w14:paraId="5532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4" w:type="dxa"/>
                  <w:vAlign w:val="center"/>
                </w:tcPr>
                <w:p w14:paraId="09E42DDE">
                  <w:pPr>
                    <w:widowControl/>
                    <w:adjustRightInd w:val="0"/>
                    <w:snapToGrid w:val="0"/>
                    <w:textAlignment w:val="center"/>
                    <w:rPr>
                      <w:color w:val="auto"/>
                      <w:kern w:val="0"/>
                      <w:szCs w:val="21"/>
                      <w:u w:val="single"/>
                    </w:rPr>
                  </w:pPr>
                  <w:r>
                    <w:rPr>
                      <w:rFonts w:hint="eastAsia"/>
                      <w:color w:val="auto"/>
                      <w:kern w:val="0"/>
                      <w:szCs w:val="21"/>
                      <w:u w:val="single"/>
                    </w:rPr>
                    <w:t>7.6</w:t>
                  </w:r>
                </w:p>
              </w:tc>
              <w:tc>
                <w:tcPr>
                  <w:tcW w:w="3324" w:type="dxa"/>
                  <w:vAlign w:val="center"/>
                </w:tcPr>
                <w:p w14:paraId="1B814E96">
                  <w:pPr>
                    <w:widowControl/>
                    <w:adjustRightInd w:val="0"/>
                    <w:snapToGrid w:val="0"/>
                    <w:textAlignment w:val="center"/>
                    <w:rPr>
                      <w:color w:val="auto"/>
                      <w:kern w:val="0"/>
                      <w:szCs w:val="21"/>
                      <w:u w:val="single"/>
                    </w:rPr>
                  </w:pPr>
                  <w:r>
                    <w:rPr>
                      <w:rFonts w:hint="eastAsia"/>
                      <w:color w:val="auto"/>
                      <w:kern w:val="0"/>
                      <w:szCs w:val="21"/>
                      <w:u w:val="single"/>
                    </w:rPr>
                    <w:t>入库数量应以实际验收为准。</w:t>
                  </w:r>
                </w:p>
              </w:tc>
              <w:tc>
                <w:tcPr>
                  <w:tcW w:w="2725" w:type="dxa"/>
                  <w:vAlign w:val="center"/>
                </w:tcPr>
                <w:p w14:paraId="1FBE7E79">
                  <w:pPr>
                    <w:widowControl/>
                    <w:adjustRightInd w:val="0"/>
                    <w:snapToGrid w:val="0"/>
                    <w:textAlignment w:val="center"/>
                    <w:rPr>
                      <w:color w:val="auto"/>
                      <w:kern w:val="0"/>
                      <w:szCs w:val="21"/>
                      <w:u w:val="single"/>
                    </w:rPr>
                  </w:pPr>
                  <w:r>
                    <w:rPr>
                      <w:rFonts w:hint="eastAsia"/>
                      <w:color w:val="auto"/>
                      <w:kern w:val="0"/>
                      <w:szCs w:val="21"/>
                      <w:u w:val="single"/>
                    </w:rPr>
                    <w:t>符合，入库数量以实际验收为准。</w:t>
                  </w:r>
                </w:p>
              </w:tc>
            </w:tr>
            <w:tr w14:paraId="14F7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4" w:type="dxa"/>
                  <w:vAlign w:val="center"/>
                </w:tcPr>
                <w:p w14:paraId="105AE706">
                  <w:pPr>
                    <w:widowControl/>
                    <w:adjustRightInd w:val="0"/>
                    <w:snapToGrid w:val="0"/>
                    <w:textAlignment w:val="center"/>
                    <w:rPr>
                      <w:color w:val="auto"/>
                      <w:kern w:val="0"/>
                      <w:szCs w:val="21"/>
                      <w:u w:val="single"/>
                    </w:rPr>
                  </w:pPr>
                  <w:r>
                    <w:rPr>
                      <w:rFonts w:hint="eastAsia"/>
                      <w:color w:val="auto"/>
                      <w:kern w:val="0"/>
                      <w:szCs w:val="21"/>
                      <w:u w:val="single"/>
                    </w:rPr>
                    <w:t>7.7</w:t>
                  </w:r>
                </w:p>
              </w:tc>
              <w:tc>
                <w:tcPr>
                  <w:tcW w:w="3324" w:type="dxa"/>
                  <w:vAlign w:val="center"/>
                </w:tcPr>
                <w:p w14:paraId="60D7BE71">
                  <w:pPr>
                    <w:widowControl/>
                    <w:adjustRightInd w:val="0"/>
                    <w:snapToGrid w:val="0"/>
                    <w:textAlignment w:val="center"/>
                    <w:rPr>
                      <w:color w:val="auto"/>
                      <w:kern w:val="0"/>
                      <w:szCs w:val="21"/>
                      <w:u w:val="single"/>
                    </w:rPr>
                  </w:pPr>
                  <w:r>
                    <w:rPr>
                      <w:rFonts w:hint="eastAsia"/>
                      <w:color w:val="auto"/>
                      <w:kern w:val="0"/>
                      <w:szCs w:val="21"/>
                      <w:u w:val="single"/>
                    </w:rPr>
                    <w:t>验收完毕应</w:t>
                  </w:r>
                  <w:r>
                    <w:rPr>
                      <w:rFonts w:hint="eastAsia"/>
                      <w:color w:val="auto"/>
                      <w:kern w:val="0"/>
                      <w:szCs w:val="21"/>
                      <w:u w:val="single"/>
                      <w:lang w:eastAsia="zh-CN"/>
                    </w:rPr>
                    <w:t>做好</w:t>
                  </w:r>
                  <w:r>
                    <w:rPr>
                      <w:rFonts w:hint="eastAsia"/>
                      <w:color w:val="auto"/>
                      <w:kern w:val="0"/>
                      <w:szCs w:val="21"/>
                      <w:u w:val="single"/>
                    </w:rPr>
                    <w:t>记录并归档，单据保存期限不少于1年。</w:t>
                  </w:r>
                </w:p>
              </w:tc>
              <w:tc>
                <w:tcPr>
                  <w:tcW w:w="2725" w:type="dxa"/>
                  <w:vAlign w:val="center"/>
                </w:tcPr>
                <w:p w14:paraId="54FE7F8D">
                  <w:pPr>
                    <w:widowControl/>
                    <w:adjustRightInd w:val="0"/>
                    <w:snapToGrid w:val="0"/>
                    <w:textAlignment w:val="center"/>
                    <w:rPr>
                      <w:color w:val="auto"/>
                      <w:kern w:val="0"/>
                      <w:szCs w:val="21"/>
                      <w:u w:val="single"/>
                    </w:rPr>
                  </w:pPr>
                  <w:r>
                    <w:rPr>
                      <w:rFonts w:hint="eastAsia"/>
                      <w:color w:val="auto"/>
                      <w:kern w:val="0"/>
                      <w:szCs w:val="21"/>
                      <w:u w:val="single"/>
                    </w:rPr>
                    <w:t>符合，验收完毕后，</w:t>
                  </w:r>
                  <w:r>
                    <w:rPr>
                      <w:rFonts w:hint="eastAsia"/>
                      <w:color w:val="auto"/>
                      <w:kern w:val="0"/>
                      <w:szCs w:val="21"/>
                      <w:u w:val="single"/>
                      <w:lang w:eastAsia="zh-CN"/>
                    </w:rPr>
                    <w:t>做好</w:t>
                  </w:r>
                  <w:r>
                    <w:rPr>
                      <w:rFonts w:hint="eastAsia"/>
                      <w:color w:val="auto"/>
                      <w:kern w:val="0"/>
                      <w:szCs w:val="21"/>
                      <w:u w:val="single"/>
                    </w:rPr>
                    <w:t>记录并归档，单据保存期限不少于1年。</w:t>
                  </w:r>
                </w:p>
              </w:tc>
            </w:tr>
            <w:tr w14:paraId="381C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783" w:type="dxa"/>
                  <w:gridSpan w:val="3"/>
                  <w:vAlign w:val="center"/>
                </w:tcPr>
                <w:p w14:paraId="5A5CAA95">
                  <w:pPr>
                    <w:widowControl/>
                    <w:adjustRightInd w:val="0"/>
                    <w:snapToGrid w:val="0"/>
                    <w:jc w:val="center"/>
                    <w:textAlignment w:val="center"/>
                    <w:rPr>
                      <w:color w:val="auto"/>
                      <w:kern w:val="0"/>
                      <w:szCs w:val="21"/>
                      <w:u w:val="single"/>
                    </w:rPr>
                  </w:pPr>
                  <w:r>
                    <w:rPr>
                      <w:rFonts w:hint="eastAsia"/>
                      <w:color w:val="auto"/>
                      <w:kern w:val="0"/>
                      <w:szCs w:val="21"/>
                      <w:u w:val="single"/>
                    </w:rPr>
                    <w:t>在库管理</w:t>
                  </w:r>
                </w:p>
              </w:tc>
            </w:tr>
            <w:tr w14:paraId="0B85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120136FD">
                  <w:pPr>
                    <w:widowControl/>
                    <w:adjustRightInd w:val="0"/>
                    <w:snapToGrid w:val="0"/>
                    <w:textAlignment w:val="center"/>
                    <w:rPr>
                      <w:color w:val="auto"/>
                      <w:kern w:val="0"/>
                      <w:szCs w:val="21"/>
                      <w:u w:val="single"/>
                    </w:rPr>
                  </w:pPr>
                  <w:r>
                    <w:rPr>
                      <w:rFonts w:hint="eastAsia"/>
                      <w:color w:val="auto"/>
                      <w:kern w:val="0"/>
                      <w:szCs w:val="21"/>
                      <w:u w:val="single"/>
                    </w:rPr>
                    <w:t>8.1</w:t>
                  </w:r>
                </w:p>
              </w:tc>
              <w:tc>
                <w:tcPr>
                  <w:tcW w:w="3324" w:type="dxa"/>
                  <w:vAlign w:val="center"/>
                </w:tcPr>
                <w:p w14:paraId="79BF6065">
                  <w:pPr>
                    <w:widowControl/>
                    <w:adjustRightInd w:val="0"/>
                    <w:snapToGrid w:val="0"/>
                    <w:textAlignment w:val="center"/>
                    <w:rPr>
                      <w:color w:val="auto"/>
                      <w:kern w:val="0"/>
                      <w:szCs w:val="21"/>
                      <w:u w:val="single"/>
                    </w:rPr>
                  </w:pPr>
                  <w:r>
                    <w:rPr>
                      <w:rFonts w:hint="eastAsia"/>
                      <w:color w:val="auto"/>
                      <w:kern w:val="0"/>
                      <w:szCs w:val="21"/>
                      <w:u w:val="single"/>
                    </w:rPr>
                    <w:t>应定期进行盘点，并记录。发现账货不符，应及时进行处理。</w:t>
                  </w:r>
                </w:p>
              </w:tc>
              <w:tc>
                <w:tcPr>
                  <w:tcW w:w="2725" w:type="dxa"/>
                  <w:vAlign w:val="center"/>
                </w:tcPr>
                <w:p w14:paraId="0DF81B88">
                  <w:pPr>
                    <w:widowControl/>
                    <w:adjustRightInd w:val="0"/>
                    <w:snapToGrid w:val="0"/>
                    <w:textAlignment w:val="center"/>
                    <w:rPr>
                      <w:color w:val="auto"/>
                      <w:kern w:val="0"/>
                      <w:szCs w:val="21"/>
                      <w:u w:val="single"/>
                    </w:rPr>
                  </w:pPr>
                  <w:r>
                    <w:rPr>
                      <w:rFonts w:hint="eastAsia"/>
                      <w:color w:val="auto"/>
                      <w:kern w:val="0"/>
                      <w:szCs w:val="21"/>
                      <w:u w:val="single"/>
                    </w:rPr>
                    <w:t>符合，定期进行盘点，并记录。发现账货不符，应及时进行处理。</w:t>
                  </w:r>
                </w:p>
              </w:tc>
            </w:tr>
            <w:tr w14:paraId="641A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468569E1">
                  <w:pPr>
                    <w:widowControl/>
                    <w:adjustRightInd w:val="0"/>
                    <w:snapToGrid w:val="0"/>
                    <w:textAlignment w:val="center"/>
                    <w:rPr>
                      <w:color w:val="auto"/>
                      <w:kern w:val="0"/>
                      <w:szCs w:val="21"/>
                      <w:u w:val="single"/>
                    </w:rPr>
                  </w:pPr>
                  <w:r>
                    <w:rPr>
                      <w:rFonts w:hint="eastAsia"/>
                      <w:color w:val="auto"/>
                      <w:kern w:val="0"/>
                      <w:szCs w:val="21"/>
                      <w:u w:val="single"/>
                    </w:rPr>
                    <w:t>8.2</w:t>
                  </w:r>
                </w:p>
              </w:tc>
              <w:tc>
                <w:tcPr>
                  <w:tcW w:w="3324" w:type="dxa"/>
                  <w:vAlign w:val="center"/>
                </w:tcPr>
                <w:p w14:paraId="0A307490">
                  <w:pPr>
                    <w:widowControl/>
                    <w:adjustRightInd w:val="0"/>
                    <w:snapToGrid w:val="0"/>
                    <w:textAlignment w:val="center"/>
                    <w:rPr>
                      <w:color w:val="auto"/>
                      <w:kern w:val="0"/>
                      <w:szCs w:val="21"/>
                      <w:u w:val="single"/>
                    </w:rPr>
                  </w:pPr>
                  <w:r>
                    <w:rPr>
                      <w:rFonts w:hint="eastAsia"/>
                      <w:color w:val="auto"/>
                      <w:kern w:val="0"/>
                      <w:szCs w:val="21"/>
                      <w:u w:val="single"/>
                    </w:rPr>
                    <w:t>应定期对物品堆码状态、包装及仓库进行检查，并记录。应对检查发现的问题及时进行处理。</w:t>
                  </w:r>
                </w:p>
              </w:tc>
              <w:tc>
                <w:tcPr>
                  <w:tcW w:w="2725" w:type="dxa"/>
                  <w:vAlign w:val="center"/>
                </w:tcPr>
                <w:p w14:paraId="2A10DEB5">
                  <w:pPr>
                    <w:widowControl/>
                    <w:adjustRightInd w:val="0"/>
                    <w:snapToGrid w:val="0"/>
                    <w:textAlignment w:val="center"/>
                    <w:rPr>
                      <w:color w:val="auto"/>
                      <w:kern w:val="0"/>
                      <w:szCs w:val="21"/>
                      <w:u w:val="single"/>
                    </w:rPr>
                  </w:pPr>
                  <w:r>
                    <w:rPr>
                      <w:rFonts w:hint="eastAsia"/>
                      <w:color w:val="auto"/>
                      <w:kern w:val="0"/>
                      <w:szCs w:val="21"/>
                      <w:u w:val="single"/>
                    </w:rPr>
                    <w:t>符合，工作人员将定期对物品堆码状态、包装及仓库进行检查，并记录。对检查发现的问题及时进行处理。</w:t>
                  </w:r>
                </w:p>
              </w:tc>
            </w:tr>
            <w:tr w14:paraId="66FE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747C9CFC">
                  <w:pPr>
                    <w:widowControl/>
                    <w:adjustRightInd w:val="0"/>
                    <w:snapToGrid w:val="0"/>
                    <w:textAlignment w:val="center"/>
                    <w:rPr>
                      <w:color w:val="auto"/>
                      <w:kern w:val="0"/>
                      <w:szCs w:val="21"/>
                      <w:u w:val="single"/>
                    </w:rPr>
                  </w:pPr>
                  <w:r>
                    <w:rPr>
                      <w:rFonts w:hint="eastAsia"/>
                      <w:color w:val="auto"/>
                      <w:kern w:val="0"/>
                      <w:szCs w:val="21"/>
                      <w:u w:val="single"/>
                    </w:rPr>
                    <w:t>8.3</w:t>
                  </w:r>
                </w:p>
              </w:tc>
              <w:tc>
                <w:tcPr>
                  <w:tcW w:w="3324" w:type="dxa"/>
                  <w:vAlign w:val="center"/>
                </w:tcPr>
                <w:p w14:paraId="7ADC4BA9">
                  <w:pPr>
                    <w:widowControl/>
                    <w:adjustRightInd w:val="0"/>
                    <w:snapToGrid w:val="0"/>
                    <w:textAlignment w:val="center"/>
                    <w:rPr>
                      <w:color w:val="auto"/>
                      <w:kern w:val="0"/>
                      <w:szCs w:val="21"/>
                      <w:u w:val="single"/>
                    </w:rPr>
                  </w:pPr>
                  <w:r>
                    <w:rPr>
                      <w:rFonts w:hint="eastAsia"/>
                      <w:color w:val="auto"/>
                      <w:kern w:val="0"/>
                      <w:szCs w:val="21"/>
                      <w:u w:val="single"/>
                    </w:rPr>
                    <w:t>应根据储存的危险化学品特性和气候条件，确定每日观测库内温湿度次数，并记录。</w:t>
                  </w:r>
                </w:p>
              </w:tc>
              <w:tc>
                <w:tcPr>
                  <w:tcW w:w="2725" w:type="dxa"/>
                  <w:vAlign w:val="center"/>
                </w:tcPr>
                <w:p w14:paraId="00320E4E">
                  <w:pPr>
                    <w:widowControl/>
                    <w:adjustRightInd w:val="0"/>
                    <w:snapToGrid w:val="0"/>
                    <w:textAlignment w:val="center"/>
                    <w:rPr>
                      <w:color w:val="auto"/>
                      <w:kern w:val="0"/>
                      <w:szCs w:val="21"/>
                      <w:u w:val="single"/>
                    </w:rPr>
                  </w:pPr>
                  <w:r>
                    <w:rPr>
                      <w:rFonts w:hint="eastAsia"/>
                      <w:color w:val="auto"/>
                      <w:kern w:val="0"/>
                      <w:szCs w:val="21"/>
                      <w:u w:val="single"/>
                    </w:rPr>
                    <w:t>符合，工作人员根据储存的危险化学品特性和气候条件，确定每日观测库内温湿度次数，并记录。</w:t>
                  </w:r>
                </w:p>
              </w:tc>
            </w:tr>
            <w:tr w14:paraId="6D7F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468A305B">
                  <w:pPr>
                    <w:widowControl/>
                    <w:adjustRightInd w:val="0"/>
                    <w:snapToGrid w:val="0"/>
                    <w:textAlignment w:val="center"/>
                    <w:rPr>
                      <w:color w:val="auto"/>
                      <w:kern w:val="0"/>
                      <w:szCs w:val="21"/>
                      <w:u w:val="single"/>
                    </w:rPr>
                  </w:pPr>
                  <w:r>
                    <w:rPr>
                      <w:rFonts w:hint="eastAsia"/>
                      <w:color w:val="auto"/>
                      <w:kern w:val="0"/>
                      <w:szCs w:val="21"/>
                      <w:u w:val="single"/>
                    </w:rPr>
                    <w:t>8.4</w:t>
                  </w:r>
                </w:p>
              </w:tc>
              <w:tc>
                <w:tcPr>
                  <w:tcW w:w="3324" w:type="dxa"/>
                  <w:vAlign w:val="center"/>
                </w:tcPr>
                <w:p w14:paraId="087CDB2E">
                  <w:pPr>
                    <w:widowControl/>
                    <w:adjustRightInd w:val="0"/>
                    <w:snapToGrid w:val="0"/>
                    <w:textAlignment w:val="center"/>
                    <w:rPr>
                      <w:color w:val="auto"/>
                      <w:kern w:val="0"/>
                      <w:szCs w:val="21"/>
                      <w:u w:val="single"/>
                    </w:rPr>
                  </w:pPr>
                  <w:r>
                    <w:rPr>
                      <w:rFonts w:hint="eastAsia"/>
                      <w:color w:val="auto"/>
                      <w:kern w:val="0"/>
                      <w:szCs w:val="21"/>
                      <w:u w:val="single"/>
                    </w:rPr>
                    <w:t>应根据储存的危险化学品特性，正确调节控制库内温湿度。</w:t>
                  </w:r>
                </w:p>
              </w:tc>
              <w:tc>
                <w:tcPr>
                  <w:tcW w:w="2725" w:type="dxa"/>
                  <w:vAlign w:val="center"/>
                </w:tcPr>
                <w:p w14:paraId="285627DD">
                  <w:pPr>
                    <w:widowControl/>
                    <w:adjustRightInd w:val="0"/>
                    <w:snapToGrid w:val="0"/>
                    <w:textAlignment w:val="center"/>
                    <w:rPr>
                      <w:color w:val="auto"/>
                      <w:kern w:val="0"/>
                      <w:szCs w:val="21"/>
                      <w:u w:val="single"/>
                    </w:rPr>
                  </w:pPr>
                  <w:r>
                    <w:rPr>
                      <w:rFonts w:hint="eastAsia"/>
                      <w:color w:val="auto"/>
                      <w:kern w:val="0"/>
                      <w:szCs w:val="21"/>
                      <w:u w:val="single"/>
                    </w:rPr>
                    <w:t>符合，根据储存的危险化学品特性，正确调节控制库内温湿度。</w:t>
                  </w:r>
                </w:p>
              </w:tc>
            </w:tr>
            <w:tr w14:paraId="4834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521ED1BD">
                  <w:pPr>
                    <w:widowControl/>
                    <w:adjustRightInd w:val="0"/>
                    <w:snapToGrid w:val="0"/>
                    <w:textAlignment w:val="center"/>
                    <w:rPr>
                      <w:color w:val="auto"/>
                      <w:kern w:val="0"/>
                      <w:szCs w:val="21"/>
                      <w:u w:val="single"/>
                    </w:rPr>
                  </w:pPr>
                  <w:r>
                    <w:rPr>
                      <w:rFonts w:hint="eastAsia"/>
                      <w:color w:val="auto"/>
                      <w:kern w:val="0"/>
                      <w:szCs w:val="21"/>
                      <w:u w:val="single"/>
                    </w:rPr>
                    <w:t>8.5</w:t>
                  </w:r>
                </w:p>
              </w:tc>
              <w:tc>
                <w:tcPr>
                  <w:tcW w:w="3324" w:type="dxa"/>
                  <w:vAlign w:val="center"/>
                </w:tcPr>
                <w:p w14:paraId="557B64B0">
                  <w:pPr>
                    <w:widowControl/>
                    <w:adjustRightInd w:val="0"/>
                    <w:snapToGrid w:val="0"/>
                    <w:textAlignment w:val="center"/>
                    <w:rPr>
                      <w:color w:val="auto"/>
                      <w:kern w:val="0"/>
                      <w:szCs w:val="21"/>
                      <w:u w:val="single"/>
                    </w:rPr>
                  </w:pPr>
                  <w:r>
                    <w:rPr>
                      <w:rFonts w:hint="eastAsia"/>
                      <w:color w:val="auto"/>
                      <w:kern w:val="0"/>
                      <w:szCs w:val="21"/>
                      <w:u w:val="single"/>
                    </w:rPr>
                    <w:t>盘点、检查、观测记录应保存不少于1年。</w:t>
                  </w:r>
                </w:p>
              </w:tc>
              <w:tc>
                <w:tcPr>
                  <w:tcW w:w="2725" w:type="dxa"/>
                  <w:vAlign w:val="center"/>
                </w:tcPr>
                <w:p w14:paraId="51432C23">
                  <w:pPr>
                    <w:widowControl/>
                    <w:adjustRightInd w:val="0"/>
                    <w:snapToGrid w:val="0"/>
                    <w:textAlignment w:val="center"/>
                    <w:rPr>
                      <w:color w:val="auto"/>
                      <w:kern w:val="0"/>
                      <w:szCs w:val="21"/>
                      <w:u w:val="single"/>
                    </w:rPr>
                  </w:pPr>
                  <w:r>
                    <w:rPr>
                      <w:rFonts w:hint="eastAsia"/>
                      <w:color w:val="auto"/>
                      <w:kern w:val="0"/>
                      <w:szCs w:val="21"/>
                      <w:u w:val="single"/>
                    </w:rPr>
                    <w:t>符合，盘点、检查、观测记录保存不少于1年。</w:t>
                  </w:r>
                </w:p>
              </w:tc>
            </w:tr>
            <w:tr w14:paraId="39D8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3" w:type="dxa"/>
                  <w:gridSpan w:val="3"/>
                  <w:vAlign w:val="center"/>
                </w:tcPr>
                <w:p w14:paraId="3590D772">
                  <w:pPr>
                    <w:widowControl/>
                    <w:adjustRightInd w:val="0"/>
                    <w:snapToGrid w:val="0"/>
                    <w:jc w:val="center"/>
                    <w:textAlignment w:val="center"/>
                    <w:rPr>
                      <w:color w:val="auto"/>
                      <w:kern w:val="0"/>
                      <w:szCs w:val="21"/>
                      <w:u w:val="single"/>
                    </w:rPr>
                  </w:pPr>
                  <w:r>
                    <w:rPr>
                      <w:rFonts w:hint="eastAsia"/>
                      <w:color w:val="auto"/>
                      <w:kern w:val="0"/>
                      <w:szCs w:val="21"/>
                      <w:u w:val="single"/>
                    </w:rPr>
                    <w:t>出库作业</w:t>
                  </w:r>
                </w:p>
              </w:tc>
            </w:tr>
            <w:tr w14:paraId="7BA7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6246C53C">
                  <w:pPr>
                    <w:widowControl/>
                    <w:adjustRightInd w:val="0"/>
                    <w:snapToGrid w:val="0"/>
                    <w:textAlignment w:val="center"/>
                    <w:rPr>
                      <w:color w:val="auto"/>
                      <w:kern w:val="0"/>
                      <w:szCs w:val="21"/>
                      <w:u w:val="single"/>
                    </w:rPr>
                  </w:pPr>
                  <w:r>
                    <w:rPr>
                      <w:rFonts w:hint="eastAsia"/>
                      <w:color w:val="auto"/>
                      <w:kern w:val="0"/>
                      <w:szCs w:val="21"/>
                      <w:u w:val="single"/>
                    </w:rPr>
                    <w:t>9.1</w:t>
                  </w:r>
                </w:p>
              </w:tc>
              <w:tc>
                <w:tcPr>
                  <w:tcW w:w="3324" w:type="dxa"/>
                  <w:vAlign w:val="center"/>
                </w:tcPr>
                <w:p w14:paraId="3BA56B59">
                  <w:pPr>
                    <w:widowControl/>
                    <w:adjustRightInd w:val="0"/>
                    <w:snapToGrid w:val="0"/>
                    <w:textAlignment w:val="center"/>
                    <w:rPr>
                      <w:color w:val="auto"/>
                      <w:kern w:val="0"/>
                      <w:szCs w:val="21"/>
                      <w:u w:val="single"/>
                    </w:rPr>
                  </w:pPr>
                  <w:r>
                    <w:rPr>
                      <w:rFonts w:hint="eastAsia"/>
                      <w:color w:val="auto"/>
                      <w:kern w:val="0"/>
                      <w:szCs w:val="21"/>
                      <w:u w:val="single"/>
                    </w:rPr>
                    <w:t>应在出库作业前，进行账货核对。</w:t>
                  </w:r>
                </w:p>
              </w:tc>
              <w:tc>
                <w:tcPr>
                  <w:tcW w:w="2725" w:type="dxa"/>
                  <w:vAlign w:val="center"/>
                </w:tcPr>
                <w:p w14:paraId="26BA2CFA">
                  <w:pPr>
                    <w:widowControl/>
                    <w:adjustRightInd w:val="0"/>
                    <w:snapToGrid w:val="0"/>
                    <w:textAlignment w:val="center"/>
                    <w:rPr>
                      <w:color w:val="auto"/>
                      <w:kern w:val="0"/>
                      <w:szCs w:val="21"/>
                      <w:u w:val="single"/>
                    </w:rPr>
                  </w:pPr>
                  <w:r>
                    <w:rPr>
                      <w:rFonts w:hint="eastAsia"/>
                      <w:color w:val="auto"/>
                      <w:kern w:val="0"/>
                      <w:szCs w:val="21"/>
                      <w:u w:val="single"/>
                    </w:rPr>
                    <w:t>符合，储存物品在出库作业前，进行账货核对。</w:t>
                  </w:r>
                </w:p>
              </w:tc>
            </w:tr>
            <w:tr w14:paraId="739A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6DDCF437">
                  <w:pPr>
                    <w:widowControl/>
                    <w:adjustRightInd w:val="0"/>
                    <w:snapToGrid w:val="0"/>
                    <w:textAlignment w:val="center"/>
                    <w:rPr>
                      <w:color w:val="auto"/>
                      <w:kern w:val="0"/>
                      <w:szCs w:val="21"/>
                      <w:u w:val="single"/>
                    </w:rPr>
                  </w:pPr>
                  <w:r>
                    <w:rPr>
                      <w:rFonts w:hint="eastAsia"/>
                      <w:color w:val="auto"/>
                      <w:kern w:val="0"/>
                      <w:szCs w:val="21"/>
                      <w:u w:val="single"/>
                    </w:rPr>
                    <w:t>9.2</w:t>
                  </w:r>
                </w:p>
              </w:tc>
              <w:tc>
                <w:tcPr>
                  <w:tcW w:w="3324" w:type="dxa"/>
                  <w:vAlign w:val="center"/>
                </w:tcPr>
                <w:p w14:paraId="7F367B42">
                  <w:pPr>
                    <w:widowControl/>
                    <w:adjustRightInd w:val="0"/>
                    <w:snapToGrid w:val="0"/>
                    <w:textAlignment w:val="center"/>
                    <w:rPr>
                      <w:color w:val="auto"/>
                      <w:kern w:val="0"/>
                      <w:szCs w:val="21"/>
                      <w:u w:val="single"/>
                    </w:rPr>
                  </w:pPr>
                  <w:r>
                    <w:rPr>
                      <w:rFonts w:hint="eastAsia"/>
                      <w:color w:val="auto"/>
                      <w:kern w:val="0"/>
                      <w:szCs w:val="21"/>
                      <w:u w:val="single"/>
                    </w:rPr>
                    <w:t>应核对出库单据的有效性。发现问题立即与相关方协调处理。</w:t>
                  </w:r>
                </w:p>
              </w:tc>
              <w:tc>
                <w:tcPr>
                  <w:tcW w:w="2725" w:type="dxa"/>
                  <w:vAlign w:val="center"/>
                </w:tcPr>
                <w:p w14:paraId="62AB42BC">
                  <w:pPr>
                    <w:widowControl/>
                    <w:adjustRightInd w:val="0"/>
                    <w:snapToGrid w:val="0"/>
                    <w:textAlignment w:val="center"/>
                    <w:rPr>
                      <w:color w:val="auto"/>
                      <w:kern w:val="0"/>
                      <w:szCs w:val="21"/>
                      <w:u w:val="single"/>
                    </w:rPr>
                  </w:pPr>
                  <w:r>
                    <w:rPr>
                      <w:rFonts w:hint="eastAsia"/>
                      <w:color w:val="auto"/>
                      <w:kern w:val="0"/>
                      <w:szCs w:val="21"/>
                      <w:u w:val="single"/>
                    </w:rPr>
                    <w:t>符合，核对出库单据的有效性。发现问题立即与相关方协调处理。</w:t>
                  </w:r>
                </w:p>
              </w:tc>
            </w:tr>
            <w:tr w14:paraId="349A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67F3918E">
                  <w:pPr>
                    <w:widowControl/>
                    <w:adjustRightInd w:val="0"/>
                    <w:snapToGrid w:val="0"/>
                    <w:textAlignment w:val="center"/>
                    <w:rPr>
                      <w:color w:val="auto"/>
                      <w:kern w:val="0"/>
                      <w:szCs w:val="21"/>
                      <w:u w:val="single"/>
                    </w:rPr>
                  </w:pPr>
                  <w:r>
                    <w:rPr>
                      <w:rFonts w:hint="eastAsia"/>
                      <w:color w:val="auto"/>
                      <w:kern w:val="0"/>
                      <w:szCs w:val="21"/>
                      <w:u w:val="single"/>
                    </w:rPr>
                    <w:t>9.3</w:t>
                  </w:r>
                </w:p>
              </w:tc>
              <w:tc>
                <w:tcPr>
                  <w:tcW w:w="3324" w:type="dxa"/>
                  <w:vAlign w:val="center"/>
                </w:tcPr>
                <w:p w14:paraId="645B044D">
                  <w:pPr>
                    <w:widowControl/>
                    <w:adjustRightInd w:val="0"/>
                    <w:snapToGrid w:val="0"/>
                    <w:textAlignment w:val="center"/>
                    <w:rPr>
                      <w:color w:val="auto"/>
                      <w:kern w:val="0"/>
                      <w:szCs w:val="21"/>
                      <w:u w:val="single"/>
                    </w:rPr>
                  </w:pPr>
                  <w:r>
                    <w:rPr>
                      <w:rFonts w:hint="eastAsia"/>
                      <w:color w:val="auto"/>
                      <w:kern w:val="0"/>
                      <w:szCs w:val="21"/>
                      <w:u w:val="single"/>
                    </w:rPr>
                    <w:t>应查验提货车辆及驾驶、押运人员的资质，并记录。不符合要求的不应受理出库业务。</w:t>
                  </w:r>
                </w:p>
              </w:tc>
              <w:tc>
                <w:tcPr>
                  <w:tcW w:w="2725" w:type="dxa"/>
                  <w:vAlign w:val="center"/>
                </w:tcPr>
                <w:p w14:paraId="17E4B115">
                  <w:pPr>
                    <w:widowControl/>
                    <w:adjustRightInd w:val="0"/>
                    <w:snapToGrid w:val="0"/>
                    <w:textAlignment w:val="center"/>
                    <w:rPr>
                      <w:color w:val="auto"/>
                      <w:kern w:val="0"/>
                      <w:szCs w:val="21"/>
                      <w:u w:val="single"/>
                    </w:rPr>
                  </w:pPr>
                  <w:r>
                    <w:rPr>
                      <w:rFonts w:hint="eastAsia"/>
                      <w:color w:val="auto"/>
                      <w:kern w:val="0"/>
                      <w:szCs w:val="21"/>
                      <w:u w:val="single"/>
                    </w:rPr>
                    <w:t>符合，查验提货车辆及驾驶、押运人员的资质，并记录。不符合要求的不应受理出库业务。</w:t>
                  </w:r>
                </w:p>
              </w:tc>
            </w:tr>
            <w:tr w14:paraId="541D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29CAC21A">
                  <w:pPr>
                    <w:widowControl/>
                    <w:adjustRightInd w:val="0"/>
                    <w:snapToGrid w:val="0"/>
                    <w:textAlignment w:val="center"/>
                    <w:rPr>
                      <w:color w:val="auto"/>
                      <w:kern w:val="0"/>
                      <w:szCs w:val="21"/>
                      <w:u w:val="single"/>
                    </w:rPr>
                  </w:pPr>
                  <w:r>
                    <w:rPr>
                      <w:rFonts w:hint="eastAsia"/>
                      <w:color w:val="auto"/>
                      <w:kern w:val="0"/>
                      <w:szCs w:val="21"/>
                      <w:u w:val="single"/>
                    </w:rPr>
                    <w:t>9.4</w:t>
                  </w:r>
                </w:p>
              </w:tc>
              <w:tc>
                <w:tcPr>
                  <w:tcW w:w="3324" w:type="dxa"/>
                  <w:vAlign w:val="center"/>
                </w:tcPr>
                <w:p w14:paraId="0FB9DE15">
                  <w:pPr>
                    <w:widowControl/>
                    <w:adjustRightInd w:val="0"/>
                    <w:snapToGrid w:val="0"/>
                    <w:textAlignment w:val="center"/>
                    <w:rPr>
                      <w:color w:val="auto"/>
                      <w:kern w:val="0"/>
                      <w:szCs w:val="21"/>
                      <w:u w:val="single"/>
                    </w:rPr>
                  </w:pPr>
                  <w:r>
                    <w:rPr>
                      <w:rFonts w:hint="eastAsia"/>
                      <w:color w:val="auto"/>
                      <w:kern w:val="0"/>
                      <w:szCs w:val="21"/>
                      <w:u w:val="single"/>
                    </w:rPr>
                    <w:t>应做好出库前安全检查，确保包装及标签、标志正确完好，货物捆扎安全牢固。</w:t>
                  </w:r>
                </w:p>
              </w:tc>
              <w:tc>
                <w:tcPr>
                  <w:tcW w:w="2725" w:type="dxa"/>
                  <w:vAlign w:val="center"/>
                </w:tcPr>
                <w:p w14:paraId="76E74930">
                  <w:pPr>
                    <w:widowControl/>
                    <w:adjustRightInd w:val="0"/>
                    <w:snapToGrid w:val="0"/>
                    <w:textAlignment w:val="center"/>
                    <w:rPr>
                      <w:color w:val="auto"/>
                      <w:kern w:val="0"/>
                      <w:szCs w:val="21"/>
                      <w:u w:val="single"/>
                    </w:rPr>
                  </w:pPr>
                  <w:r>
                    <w:rPr>
                      <w:rFonts w:hint="eastAsia"/>
                      <w:color w:val="auto"/>
                      <w:kern w:val="0"/>
                      <w:szCs w:val="21"/>
                      <w:u w:val="single"/>
                    </w:rPr>
                    <w:t>符合，做好出库前安全检查，确保包装及标签、标志正确完好，货物捆扎安全牢固。</w:t>
                  </w:r>
                </w:p>
              </w:tc>
            </w:tr>
            <w:tr w14:paraId="52D3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16EA21B7">
                  <w:pPr>
                    <w:widowControl/>
                    <w:adjustRightInd w:val="0"/>
                    <w:snapToGrid w:val="0"/>
                    <w:textAlignment w:val="center"/>
                    <w:rPr>
                      <w:color w:val="auto"/>
                      <w:kern w:val="0"/>
                      <w:szCs w:val="21"/>
                      <w:u w:val="single"/>
                    </w:rPr>
                  </w:pPr>
                  <w:r>
                    <w:rPr>
                      <w:rFonts w:hint="eastAsia"/>
                      <w:color w:val="auto"/>
                      <w:kern w:val="0"/>
                      <w:szCs w:val="21"/>
                      <w:u w:val="single"/>
                    </w:rPr>
                    <w:t>9.5</w:t>
                  </w:r>
                </w:p>
              </w:tc>
              <w:tc>
                <w:tcPr>
                  <w:tcW w:w="3324" w:type="dxa"/>
                  <w:vAlign w:val="center"/>
                </w:tcPr>
                <w:p w14:paraId="130E342D">
                  <w:pPr>
                    <w:widowControl/>
                    <w:adjustRightInd w:val="0"/>
                    <w:snapToGrid w:val="0"/>
                    <w:textAlignment w:val="center"/>
                    <w:rPr>
                      <w:color w:val="auto"/>
                      <w:kern w:val="0"/>
                      <w:szCs w:val="21"/>
                      <w:u w:val="single"/>
                    </w:rPr>
                  </w:pPr>
                  <w:r>
                    <w:rPr>
                      <w:rFonts w:hint="eastAsia"/>
                      <w:color w:val="auto"/>
                      <w:kern w:val="0"/>
                      <w:szCs w:val="21"/>
                      <w:u w:val="single"/>
                    </w:rPr>
                    <w:t>出库单据保存期应不少于1年。</w:t>
                  </w:r>
                </w:p>
              </w:tc>
              <w:tc>
                <w:tcPr>
                  <w:tcW w:w="2725" w:type="dxa"/>
                  <w:vAlign w:val="center"/>
                </w:tcPr>
                <w:p w14:paraId="6DDAF433">
                  <w:pPr>
                    <w:widowControl/>
                    <w:adjustRightInd w:val="0"/>
                    <w:snapToGrid w:val="0"/>
                    <w:textAlignment w:val="center"/>
                    <w:rPr>
                      <w:color w:val="auto"/>
                      <w:kern w:val="0"/>
                      <w:szCs w:val="21"/>
                      <w:u w:val="single"/>
                    </w:rPr>
                  </w:pPr>
                  <w:r>
                    <w:rPr>
                      <w:rFonts w:hint="eastAsia"/>
                      <w:color w:val="auto"/>
                      <w:kern w:val="0"/>
                      <w:szCs w:val="21"/>
                      <w:u w:val="single"/>
                    </w:rPr>
                    <w:t>符合，出库单据保存期不少于1年。</w:t>
                  </w:r>
                </w:p>
              </w:tc>
            </w:tr>
            <w:tr w14:paraId="3EA2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3" w:type="dxa"/>
                  <w:gridSpan w:val="3"/>
                  <w:vAlign w:val="center"/>
                </w:tcPr>
                <w:p w14:paraId="386447D5">
                  <w:pPr>
                    <w:widowControl/>
                    <w:adjustRightInd w:val="0"/>
                    <w:snapToGrid w:val="0"/>
                    <w:jc w:val="center"/>
                    <w:textAlignment w:val="center"/>
                    <w:rPr>
                      <w:color w:val="auto"/>
                      <w:kern w:val="0"/>
                      <w:szCs w:val="21"/>
                      <w:u w:val="single"/>
                    </w:rPr>
                  </w:pPr>
                  <w:r>
                    <w:rPr>
                      <w:rFonts w:hint="eastAsia"/>
                      <w:color w:val="auto"/>
                      <w:kern w:val="0"/>
                      <w:szCs w:val="21"/>
                      <w:u w:val="single"/>
                    </w:rPr>
                    <w:t>个体防护</w:t>
                  </w:r>
                </w:p>
              </w:tc>
            </w:tr>
            <w:tr w14:paraId="58ED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5B39B67A">
                  <w:pPr>
                    <w:widowControl/>
                    <w:adjustRightInd w:val="0"/>
                    <w:snapToGrid w:val="0"/>
                    <w:textAlignment w:val="center"/>
                    <w:rPr>
                      <w:color w:val="auto"/>
                      <w:kern w:val="0"/>
                      <w:szCs w:val="21"/>
                      <w:u w:val="single"/>
                    </w:rPr>
                  </w:pPr>
                  <w:r>
                    <w:rPr>
                      <w:rFonts w:hint="eastAsia"/>
                      <w:color w:val="auto"/>
                      <w:kern w:val="0"/>
                      <w:szCs w:val="21"/>
                      <w:u w:val="single"/>
                    </w:rPr>
                    <w:t>10.1</w:t>
                  </w:r>
                </w:p>
              </w:tc>
              <w:tc>
                <w:tcPr>
                  <w:tcW w:w="3324" w:type="dxa"/>
                  <w:vAlign w:val="center"/>
                </w:tcPr>
                <w:p w14:paraId="1D75E215">
                  <w:pPr>
                    <w:widowControl/>
                    <w:adjustRightInd w:val="0"/>
                    <w:snapToGrid w:val="0"/>
                    <w:textAlignment w:val="center"/>
                    <w:rPr>
                      <w:color w:val="auto"/>
                      <w:kern w:val="0"/>
                      <w:szCs w:val="21"/>
                      <w:u w:val="single"/>
                    </w:rPr>
                  </w:pPr>
                  <w:r>
                    <w:rPr>
                      <w:rFonts w:hint="eastAsia"/>
                      <w:color w:val="auto"/>
                      <w:kern w:val="0"/>
                      <w:szCs w:val="21"/>
                      <w:u w:val="single"/>
                    </w:rPr>
                    <w:t>危险化学品储存单位应建立完善的个体防护制度，应配置安全有效的个体防护装备，并符合GB39800.1和GB 39800.2的要求。</w:t>
                  </w:r>
                </w:p>
              </w:tc>
              <w:tc>
                <w:tcPr>
                  <w:tcW w:w="2725" w:type="dxa"/>
                  <w:vAlign w:val="center"/>
                </w:tcPr>
                <w:p w14:paraId="43EDADD7">
                  <w:pPr>
                    <w:widowControl/>
                    <w:adjustRightInd w:val="0"/>
                    <w:snapToGrid w:val="0"/>
                    <w:textAlignment w:val="center"/>
                    <w:rPr>
                      <w:color w:val="auto"/>
                      <w:kern w:val="0"/>
                      <w:szCs w:val="21"/>
                      <w:u w:val="single"/>
                    </w:rPr>
                  </w:pPr>
                  <w:r>
                    <w:rPr>
                      <w:rFonts w:hint="eastAsia"/>
                      <w:color w:val="auto"/>
                      <w:kern w:val="0"/>
                      <w:szCs w:val="21"/>
                      <w:u w:val="single"/>
                    </w:rPr>
                    <w:t>符合，本项目将建立完善的个体防护制度，配置安全有效的个体防护装备，并符合GB39800.1和GB 39800.2的要求。</w:t>
                  </w:r>
                </w:p>
              </w:tc>
            </w:tr>
            <w:tr w14:paraId="16BF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43245B9F">
                  <w:pPr>
                    <w:widowControl/>
                    <w:adjustRightInd w:val="0"/>
                    <w:snapToGrid w:val="0"/>
                    <w:textAlignment w:val="center"/>
                    <w:rPr>
                      <w:color w:val="auto"/>
                      <w:kern w:val="0"/>
                      <w:szCs w:val="21"/>
                      <w:u w:val="single"/>
                    </w:rPr>
                  </w:pPr>
                  <w:r>
                    <w:rPr>
                      <w:rFonts w:hint="eastAsia"/>
                      <w:color w:val="auto"/>
                      <w:kern w:val="0"/>
                      <w:szCs w:val="21"/>
                      <w:u w:val="single"/>
                    </w:rPr>
                    <w:t>9.2</w:t>
                  </w:r>
                </w:p>
              </w:tc>
              <w:tc>
                <w:tcPr>
                  <w:tcW w:w="3324" w:type="dxa"/>
                  <w:vAlign w:val="center"/>
                </w:tcPr>
                <w:p w14:paraId="5F0071D7">
                  <w:pPr>
                    <w:widowControl/>
                    <w:adjustRightInd w:val="0"/>
                    <w:snapToGrid w:val="0"/>
                    <w:textAlignment w:val="center"/>
                    <w:rPr>
                      <w:color w:val="auto"/>
                      <w:kern w:val="0"/>
                      <w:szCs w:val="21"/>
                      <w:u w:val="single"/>
                    </w:rPr>
                  </w:pPr>
                  <w:r>
                    <w:rPr>
                      <w:rFonts w:hint="eastAsia"/>
                      <w:color w:val="auto"/>
                      <w:kern w:val="0"/>
                      <w:szCs w:val="21"/>
                      <w:u w:val="single"/>
                    </w:rPr>
                    <w:t>从业人员应经过专业防护知识培训，根据作业对象的危险特性应正确穿戴相应的防护装备作业。</w:t>
                  </w:r>
                </w:p>
              </w:tc>
              <w:tc>
                <w:tcPr>
                  <w:tcW w:w="2725" w:type="dxa"/>
                  <w:vAlign w:val="center"/>
                </w:tcPr>
                <w:p w14:paraId="34ACF8EA">
                  <w:pPr>
                    <w:widowControl/>
                    <w:adjustRightInd w:val="0"/>
                    <w:snapToGrid w:val="0"/>
                    <w:textAlignment w:val="center"/>
                    <w:rPr>
                      <w:color w:val="auto"/>
                      <w:kern w:val="0"/>
                      <w:szCs w:val="21"/>
                      <w:u w:val="single"/>
                    </w:rPr>
                  </w:pPr>
                  <w:r>
                    <w:rPr>
                      <w:rFonts w:hint="eastAsia"/>
                      <w:color w:val="auto"/>
                      <w:kern w:val="0"/>
                      <w:szCs w:val="21"/>
                      <w:u w:val="single"/>
                    </w:rPr>
                    <w:t>符合，从业人员经过专业防护知识培训，根据作业对象的危险特性正确穿戴相应的防护装备作业。</w:t>
                  </w:r>
                </w:p>
              </w:tc>
            </w:tr>
            <w:tr w14:paraId="4AF2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3" w:type="dxa"/>
                  <w:gridSpan w:val="3"/>
                  <w:vAlign w:val="center"/>
                </w:tcPr>
                <w:p w14:paraId="6D78F32F">
                  <w:pPr>
                    <w:widowControl/>
                    <w:adjustRightInd w:val="0"/>
                    <w:snapToGrid w:val="0"/>
                    <w:jc w:val="center"/>
                    <w:textAlignment w:val="center"/>
                    <w:rPr>
                      <w:color w:val="auto"/>
                      <w:kern w:val="0"/>
                      <w:szCs w:val="21"/>
                      <w:u w:val="single"/>
                    </w:rPr>
                  </w:pPr>
                  <w:r>
                    <w:rPr>
                      <w:rFonts w:hint="eastAsia"/>
                      <w:color w:val="auto"/>
                      <w:kern w:val="0"/>
                      <w:szCs w:val="21"/>
                      <w:u w:val="single"/>
                    </w:rPr>
                    <w:t>安全管理</w:t>
                  </w:r>
                </w:p>
              </w:tc>
            </w:tr>
            <w:tr w14:paraId="7B04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131E941C">
                  <w:pPr>
                    <w:widowControl/>
                    <w:adjustRightInd w:val="0"/>
                    <w:snapToGrid w:val="0"/>
                    <w:textAlignment w:val="center"/>
                    <w:rPr>
                      <w:color w:val="auto"/>
                      <w:kern w:val="0"/>
                      <w:szCs w:val="21"/>
                      <w:u w:val="single"/>
                    </w:rPr>
                  </w:pPr>
                  <w:r>
                    <w:rPr>
                      <w:rFonts w:hint="eastAsia"/>
                      <w:color w:val="auto"/>
                      <w:kern w:val="0"/>
                      <w:szCs w:val="21"/>
                      <w:u w:val="single"/>
                    </w:rPr>
                    <w:t>11.1.1</w:t>
                  </w:r>
                </w:p>
              </w:tc>
              <w:tc>
                <w:tcPr>
                  <w:tcW w:w="3324" w:type="dxa"/>
                  <w:vAlign w:val="center"/>
                </w:tcPr>
                <w:p w14:paraId="5D36EBE8">
                  <w:pPr>
                    <w:widowControl/>
                    <w:adjustRightInd w:val="0"/>
                    <w:snapToGrid w:val="0"/>
                    <w:textAlignment w:val="center"/>
                    <w:rPr>
                      <w:color w:val="auto"/>
                      <w:kern w:val="0"/>
                      <w:szCs w:val="21"/>
                      <w:u w:val="single"/>
                    </w:rPr>
                  </w:pPr>
                  <w:r>
                    <w:rPr>
                      <w:rFonts w:hint="eastAsia"/>
                      <w:color w:val="auto"/>
                      <w:kern w:val="0"/>
                      <w:szCs w:val="21"/>
                      <w:u w:val="single"/>
                    </w:rPr>
                    <w:t>应建立设施、设备、器具检查和维护制度以及仓储日常操作，控制指标等运行制度。</w:t>
                  </w:r>
                </w:p>
              </w:tc>
              <w:tc>
                <w:tcPr>
                  <w:tcW w:w="2725" w:type="dxa"/>
                  <w:vAlign w:val="center"/>
                </w:tcPr>
                <w:p w14:paraId="193ED580">
                  <w:pPr>
                    <w:widowControl/>
                    <w:adjustRightInd w:val="0"/>
                    <w:snapToGrid w:val="0"/>
                    <w:textAlignment w:val="center"/>
                    <w:rPr>
                      <w:color w:val="auto"/>
                      <w:kern w:val="0"/>
                      <w:szCs w:val="21"/>
                      <w:u w:val="single"/>
                    </w:rPr>
                  </w:pPr>
                  <w:r>
                    <w:rPr>
                      <w:rFonts w:hint="eastAsia"/>
                      <w:color w:val="auto"/>
                      <w:kern w:val="0"/>
                      <w:szCs w:val="21"/>
                      <w:u w:val="single"/>
                    </w:rPr>
                    <w:t>符合，项目将建立设施、设备、器具检查和维护制度以及仓储日常操作，控制指标等运行制度。</w:t>
                  </w:r>
                </w:p>
              </w:tc>
            </w:tr>
            <w:tr w14:paraId="2644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1AACB292">
                  <w:pPr>
                    <w:widowControl/>
                    <w:adjustRightInd w:val="0"/>
                    <w:snapToGrid w:val="0"/>
                    <w:textAlignment w:val="center"/>
                    <w:rPr>
                      <w:color w:val="auto"/>
                      <w:kern w:val="0"/>
                      <w:szCs w:val="21"/>
                      <w:u w:val="single"/>
                    </w:rPr>
                  </w:pPr>
                  <w:r>
                    <w:rPr>
                      <w:rFonts w:hint="eastAsia"/>
                      <w:color w:val="auto"/>
                      <w:kern w:val="0"/>
                      <w:szCs w:val="21"/>
                      <w:u w:val="single"/>
                    </w:rPr>
                    <w:t>11.1.2</w:t>
                  </w:r>
                </w:p>
              </w:tc>
              <w:tc>
                <w:tcPr>
                  <w:tcW w:w="3324" w:type="dxa"/>
                  <w:vAlign w:val="center"/>
                </w:tcPr>
                <w:p w14:paraId="53C9D17D">
                  <w:pPr>
                    <w:widowControl/>
                    <w:adjustRightInd w:val="0"/>
                    <w:snapToGrid w:val="0"/>
                    <w:textAlignment w:val="center"/>
                    <w:rPr>
                      <w:color w:val="auto"/>
                      <w:kern w:val="0"/>
                      <w:szCs w:val="21"/>
                      <w:u w:val="single"/>
                    </w:rPr>
                  </w:pPr>
                  <w:r>
                    <w:rPr>
                      <w:rFonts w:hint="eastAsia"/>
                      <w:color w:val="auto"/>
                      <w:kern w:val="0"/>
                      <w:szCs w:val="21"/>
                      <w:u w:val="single"/>
                    </w:rPr>
                    <w:t>应与社区及周边企事业单位建立应急联动机制。</w:t>
                  </w:r>
                </w:p>
              </w:tc>
              <w:tc>
                <w:tcPr>
                  <w:tcW w:w="2725" w:type="dxa"/>
                  <w:vAlign w:val="center"/>
                </w:tcPr>
                <w:p w14:paraId="2466C441">
                  <w:pPr>
                    <w:widowControl/>
                    <w:adjustRightInd w:val="0"/>
                    <w:snapToGrid w:val="0"/>
                    <w:textAlignment w:val="center"/>
                    <w:rPr>
                      <w:color w:val="auto"/>
                      <w:kern w:val="0"/>
                      <w:szCs w:val="21"/>
                      <w:u w:val="single"/>
                    </w:rPr>
                  </w:pPr>
                  <w:r>
                    <w:rPr>
                      <w:rFonts w:hint="eastAsia"/>
                      <w:color w:val="auto"/>
                      <w:kern w:val="0"/>
                      <w:szCs w:val="21"/>
                      <w:u w:val="single"/>
                    </w:rPr>
                    <w:t>符合，项目建设完成后将编制突发环境应急预案，并与周边企事业单位、园区相连接，建立应急联动机制。</w:t>
                  </w:r>
                </w:p>
              </w:tc>
            </w:tr>
            <w:tr w14:paraId="3CB0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1C9F00E2">
                  <w:pPr>
                    <w:widowControl/>
                    <w:adjustRightInd w:val="0"/>
                    <w:snapToGrid w:val="0"/>
                    <w:textAlignment w:val="center"/>
                    <w:rPr>
                      <w:color w:val="auto"/>
                      <w:kern w:val="0"/>
                      <w:szCs w:val="21"/>
                      <w:u w:val="single"/>
                    </w:rPr>
                  </w:pPr>
                  <w:r>
                    <w:rPr>
                      <w:rFonts w:hint="eastAsia"/>
                      <w:color w:val="auto"/>
                      <w:kern w:val="0"/>
                      <w:szCs w:val="21"/>
                      <w:u w:val="single"/>
                    </w:rPr>
                    <w:t>11.1.3</w:t>
                  </w:r>
                </w:p>
              </w:tc>
              <w:tc>
                <w:tcPr>
                  <w:tcW w:w="3324" w:type="dxa"/>
                  <w:vAlign w:val="center"/>
                </w:tcPr>
                <w:p w14:paraId="48416408">
                  <w:pPr>
                    <w:widowControl/>
                    <w:adjustRightInd w:val="0"/>
                    <w:snapToGrid w:val="0"/>
                    <w:textAlignment w:val="center"/>
                    <w:rPr>
                      <w:color w:val="auto"/>
                      <w:kern w:val="0"/>
                      <w:szCs w:val="21"/>
                      <w:u w:val="single"/>
                    </w:rPr>
                  </w:pPr>
                  <w:r>
                    <w:rPr>
                      <w:rFonts w:hint="eastAsia"/>
                      <w:color w:val="auto"/>
                      <w:kern w:val="0"/>
                      <w:szCs w:val="21"/>
                      <w:u w:val="single"/>
                    </w:rPr>
                    <w:t>应建立风险评估制度，并定期进行风险评估。</w:t>
                  </w:r>
                </w:p>
              </w:tc>
              <w:tc>
                <w:tcPr>
                  <w:tcW w:w="2725" w:type="dxa"/>
                  <w:vAlign w:val="center"/>
                </w:tcPr>
                <w:p w14:paraId="22EBFA33">
                  <w:pPr>
                    <w:widowControl/>
                    <w:adjustRightInd w:val="0"/>
                    <w:snapToGrid w:val="0"/>
                    <w:textAlignment w:val="center"/>
                    <w:rPr>
                      <w:color w:val="auto"/>
                      <w:kern w:val="0"/>
                      <w:szCs w:val="21"/>
                      <w:u w:val="single"/>
                    </w:rPr>
                  </w:pPr>
                  <w:r>
                    <w:rPr>
                      <w:rFonts w:hint="eastAsia"/>
                      <w:color w:val="auto"/>
                      <w:kern w:val="0"/>
                      <w:szCs w:val="21"/>
                      <w:u w:val="single"/>
                    </w:rPr>
                    <w:t>符合，项目将建立风险评估制度，并定期进行风险评估。</w:t>
                  </w:r>
                </w:p>
              </w:tc>
            </w:tr>
            <w:tr w14:paraId="4338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03CD624A">
                  <w:pPr>
                    <w:widowControl/>
                    <w:adjustRightInd w:val="0"/>
                    <w:snapToGrid w:val="0"/>
                    <w:textAlignment w:val="center"/>
                    <w:rPr>
                      <w:color w:val="auto"/>
                      <w:kern w:val="0"/>
                      <w:szCs w:val="21"/>
                      <w:u w:val="single"/>
                    </w:rPr>
                  </w:pPr>
                  <w:r>
                    <w:rPr>
                      <w:rFonts w:hint="eastAsia"/>
                      <w:color w:val="auto"/>
                      <w:kern w:val="0"/>
                      <w:szCs w:val="21"/>
                      <w:u w:val="single"/>
                    </w:rPr>
                    <w:t>11.1.4</w:t>
                  </w:r>
                </w:p>
              </w:tc>
              <w:tc>
                <w:tcPr>
                  <w:tcW w:w="3324" w:type="dxa"/>
                  <w:vAlign w:val="center"/>
                </w:tcPr>
                <w:p w14:paraId="10FF2254">
                  <w:pPr>
                    <w:widowControl/>
                    <w:adjustRightInd w:val="0"/>
                    <w:snapToGrid w:val="0"/>
                    <w:textAlignment w:val="center"/>
                    <w:rPr>
                      <w:color w:val="auto"/>
                      <w:kern w:val="0"/>
                      <w:szCs w:val="21"/>
                      <w:u w:val="single"/>
                    </w:rPr>
                  </w:pPr>
                  <w:r>
                    <w:rPr>
                      <w:rFonts w:hint="eastAsia"/>
                      <w:color w:val="auto"/>
                      <w:kern w:val="0"/>
                      <w:szCs w:val="21"/>
                      <w:u w:val="single"/>
                    </w:rPr>
                    <w:t>应建立覆盖全员的应急响应程序，编制危险化学品事故应急预案，至少每半年进行一次演练。</w:t>
                  </w:r>
                </w:p>
              </w:tc>
              <w:tc>
                <w:tcPr>
                  <w:tcW w:w="2725" w:type="dxa"/>
                  <w:vAlign w:val="center"/>
                </w:tcPr>
                <w:p w14:paraId="35734A22">
                  <w:pPr>
                    <w:widowControl/>
                    <w:adjustRightInd w:val="0"/>
                    <w:snapToGrid w:val="0"/>
                    <w:textAlignment w:val="center"/>
                    <w:rPr>
                      <w:color w:val="auto"/>
                      <w:kern w:val="0"/>
                      <w:szCs w:val="21"/>
                      <w:u w:val="single"/>
                    </w:rPr>
                  </w:pPr>
                  <w:r>
                    <w:rPr>
                      <w:rFonts w:hint="eastAsia"/>
                      <w:color w:val="auto"/>
                      <w:kern w:val="0"/>
                      <w:szCs w:val="21"/>
                      <w:u w:val="single"/>
                    </w:rPr>
                    <w:t>符合，项目将建立覆盖全员的应急响应程序，编制危险化学品事故应急预案，至少每半年进行一次演练。</w:t>
                  </w:r>
                </w:p>
              </w:tc>
            </w:tr>
            <w:tr w14:paraId="76C0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2284AB83">
                  <w:pPr>
                    <w:widowControl/>
                    <w:adjustRightInd w:val="0"/>
                    <w:snapToGrid w:val="0"/>
                    <w:textAlignment w:val="center"/>
                    <w:rPr>
                      <w:color w:val="auto"/>
                      <w:kern w:val="0"/>
                      <w:szCs w:val="21"/>
                      <w:u w:val="single"/>
                    </w:rPr>
                  </w:pPr>
                  <w:r>
                    <w:rPr>
                      <w:rFonts w:hint="eastAsia"/>
                      <w:color w:val="auto"/>
                      <w:kern w:val="0"/>
                      <w:szCs w:val="21"/>
                      <w:u w:val="single"/>
                    </w:rPr>
                    <w:t>11.2.1</w:t>
                  </w:r>
                </w:p>
              </w:tc>
              <w:tc>
                <w:tcPr>
                  <w:tcW w:w="3324" w:type="dxa"/>
                  <w:vAlign w:val="center"/>
                </w:tcPr>
                <w:p w14:paraId="43A4DFA1">
                  <w:pPr>
                    <w:widowControl/>
                    <w:adjustRightInd w:val="0"/>
                    <w:snapToGrid w:val="0"/>
                    <w:textAlignment w:val="center"/>
                    <w:rPr>
                      <w:color w:val="auto"/>
                      <w:kern w:val="0"/>
                      <w:szCs w:val="21"/>
                      <w:u w:val="single"/>
                    </w:rPr>
                  </w:pPr>
                  <w:r>
                    <w:rPr>
                      <w:rFonts w:hint="eastAsia"/>
                      <w:color w:val="auto"/>
                      <w:kern w:val="0"/>
                      <w:szCs w:val="21"/>
                      <w:u w:val="single"/>
                    </w:rPr>
                    <w:t>储存危险化学品的仓库和作业场所应设置明显的安全标志，并符合GB 2894、AQ3047的规定。</w:t>
                  </w:r>
                </w:p>
              </w:tc>
              <w:tc>
                <w:tcPr>
                  <w:tcW w:w="2725" w:type="dxa"/>
                  <w:vAlign w:val="center"/>
                </w:tcPr>
                <w:p w14:paraId="5D0B093F">
                  <w:pPr>
                    <w:widowControl/>
                    <w:adjustRightInd w:val="0"/>
                    <w:snapToGrid w:val="0"/>
                    <w:textAlignment w:val="center"/>
                    <w:rPr>
                      <w:color w:val="auto"/>
                      <w:kern w:val="0"/>
                      <w:szCs w:val="21"/>
                      <w:u w:val="single"/>
                    </w:rPr>
                  </w:pPr>
                  <w:r>
                    <w:rPr>
                      <w:rFonts w:hint="eastAsia"/>
                      <w:color w:val="auto"/>
                      <w:kern w:val="0"/>
                      <w:szCs w:val="21"/>
                      <w:u w:val="single"/>
                    </w:rPr>
                    <w:t>符合，储存危险化学品的仓库和作业场所设置明显的安全标志，并符合GB 2894、AQ3047的规定。</w:t>
                  </w:r>
                </w:p>
              </w:tc>
            </w:tr>
            <w:tr w14:paraId="36EC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6D413F19">
                  <w:pPr>
                    <w:widowControl/>
                    <w:adjustRightInd w:val="0"/>
                    <w:snapToGrid w:val="0"/>
                    <w:textAlignment w:val="center"/>
                    <w:rPr>
                      <w:color w:val="auto"/>
                      <w:kern w:val="0"/>
                      <w:szCs w:val="21"/>
                      <w:u w:val="single"/>
                    </w:rPr>
                  </w:pPr>
                  <w:r>
                    <w:rPr>
                      <w:rFonts w:hint="eastAsia"/>
                      <w:color w:val="auto"/>
                      <w:kern w:val="0"/>
                      <w:szCs w:val="21"/>
                      <w:u w:val="single"/>
                    </w:rPr>
                    <w:t>11.2.2</w:t>
                  </w:r>
                </w:p>
              </w:tc>
              <w:tc>
                <w:tcPr>
                  <w:tcW w:w="3324" w:type="dxa"/>
                  <w:vAlign w:val="center"/>
                </w:tcPr>
                <w:p w14:paraId="1A81FBE9">
                  <w:pPr>
                    <w:widowControl/>
                    <w:adjustRightInd w:val="0"/>
                    <w:snapToGrid w:val="0"/>
                    <w:textAlignment w:val="center"/>
                    <w:rPr>
                      <w:color w:val="auto"/>
                      <w:kern w:val="0"/>
                      <w:szCs w:val="21"/>
                      <w:u w:val="single"/>
                    </w:rPr>
                  </w:pPr>
                  <w:r>
                    <w:rPr>
                      <w:rFonts w:hint="eastAsia"/>
                      <w:color w:val="auto"/>
                      <w:kern w:val="0"/>
                      <w:szCs w:val="21"/>
                      <w:u w:val="single"/>
                    </w:rPr>
                    <w:t>库区内严禁吸烟和使用明火。</w:t>
                  </w:r>
                </w:p>
              </w:tc>
              <w:tc>
                <w:tcPr>
                  <w:tcW w:w="2725" w:type="dxa"/>
                  <w:vAlign w:val="center"/>
                </w:tcPr>
                <w:p w14:paraId="6CEC3B2E">
                  <w:pPr>
                    <w:widowControl/>
                    <w:adjustRightInd w:val="0"/>
                    <w:snapToGrid w:val="0"/>
                    <w:textAlignment w:val="center"/>
                    <w:rPr>
                      <w:color w:val="auto"/>
                      <w:kern w:val="0"/>
                      <w:szCs w:val="21"/>
                      <w:u w:val="single"/>
                    </w:rPr>
                  </w:pPr>
                  <w:r>
                    <w:rPr>
                      <w:rFonts w:hint="eastAsia"/>
                      <w:color w:val="auto"/>
                      <w:kern w:val="0"/>
                      <w:szCs w:val="21"/>
                      <w:u w:val="single"/>
                    </w:rPr>
                    <w:t>符合，库区内严禁吸烟和使用明火。</w:t>
                  </w:r>
                </w:p>
              </w:tc>
            </w:tr>
            <w:tr w14:paraId="680A8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334BE94D">
                  <w:pPr>
                    <w:widowControl/>
                    <w:adjustRightInd w:val="0"/>
                    <w:snapToGrid w:val="0"/>
                    <w:textAlignment w:val="center"/>
                    <w:rPr>
                      <w:color w:val="auto"/>
                      <w:kern w:val="0"/>
                      <w:szCs w:val="21"/>
                      <w:u w:val="single"/>
                    </w:rPr>
                  </w:pPr>
                  <w:r>
                    <w:rPr>
                      <w:rFonts w:hint="eastAsia"/>
                      <w:color w:val="auto"/>
                      <w:kern w:val="0"/>
                      <w:szCs w:val="21"/>
                      <w:u w:val="single"/>
                    </w:rPr>
                    <w:t>11.2.3</w:t>
                  </w:r>
                </w:p>
              </w:tc>
              <w:tc>
                <w:tcPr>
                  <w:tcW w:w="3324" w:type="dxa"/>
                  <w:vAlign w:val="center"/>
                </w:tcPr>
                <w:p w14:paraId="77015541">
                  <w:pPr>
                    <w:widowControl/>
                    <w:adjustRightInd w:val="0"/>
                    <w:snapToGrid w:val="0"/>
                    <w:textAlignment w:val="center"/>
                    <w:rPr>
                      <w:color w:val="auto"/>
                      <w:kern w:val="0"/>
                      <w:szCs w:val="21"/>
                      <w:u w:val="single"/>
                    </w:rPr>
                  </w:pPr>
                  <w:r>
                    <w:rPr>
                      <w:rFonts w:hint="eastAsia"/>
                      <w:color w:val="auto"/>
                      <w:kern w:val="0"/>
                      <w:szCs w:val="21"/>
                      <w:u w:val="single"/>
                    </w:rPr>
                    <w:t>应对进入库区的人员进行登记及安全告知。</w:t>
                  </w:r>
                </w:p>
              </w:tc>
              <w:tc>
                <w:tcPr>
                  <w:tcW w:w="2725" w:type="dxa"/>
                  <w:vAlign w:val="center"/>
                </w:tcPr>
                <w:p w14:paraId="6830050C">
                  <w:pPr>
                    <w:widowControl/>
                    <w:adjustRightInd w:val="0"/>
                    <w:snapToGrid w:val="0"/>
                    <w:textAlignment w:val="center"/>
                    <w:rPr>
                      <w:color w:val="auto"/>
                      <w:kern w:val="0"/>
                      <w:szCs w:val="21"/>
                      <w:u w:val="single"/>
                    </w:rPr>
                  </w:pPr>
                  <w:r>
                    <w:rPr>
                      <w:rFonts w:hint="eastAsia"/>
                      <w:color w:val="auto"/>
                      <w:kern w:val="0"/>
                      <w:szCs w:val="21"/>
                      <w:u w:val="single"/>
                    </w:rPr>
                    <w:t>符合，对进入库区的人员进行登记及安全告知。</w:t>
                  </w:r>
                </w:p>
              </w:tc>
            </w:tr>
            <w:tr w14:paraId="2B6D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0508A3FD">
                  <w:pPr>
                    <w:widowControl/>
                    <w:adjustRightInd w:val="0"/>
                    <w:snapToGrid w:val="0"/>
                    <w:textAlignment w:val="center"/>
                    <w:rPr>
                      <w:color w:val="auto"/>
                      <w:kern w:val="0"/>
                      <w:szCs w:val="21"/>
                      <w:u w:val="single"/>
                    </w:rPr>
                  </w:pPr>
                  <w:r>
                    <w:rPr>
                      <w:rFonts w:hint="eastAsia"/>
                      <w:color w:val="auto"/>
                      <w:kern w:val="0"/>
                      <w:szCs w:val="21"/>
                      <w:u w:val="single"/>
                    </w:rPr>
                    <w:t>11.2.4</w:t>
                  </w:r>
                </w:p>
              </w:tc>
              <w:tc>
                <w:tcPr>
                  <w:tcW w:w="3324" w:type="dxa"/>
                  <w:vAlign w:val="center"/>
                </w:tcPr>
                <w:p w14:paraId="741C9C8C">
                  <w:pPr>
                    <w:widowControl/>
                    <w:adjustRightInd w:val="0"/>
                    <w:snapToGrid w:val="0"/>
                    <w:textAlignment w:val="center"/>
                    <w:rPr>
                      <w:color w:val="auto"/>
                      <w:kern w:val="0"/>
                      <w:szCs w:val="21"/>
                      <w:u w:val="single"/>
                    </w:rPr>
                  </w:pPr>
                  <w:r>
                    <w:rPr>
                      <w:rFonts w:hint="eastAsia"/>
                      <w:color w:val="auto"/>
                      <w:kern w:val="0"/>
                      <w:szCs w:val="21"/>
                      <w:u w:val="single"/>
                    </w:rPr>
                    <w:t>应对进入库区的车辆登记管理，并采取防火措施。</w:t>
                  </w:r>
                </w:p>
              </w:tc>
              <w:tc>
                <w:tcPr>
                  <w:tcW w:w="2725" w:type="dxa"/>
                  <w:vAlign w:val="center"/>
                </w:tcPr>
                <w:p w14:paraId="0A4D6933">
                  <w:pPr>
                    <w:widowControl/>
                    <w:adjustRightInd w:val="0"/>
                    <w:snapToGrid w:val="0"/>
                    <w:textAlignment w:val="center"/>
                    <w:rPr>
                      <w:color w:val="auto"/>
                      <w:kern w:val="0"/>
                      <w:szCs w:val="21"/>
                      <w:u w:val="single"/>
                    </w:rPr>
                  </w:pPr>
                  <w:r>
                    <w:rPr>
                      <w:rFonts w:hint="eastAsia"/>
                      <w:color w:val="auto"/>
                      <w:kern w:val="0"/>
                      <w:szCs w:val="21"/>
                      <w:u w:val="single"/>
                    </w:rPr>
                    <w:t>符合，对进入库区的车辆登记管理，并采取防火措施。</w:t>
                  </w:r>
                </w:p>
              </w:tc>
            </w:tr>
            <w:tr w14:paraId="381A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35CFAC3C">
                  <w:pPr>
                    <w:widowControl/>
                    <w:adjustRightInd w:val="0"/>
                    <w:snapToGrid w:val="0"/>
                    <w:textAlignment w:val="center"/>
                    <w:rPr>
                      <w:color w:val="auto"/>
                      <w:kern w:val="0"/>
                      <w:szCs w:val="21"/>
                      <w:u w:val="single"/>
                    </w:rPr>
                  </w:pPr>
                  <w:r>
                    <w:rPr>
                      <w:rFonts w:hint="eastAsia"/>
                      <w:color w:val="auto"/>
                      <w:kern w:val="0"/>
                      <w:szCs w:val="21"/>
                      <w:u w:val="single"/>
                    </w:rPr>
                    <w:t>11.2.5</w:t>
                  </w:r>
                </w:p>
              </w:tc>
              <w:tc>
                <w:tcPr>
                  <w:tcW w:w="3324" w:type="dxa"/>
                  <w:vAlign w:val="center"/>
                </w:tcPr>
                <w:p w14:paraId="08AD5E87">
                  <w:pPr>
                    <w:widowControl/>
                    <w:adjustRightInd w:val="0"/>
                    <w:snapToGrid w:val="0"/>
                    <w:textAlignment w:val="center"/>
                    <w:rPr>
                      <w:color w:val="auto"/>
                      <w:kern w:val="0"/>
                      <w:szCs w:val="21"/>
                      <w:u w:val="single"/>
                    </w:rPr>
                  </w:pPr>
                  <w:r>
                    <w:rPr>
                      <w:rFonts w:hint="eastAsia"/>
                      <w:color w:val="auto"/>
                      <w:kern w:val="0"/>
                      <w:szCs w:val="21"/>
                      <w:u w:val="single"/>
                    </w:rPr>
                    <w:t>危险化学品仓库的应急救援物资配备，应符合GB30077的要求。</w:t>
                  </w:r>
                </w:p>
              </w:tc>
              <w:tc>
                <w:tcPr>
                  <w:tcW w:w="2725" w:type="dxa"/>
                  <w:vAlign w:val="center"/>
                </w:tcPr>
                <w:p w14:paraId="170BFC07">
                  <w:pPr>
                    <w:widowControl/>
                    <w:adjustRightInd w:val="0"/>
                    <w:snapToGrid w:val="0"/>
                    <w:textAlignment w:val="center"/>
                    <w:rPr>
                      <w:color w:val="auto"/>
                      <w:kern w:val="0"/>
                      <w:szCs w:val="21"/>
                      <w:u w:val="single"/>
                    </w:rPr>
                  </w:pPr>
                  <w:r>
                    <w:rPr>
                      <w:rFonts w:hint="eastAsia"/>
                      <w:color w:val="auto"/>
                      <w:kern w:val="0"/>
                      <w:szCs w:val="21"/>
                      <w:u w:val="single"/>
                    </w:rPr>
                    <w:t>符合，项目危险化学品储存场所将根据GB30077的要求配备应急救援物资。</w:t>
                  </w:r>
                </w:p>
              </w:tc>
            </w:tr>
            <w:tr w14:paraId="5442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0571393B">
                  <w:pPr>
                    <w:widowControl/>
                    <w:adjustRightInd w:val="0"/>
                    <w:snapToGrid w:val="0"/>
                    <w:textAlignment w:val="center"/>
                    <w:rPr>
                      <w:color w:val="auto"/>
                      <w:kern w:val="0"/>
                      <w:szCs w:val="21"/>
                      <w:u w:val="single"/>
                    </w:rPr>
                  </w:pPr>
                  <w:r>
                    <w:rPr>
                      <w:rFonts w:hint="eastAsia"/>
                      <w:color w:val="auto"/>
                      <w:kern w:val="0"/>
                      <w:szCs w:val="21"/>
                      <w:u w:val="single"/>
                    </w:rPr>
                    <w:t>11.3.1</w:t>
                  </w:r>
                </w:p>
              </w:tc>
              <w:tc>
                <w:tcPr>
                  <w:tcW w:w="3324" w:type="dxa"/>
                  <w:vAlign w:val="center"/>
                </w:tcPr>
                <w:p w14:paraId="4838B953">
                  <w:pPr>
                    <w:widowControl/>
                    <w:adjustRightInd w:val="0"/>
                    <w:snapToGrid w:val="0"/>
                    <w:textAlignment w:val="center"/>
                    <w:rPr>
                      <w:color w:val="auto"/>
                      <w:kern w:val="0"/>
                      <w:szCs w:val="21"/>
                      <w:u w:val="single"/>
                    </w:rPr>
                  </w:pPr>
                  <w:r>
                    <w:rPr>
                      <w:rFonts w:hint="eastAsia"/>
                      <w:color w:val="auto"/>
                      <w:kern w:val="0"/>
                      <w:szCs w:val="21"/>
                      <w:u w:val="single"/>
                    </w:rPr>
                    <w:t>危险化学品储存作业前，应先对仓库通风。</w:t>
                  </w:r>
                </w:p>
              </w:tc>
              <w:tc>
                <w:tcPr>
                  <w:tcW w:w="2725" w:type="dxa"/>
                  <w:vAlign w:val="center"/>
                </w:tcPr>
                <w:p w14:paraId="0BC818B8">
                  <w:pPr>
                    <w:widowControl/>
                    <w:adjustRightInd w:val="0"/>
                    <w:snapToGrid w:val="0"/>
                    <w:textAlignment w:val="center"/>
                    <w:rPr>
                      <w:color w:val="auto"/>
                      <w:kern w:val="0"/>
                      <w:szCs w:val="21"/>
                      <w:u w:val="single"/>
                    </w:rPr>
                  </w:pPr>
                  <w:r>
                    <w:rPr>
                      <w:rFonts w:hint="eastAsia"/>
                      <w:color w:val="auto"/>
                      <w:kern w:val="0"/>
                      <w:szCs w:val="21"/>
                      <w:u w:val="single"/>
                    </w:rPr>
                    <w:t>符合，危险化学品储存作业前，先对仓库通风。</w:t>
                  </w:r>
                </w:p>
              </w:tc>
            </w:tr>
            <w:tr w14:paraId="6ABE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52309285">
                  <w:pPr>
                    <w:widowControl/>
                    <w:adjustRightInd w:val="0"/>
                    <w:snapToGrid w:val="0"/>
                    <w:textAlignment w:val="center"/>
                    <w:rPr>
                      <w:color w:val="auto"/>
                      <w:kern w:val="0"/>
                      <w:szCs w:val="21"/>
                      <w:u w:val="single"/>
                    </w:rPr>
                  </w:pPr>
                  <w:r>
                    <w:rPr>
                      <w:rFonts w:hint="eastAsia"/>
                      <w:color w:val="auto"/>
                      <w:kern w:val="0"/>
                      <w:szCs w:val="21"/>
                      <w:u w:val="single"/>
                    </w:rPr>
                    <w:t>11.3.2</w:t>
                  </w:r>
                </w:p>
              </w:tc>
              <w:tc>
                <w:tcPr>
                  <w:tcW w:w="3324" w:type="dxa"/>
                  <w:vAlign w:val="center"/>
                </w:tcPr>
                <w:p w14:paraId="2128D9E8">
                  <w:pPr>
                    <w:widowControl/>
                    <w:adjustRightInd w:val="0"/>
                    <w:snapToGrid w:val="0"/>
                    <w:textAlignment w:val="center"/>
                    <w:rPr>
                      <w:color w:val="auto"/>
                      <w:kern w:val="0"/>
                      <w:szCs w:val="21"/>
                      <w:u w:val="single"/>
                    </w:rPr>
                  </w:pPr>
                  <w:r>
                    <w:rPr>
                      <w:rFonts w:hint="eastAsia"/>
                      <w:color w:val="auto"/>
                      <w:kern w:val="0"/>
                      <w:szCs w:val="21"/>
                      <w:u w:val="single"/>
                    </w:rPr>
                    <w:t>进入储存爆炸物及其他对静电、火花敏感的危险化学品仓库时，应穿防静电工作服，不应穿钉鞋，应在进入仓库前消除人体静电；应使用具备防爆功能的通信工具，不应使用易产生静电和火花的作业机具。</w:t>
                  </w:r>
                </w:p>
              </w:tc>
              <w:tc>
                <w:tcPr>
                  <w:tcW w:w="2725" w:type="dxa"/>
                  <w:vAlign w:val="center"/>
                </w:tcPr>
                <w:p w14:paraId="04C0012D">
                  <w:pPr>
                    <w:widowControl/>
                    <w:adjustRightInd w:val="0"/>
                    <w:snapToGrid w:val="0"/>
                    <w:textAlignment w:val="center"/>
                    <w:rPr>
                      <w:color w:val="auto"/>
                      <w:kern w:val="0"/>
                      <w:szCs w:val="21"/>
                      <w:u w:val="single"/>
                    </w:rPr>
                  </w:pPr>
                  <w:r>
                    <w:rPr>
                      <w:rFonts w:hint="eastAsia"/>
                      <w:color w:val="auto"/>
                      <w:kern w:val="0"/>
                      <w:szCs w:val="21"/>
                      <w:u w:val="single"/>
                    </w:rPr>
                    <w:t>符合，项目不储存爆炸物及其他对静电、火花敏感的危险化学品。</w:t>
                  </w:r>
                </w:p>
              </w:tc>
            </w:tr>
            <w:tr w14:paraId="0D83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289D7150">
                  <w:pPr>
                    <w:widowControl/>
                    <w:adjustRightInd w:val="0"/>
                    <w:snapToGrid w:val="0"/>
                    <w:textAlignment w:val="center"/>
                    <w:rPr>
                      <w:color w:val="auto"/>
                      <w:kern w:val="0"/>
                      <w:szCs w:val="21"/>
                      <w:u w:val="single"/>
                    </w:rPr>
                  </w:pPr>
                  <w:r>
                    <w:rPr>
                      <w:rFonts w:hint="eastAsia"/>
                      <w:color w:val="auto"/>
                      <w:kern w:val="0"/>
                      <w:szCs w:val="21"/>
                      <w:u w:val="single"/>
                    </w:rPr>
                    <w:t>11.3.3</w:t>
                  </w:r>
                </w:p>
              </w:tc>
              <w:tc>
                <w:tcPr>
                  <w:tcW w:w="3324" w:type="dxa"/>
                  <w:vAlign w:val="center"/>
                </w:tcPr>
                <w:p w14:paraId="35DD6FDE">
                  <w:pPr>
                    <w:widowControl/>
                    <w:adjustRightInd w:val="0"/>
                    <w:snapToGrid w:val="0"/>
                    <w:textAlignment w:val="center"/>
                    <w:rPr>
                      <w:color w:val="auto"/>
                      <w:kern w:val="0"/>
                      <w:szCs w:val="21"/>
                      <w:u w:val="single"/>
                    </w:rPr>
                  </w:pPr>
                  <w:r>
                    <w:rPr>
                      <w:rFonts w:hint="eastAsia"/>
                      <w:color w:val="auto"/>
                      <w:kern w:val="0"/>
                      <w:szCs w:val="21"/>
                      <w:u w:val="single"/>
                    </w:rPr>
                    <w:t>储存仓库内禁止进行开桶、分装、改装作业。</w:t>
                  </w:r>
                </w:p>
              </w:tc>
              <w:tc>
                <w:tcPr>
                  <w:tcW w:w="2725" w:type="dxa"/>
                  <w:vAlign w:val="center"/>
                </w:tcPr>
                <w:p w14:paraId="6DA8F778">
                  <w:pPr>
                    <w:widowControl/>
                    <w:adjustRightInd w:val="0"/>
                    <w:snapToGrid w:val="0"/>
                    <w:textAlignment w:val="center"/>
                    <w:rPr>
                      <w:color w:val="auto"/>
                      <w:kern w:val="0"/>
                      <w:szCs w:val="21"/>
                      <w:u w:val="single"/>
                    </w:rPr>
                  </w:pPr>
                  <w:r>
                    <w:rPr>
                      <w:rFonts w:hint="eastAsia"/>
                      <w:color w:val="auto"/>
                      <w:kern w:val="0"/>
                      <w:szCs w:val="21"/>
                      <w:u w:val="single"/>
                    </w:rPr>
                    <w:t>符合，项目不涉及储存物品的开桶、分装、改装作业。</w:t>
                  </w:r>
                </w:p>
              </w:tc>
            </w:tr>
            <w:tr w14:paraId="782D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0A88A891">
                  <w:pPr>
                    <w:widowControl/>
                    <w:adjustRightInd w:val="0"/>
                    <w:snapToGrid w:val="0"/>
                    <w:textAlignment w:val="center"/>
                    <w:rPr>
                      <w:color w:val="auto"/>
                      <w:kern w:val="0"/>
                      <w:szCs w:val="21"/>
                      <w:u w:val="single"/>
                    </w:rPr>
                  </w:pPr>
                  <w:r>
                    <w:rPr>
                      <w:rFonts w:hint="eastAsia"/>
                      <w:color w:val="auto"/>
                      <w:kern w:val="0"/>
                      <w:szCs w:val="21"/>
                      <w:u w:val="single"/>
                    </w:rPr>
                    <w:t>11.3.4</w:t>
                  </w:r>
                </w:p>
              </w:tc>
              <w:tc>
                <w:tcPr>
                  <w:tcW w:w="3324" w:type="dxa"/>
                  <w:vAlign w:val="center"/>
                </w:tcPr>
                <w:p w14:paraId="0AAD66A4">
                  <w:pPr>
                    <w:widowControl/>
                    <w:adjustRightInd w:val="0"/>
                    <w:snapToGrid w:val="0"/>
                    <w:textAlignment w:val="center"/>
                    <w:rPr>
                      <w:color w:val="auto"/>
                      <w:kern w:val="0"/>
                      <w:szCs w:val="21"/>
                      <w:u w:val="single"/>
                    </w:rPr>
                  </w:pPr>
                  <w:r>
                    <w:rPr>
                      <w:rFonts w:hint="eastAsia"/>
                      <w:color w:val="auto"/>
                      <w:kern w:val="0"/>
                      <w:szCs w:val="21"/>
                      <w:u w:val="single"/>
                    </w:rPr>
                    <w:t>不应在恶劣天气进行装卸作业。</w:t>
                  </w:r>
                </w:p>
              </w:tc>
              <w:tc>
                <w:tcPr>
                  <w:tcW w:w="2725" w:type="dxa"/>
                  <w:vAlign w:val="center"/>
                </w:tcPr>
                <w:p w14:paraId="4D219253">
                  <w:pPr>
                    <w:widowControl/>
                    <w:adjustRightInd w:val="0"/>
                    <w:snapToGrid w:val="0"/>
                    <w:textAlignment w:val="center"/>
                    <w:rPr>
                      <w:color w:val="auto"/>
                      <w:kern w:val="0"/>
                      <w:szCs w:val="21"/>
                      <w:u w:val="single"/>
                    </w:rPr>
                  </w:pPr>
                  <w:r>
                    <w:rPr>
                      <w:rFonts w:hint="eastAsia"/>
                      <w:color w:val="auto"/>
                      <w:kern w:val="0"/>
                      <w:szCs w:val="21"/>
                      <w:u w:val="single"/>
                    </w:rPr>
                    <w:t>符合，项目不在恶劣天气进行装卸作业。</w:t>
                  </w:r>
                </w:p>
              </w:tc>
            </w:tr>
            <w:tr w14:paraId="579E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3" w:type="dxa"/>
                  <w:gridSpan w:val="3"/>
                  <w:vAlign w:val="center"/>
                </w:tcPr>
                <w:p w14:paraId="63E7BABB">
                  <w:pPr>
                    <w:widowControl/>
                    <w:adjustRightInd w:val="0"/>
                    <w:snapToGrid w:val="0"/>
                    <w:jc w:val="center"/>
                    <w:textAlignment w:val="center"/>
                    <w:rPr>
                      <w:color w:val="auto"/>
                      <w:kern w:val="0"/>
                      <w:szCs w:val="21"/>
                      <w:u w:val="single"/>
                    </w:rPr>
                  </w:pPr>
                  <w:r>
                    <w:rPr>
                      <w:rFonts w:hint="eastAsia"/>
                      <w:color w:val="auto"/>
                      <w:kern w:val="0"/>
                      <w:szCs w:val="21"/>
                      <w:u w:val="single"/>
                    </w:rPr>
                    <w:t>人员培训</w:t>
                  </w:r>
                </w:p>
              </w:tc>
            </w:tr>
            <w:tr w14:paraId="68CC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7A41DFE1">
                  <w:pPr>
                    <w:widowControl/>
                    <w:adjustRightInd w:val="0"/>
                    <w:snapToGrid w:val="0"/>
                    <w:textAlignment w:val="center"/>
                    <w:rPr>
                      <w:color w:val="auto"/>
                      <w:kern w:val="0"/>
                      <w:szCs w:val="21"/>
                      <w:u w:val="single"/>
                    </w:rPr>
                  </w:pPr>
                  <w:r>
                    <w:rPr>
                      <w:rFonts w:hint="eastAsia"/>
                      <w:color w:val="auto"/>
                      <w:kern w:val="0"/>
                      <w:szCs w:val="21"/>
                      <w:u w:val="single"/>
                    </w:rPr>
                    <w:t>11.1</w:t>
                  </w:r>
                </w:p>
              </w:tc>
              <w:tc>
                <w:tcPr>
                  <w:tcW w:w="3324" w:type="dxa"/>
                  <w:vAlign w:val="center"/>
                </w:tcPr>
                <w:p w14:paraId="2DA17AB7">
                  <w:pPr>
                    <w:widowControl/>
                    <w:adjustRightInd w:val="0"/>
                    <w:snapToGrid w:val="0"/>
                    <w:textAlignment w:val="center"/>
                    <w:rPr>
                      <w:color w:val="auto"/>
                      <w:kern w:val="0"/>
                      <w:szCs w:val="21"/>
                      <w:u w:val="single"/>
                    </w:rPr>
                  </w:pPr>
                  <w:r>
                    <w:rPr>
                      <w:rFonts w:hint="eastAsia"/>
                      <w:color w:val="auto"/>
                      <w:kern w:val="0"/>
                      <w:szCs w:val="21"/>
                      <w:u w:val="single"/>
                    </w:rPr>
                    <w:t>应建立全员培训体系，对从业人员进行法规、标准、岗位技能、安全、个体防护、应急处置等培训，考核合格后上岗作业；对有资质要求的岗位，应配备依法取得相应资质的人员。</w:t>
                  </w:r>
                </w:p>
              </w:tc>
              <w:tc>
                <w:tcPr>
                  <w:tcW w:w="2725" w:type="dxa"/>
                  <w:vAlign w:val="center"/>
                </w:tcPr>
                <w:p w14:paraId="1BB8D851">
                  <w:pPr>
                    <w:widowControl/>
                    <w:adjustRightInd w:val="0"/>
                    <w:snapToGrid w:val="0"/>
                    <w:textAlignment w:val="center"/>
                    <w:rPr>
                      <w:color w:val="auto"/>
                      <w:kern w:val="0"/>
                      <w:szCs w:val="21"/>
                      <w:u w:val="single"/>
                    </w:rPr>
                  </w:pPr>
                  <w:r>
                    <w:rPr>
                      <w:rFonts w:hint="eastAsia"/>
                      <w:color w:val="auto"/>
                      <w:kern w:val="0"/>
                      <w:szCs w:val="21"/>
                      <w:u w:val="single"/>
                    </w:rPr>
                    <w:t>符合，建立全员培训体系，工作人员持证上岗。</w:t>
                  </w:r>
                </w:p>
              </w:tc>
            </w:tr>
            <w:tr w14:paraId="29B7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4AB124A3">
                  <w:pPr>
                    <w:widowControl/>
                    <w:adjustRightInd w:val="0"/>
                    <w:snapToGrid w:val="0"/>
                    <w:textAlignment w:val="center"/>
                    <w:rPr>
                      <w:color w:val="auto"/>
                      <w:kern w:val="0"/>
                      <w:szCs w:val="21"/>
                      <w:u w:val="single"/>
                    </w:rPr>
                  </w:pPr>
                  <w:r>
                    <w:rPr>
                      <w:rFonts w:hint="eastAsia"/>
                      <w:color w:val="auto"/>
                      <w:kern w:val="0"/>
                      <w:szCs w:val="21"/>
                      <w:u w:val="single"/>
                    </w:rPr>
                    <w:t>11.2</w:t>
                  </w:r>
                </w:p>
              </w:tc>
              <w:tc>
                <w:tcPr>
                  <w:tcW w:w="3324" w:type="dxa"/>
                  <w:vAlign w:val="center"/>
                </w:tcPr>
                <w:p w14:paraId="469231BD">
                  <w:pPr>
                    <w:widowControl/>
                    <w:adjustRightInd w:val="0"/>
                    <w:snapToGrid w:val="0"/>
                    <w:textAlignment w:val="center"/>
                    <w:rPr>
                      <w:color w:val="auto"/>
                      <w:kern w:val="0"/>
                      <w:szCs w:val="21"/>
                      <w:u w:val="single"/>
                    </w:rPr>
                  </w:pPr>
                  <w:r>
                    <w:rPr>
                      <w:rFonts w:hint="eastAsia"/>
                      <w:color w:val="auto"/>
                      <w:kern w:val="0"/>
                      <w:szCs w:val="21"/>
                      <w:u w:val="single"/>
                    </w:rPr>
                    <w:t>危险化学品仓库管理人员应具备危险化学品储存管理范围相关的安全知识和管理能力。</w:t>
                  </w:r>
                </w:p>
              </w:tc>
              <w:tc>
                <w:tcPr>
                  <w:tcW w:w="2725" w:type="dxa"/>
                  <w:vAlign w:val="center"/>
                </w:tcPr>
                <w:p w14:paraId="2226622C">
                  <w:pPr>
                    <w:widowControl/>
                    <w:adjustRightInd w:val="0"/>
                    <w:snapToGrid w:val="0"/>
                    <w:textAlignment w:val="center"/>
                    <w:rPr>
                      <w:color w:val="auto"/>
                      <w:kern w:val="0"/>
                      <w:szCs w:val="21"/>
                      <w:u w:val="single"/>
                    </w:rPr>
                  </w:pPr>
                  <w:r>
                    <w:rPr>
                      <w:rFonts w:hint="eastAsia"/>
                      <w:color w:val="auto"/>
                      <w:kern w:val="0"/>
                      <w:szCs w:val="21"/>
                      <w:u w:val="single"/>
                    </w:rPr>
                    <w:t>符合，危险化学品仓库管理人员持证上岗，具备危险化学品储存管理范围相关的安全知识和管理能力。</w:t>
                  </w:r>
                </w:p>
              </w:tc>
            </w:tr>
            <w:tr w14:paraId="2100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4D50FDC7">
                  <w:pPr>
                    <w:widowControl/>
                    <w:adjustRightInd w:val="0"/>
                    <w:snapToGrid w:val="0"/>
                    <w:textAlignment w:val="center"/>
                    <w:rPr>
                      <w:color w:val="auto"/>
                      <w:kern w:val="0"/>
                      <w:szCs w:val="21"/>
                      <w:u w:val="single"/>
                    </w:rPr>
                  </w:pPr>
                  <w:r>
                    <w:rPr>
                      <w:rFonts w:hint="eastAsia"/>
                      <w:color w:val="auto"/>
                      <w:kern w:val="0"/>
                      <w:szCs w:val="21"/>
                      <w:u w:val="single"/>
                    </w:rPr>
                    <w:t>11.3</w:t>
                  </w:r>
                </w:p>
              </w:tc>
              <w:tc>
                <w:tcPr>
                  <w:tcW w:w="3324" w:type="dxa"/>
                  <w:vAlign w:val="center"/>
                </w:tcPr>
                <w:p w14:paraId="54C46E49">
                  <w:pPr>
                    <w:widowControl/>
                    <w:adjustRightInd w:val="0"/>
                    <w:snapToGrid w:val="0"/>
                    <w:textAlignment w:val="center"/>
                    <w:rPr>
                      <w:color w:val="auto"/>
                      <w:kern w:val="0"/>
                      <w:szCs w:val="21"/>
                      <w:u w:val="single"/>
                    </w:rPr>
                  </w:pPr>
                  <w:r>
                    <w:rPr>
                      <w:rFonts w:hint="eastAsia"/>
                      <w:color w:val="auto"/>
                      <w:kern w:val="0"/>
                      <w:szCs w:val="21"/>
                      <w:u w:val="single"/>
                    </w:rPr>
                    <w:t>危险化学品仓库从业人员应能理解化学品安全技术说明书的内容并掌握风险防范措施，掌握岗位操作技能。</w:t>
                  </w:r>
                </w:p>
              </w:tc>
              <w:tc>
                <w:tcPr>
                  <w:tcW w:w="2725" w:type="dxa"/>
                  <w:vAlign w:val="center"/>
                </w:tcPr>
                <w:p w14:paraId="65B6F9C9">
                  <w:pPr>
                    <w:widowControl/>
                    <w:adjustRightInd w:val="0"/>
                    <w:snapToGrid w:val="0"/>
                    <w:textAlignment w:val="center"/>
                    <w:rPr>
                      <w:color w:val="auto"/>
                      <w:kern w:val="0"/>
                      <w:szCs w:val="21"/>
                      <w:u w:val="single"/>
                    </w:rPr>
                  </w:pPr>
                  <w:r>
                    <w:rPr>
                      <w:rFonts w:hint="eastAsia"/>
                      <w:color w:val="auto"/>
                      <w:kern w:val="0"/>
                      <w:szCs w:val="21"/>
                      <w:u w:val="single"/>
                    </w:rPr>
                    <w:t>符合，危险化学品仓库从业人员持证上岗，能理解化学品安全技术说明书的内容并掌握风险防范措施，掌握岗位操作技能。</w:t>
                  </w:r>
                </w:p>
              </w:tc>
            </w:tr>
          </w:tbl>
          <w:p w14:paraId="6DD236B8">
            <w:pPr>
              <w:pStyle w:val="6"/>
              <w:numPr>
                <w:ilvl w:val="0"/>
                <w:numId w:val="0"/>
              </w:numPr>
              <w:spacing w:line="500" w:lineRule="exact"/>
              <w:ind w:firstLine="480" w:firstLineChars="200"/>
              <w:rPr>
                <w:color w:val="auto"/>
                <w:kern w:val="0"/>
                <w:sz w:val="24"/>
                <w:u w:val="single"/>
              </w:rPr>
            </w:pPr>
            <w:r>
              <w:rPr>
                <w:rFonts w:hint="eastAsia"/>
                <w:color w:val="auto"/>
                <w:kern w:val="0"/>
                <w:sz w:val="24"/>
                <w:u w:val="single"/>
                <w:lang w:val="en-US" w:eastAsia="zh-CN"/>
              </w:rPr>
              <w:t>6、</w:t>
            </w:r>
            <w:r>
              <w:rPr>
                <w:rFonts w:hint="eastAsia"/>
                <w:color w:val="auto"/>
                <w:kern w:val="0"/>
                <w:sz w:val="24"/>
                <w:u w:val="single"/>
              </w:rPr>
              <w:t>项目与《危险化学品经营企业安全技术基本要求》（GB18265-2019）相符性分析</w:t>
            </w:r>
          </w:p>
          <w:p w14:paraId="41BF7A23">
            <w:pPr>
              <w:pStyle w:val="6"/>
              <w:spacing w:line="500" w:lineRule="exact"/>
              <w:ind w:firstLine="482"/>
              <w:jc w:val="center"/>
              <w:rPr>
                <w:b/>
                <w:bCs/>
                <w:color w:val="auto"/>
                <w:kern w:val="0"/>
                <w:sz w:val="24"/>
                <w:u w:val="single"/>
                <w:lang w:val="en-GB"/>
              </w:rPr>
            </w:pPr>
            <w:r>
              <w:rPr>
                <w:rFonts w:hint="eastAsia"/>
                <w:b/>
                <w:bCs/>
                <w:color w:val="auto"/>
                <w:kern w:val="0"/>
                <w:sz w:val="24"/>
                <w:u w:val="single"/>
                <w:lang w:val="en-GB"/>
              </w:rPr>
              <w:t>表1-</w:t>
            </w:r>
            <w:r>
              <w:rPr>
                <w:rFonts w:hint="eastAsia"/>
                <w:b/>
                <w:bCs/>
                <w:color w:val="auto"/>
                <w:kern w:val="0"/>
                <w:sz w:val="24"/>
                <w:u w:val="single"/>
                <w:lang w:val="en-US" w:eastAsia="zh-CN"/>
              </w:rPr>
              <w:t>7</w:t>
            </w:r>
            <w:r>
              <w:rPr>
                <w:rFonts w:hint="eastAsia"/>
                <w:b/>
                <w:bCs/>
                <w:color w:val="auto"/>
                <w:kern w:val="0"/>
                <w:sz w:val="24"/>
                <w:u w:val="single"/>
                <w:lang w:val="en-GB"/>
              </w:rPr>
              <w:t>与</w:t>
            </w:r>
            <w:r>
              <w:rPr>
                <w:rFonts w:hint="eastAsia"/>
                <w:b/>
                <w:bCs/>
                <w:color w:val="auto"/>
                <w:kern w:val="0"/>
                <w:sz w:val="24"/>
                <w:u w:val="single"/>
              </w:rPr>
              <w:t>GB18265-2019</w:t>
            </w:r>
            <w:r>
              <w:rPr>
                <w:rFonts w:hint="eastAsia"/>
                <w:b/>
                <w:bCs/>
                <w:color w:val="auto"/>
                <w:kern w:val="0"/>
                <w:sz w:val="24"/>
                <w:u w:val="single"/>
                <w:lang w:val="en-GB"/>
              </w:rPr>
              <w:t>相符性分析</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3262"/>
              <w:gridCol w:w="2818"/>
            </w:tblGrid>
            <w:tr w14:paraId="720E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11B165A7">
                  <w:pPr>
                    <w:spacing w:line="240" w:lineRule="exact"/>
                    <w:jc w:val="center"/>
                    <w:rPr>
                      <w:color w:val="auto"/>
                      <w:szCs w:val="21"/>
                      <w:u w:val="single"/>
                    </w:rPr>
                  </w:pPr>
                  <w:r>
                    <w:rPr>
                      <w:rFonts w:hint="eastAsia"/>
                      <w:color w:val="auto"/>
                      <w:szCs w:val="21"/>
                      <w:u w:val="single"/>
                    </w:rPr>
                    <w:t>序号</w:t>
                  </w:r>
                </w:p>
              </w:tc>
              <w:tc>
                <w:tcPr>
                  <w:tcW w:w="3262" w:type="dxa"/>
                  <w:vAlign w:val="center"/>
                </w:tcPr>
                <w:p w14:paraId="15D44D33">
                  <w:pPr>
                    <w:spacing w:line="240" w:lineRule="exact"/>
                    <w:jc w:val="center"/>
                    <w:rPr>
                      <w:color w:val="auto"/>
                      <w:szCs w:val="21"/>
                      <w:u w:val="single"/>
                    </w:rPr>
                  </w:pPr>
                  <w:r>
                    <w:rPr>
                      <w:rFonts w:hint="eastAsia"/>
                      <w:color w:val="auto"/>
                      <w:szCs w:val="21"/>
                      <w:u w:val="single"/>
                    </w:rPr>
                    <w:t>相关内容</w:t>
                  </w:r>
                </w:p>
              </w:tc>
              <w:tc>
                <w:tcPr>
                  <w:tcW w:w="2818" w:type="dxa"/>
                  <w:vAlign w:val="center"/>
                </w:tcPr>
                <w:p w14:paraId="371F523A">
                  <w:pPr>
                    <w:spacing w:line="240" w:lineRule="exact"/>
                    <w:jc w:val="center"/>
                    <w:rPr>
                      <w:color w:val="auto"/>
                      <w:szCs w:val="21"/>
                      <w:u w:val="single"/>
                    </w:rPr>
                  </w:pPr>
                  <w:r>
                    <w:rPr>
                      <w:rFonts w:hint="eastAsia"/>
                      <w:color w:val="auto"/>
                      <w:szCs w:val="21"/>
                      <w:u w:val="single"/>
                    </w:rPr>
                    <w:t>相符性分析</w:t>
                  </w:r>
                </w:p>
              </w:tc>
            </w:tr>
            <w:tr w14:paraId="1A88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7" w:type="dxa"/>
                  <w:gridSpan w:val="3"/>
                  <w:vAlign w:val="center"/>
                </w:tcPr>
                <w:p w14:paraId="381195DB">
                  <w:pPr>
                    <w:spacing w:line="240" w:lineRule="exact"/>
                    <w:rPr>
                      <w:color w:val="auto"/>
                      <w:szCs w:val="21"/>
                      <w:u w:val="single"/>
                    </w:rPr>
                  </w:pPr>
                  <w:r>
                    <w:rPr>
                      <w:rFonts w:hint="eastAsia"/>
                      <w:color w:val="auto"/>
                      <w:szCs w:val="21"/>
                      <w:u w:val="single"/>
                    </w:rPr>
                    <w:t>4.1规划选址</w:t>
                  </w:r>
                </w:p>
              </w:tc>
            </w:tr>
            <w:tr w14:paraId="16D5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39839FFB">
                  <w:pPr>
                    <w:spacing w:line="240" w:lineRule="exact"/>
                    <w:jc w:val="center"/>
                    <w:rPr>
                      <w:color w:val="auto"/>
                      <w:szCs w:val="21"/>
                      <w:u w:val="single"/>
                    </w:rPr>
                  </w:pPr>
                  <w:r>
                    <w:rPr>
                      <w:rFonts w:hint="eastAsia"/>
                      <w:color w:val="auto"/>
                      <w:szCs w:val="21"/>
                      <w:u w:val="single"/>
                    </w:rPr>
                    <w:t>4.1.1</w:t>
                  </w:r>
                </w:p>
              </w:tc>
              <w:tc>
                <w:tcPr>
                  <w:tcW w:w="3262" w:type="dxa"/>
                  <w:vAlign w:val="center"/>
                </w:tcPr>
                <w:p w14:paraId="4A21061B">
                  <w:pPr>
                    <w:spacing w:line="240" w:lineRule="exact"/>
                    <w:rPr>
                      <w:color w:val="auto"/>
                      <w:szCs w:val="21"/>
                      <w:u w:val="single"/>
                    </w:rPr>
                  </w:pPr>
                  <w:r>
                    <w:rPr>
                      <w:rFonts w:hint="eastAsia"/>
                      <w:color w:val="auto"/>
                      <w:szCs w:val="21"/>
                      <w:u w:val="single"/>
                    </w:rPr>
                    <w:t>危险化学品仓库应符合本地区城乡规划，选址在远离市区和居民区的常年最小频率风向的上风侧。</w:t>
                  </w:r>
                </w:p>
              </w:tc>
              <w:tc>
                <w:tcPr>
                  <w:tcW w:w="2818" w:type="dxa"/>
                  <w:vAlign w:val="center"/>
                </w:tcPr>
                <w:p w14:paraId="03870F71">
                  <w:pPr>
                    <w:spacing w:line="240" w:lineRule="exact"/>
                    <w:rPr>
                      <w:color w:val="auto"/>
                      <w:szCs w:val="21"/>
                      <w:u w:val="single"/>
                    </w:rPr>
                  </w:pPr>
                  <w:r>
                    <w:rPr>
                      <w:rFonts w:hint="eastAsia"/>
                      <w:color w:val="auto"/>
                      <w:szCs w:val="21"/>
                      <w:u w:val="single"/>
                    </w:rPr>
                    <w:t>符合，项目选址位于钦州石化产业园区内的石化码头物料仓储区，选址符合广西钦州石化产业园总体发展规划，项目位于居民区常年下风向。</w:t>
                  </w:r>
                </w:p>
              </w:tc>
            </w:tr>
            <w:tr w14:paraId="4768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0088DFB0">
                  <w:pPr>
                    <w:spacing w:line="240" w:lineRule="exact"/>
                    <w:jc w:val="center"/>
                    <w:rPr>
                      <w:color w:val="auto"/>
                      <w:szCs w:val="21"/>
                      <w:u w:val="single"/>
                    </w:rPr>
                  </w:pPr>
                  <w:r>
                    <w:rPr>
                      <w:rFonts w:hint="eastAsia"/>
                      <w:color w:val="auto"/>
                      <w:szCs w:val="21"/>
                      <w:u w:val="single"/>
                    </w:rPr>
                    <w:t>4.1.2</w:t>
                  </w:r>
                </w:p>
              </w:tc>
              <w:tc>
                <w:tcPr>
                  <w:tcW w:w="3262" w:type="dxa"/>
                  <w:vAlign w:val="center"/>
                </w:tcPr>
                <w:p w14:paraId="3483C6E7">
                  <w:pPr>
                    <w:spacing w:line="240" w:lineRule="exact"/>
                    <w:rPr>
                      <w:color w:val="auto"/>
                      <w:szCs w:val="21"/>
                      <w:u w:val="single"/>
                    </w:rPr>
                  </w:pPr>
                  <w:r>
                    <w:rPr>
                      <w:rFonts w:hint="eastAsia"/>
                      <w:color w:val="auto"/>
                      <w:szCs w:val="21"/>
                      <w:u w:val="single"/>
                    </w:rPr>
                    <w:t>危险化学品仓库防火间距应按GB50016的规定执行。危险化学品仓库与铁路安全防护距离，与公路、广播电视设施、石油天然气管道、电力设施距离应符合其法规要求。</w:t>
                  </w:r>
                </w:p>
              </w:tc>
              <w:tc>
                <w:tcPr>
                  <w:tcW w:w="2818" w:type="dxa"/>
                  <w:vAlign w:val="center"/>
                </w:tcPr>
                <w:p w14:paraId="7950098B">
                  <w:pPr>
                    <w:spacing w:line="240" w:lineRule="exact"/>
                    <w:rPr>
                      <w:color w:val="auto"/>
                      <w:szCs w:val="21"/>
                      <w:u w:val="single"/>
                    </w:rPr>
                  </w:pPr>
                  <w:r>
                    <w:rPr>
                      <w:rFonts w:hint="eastAsia"/>
                      <w:color w:val="auto"/>
                      <w:szCs w:val="21"/>
                      <w:u w:val="single"/>
                    </w:rPr>
                    <w:t>符合，项目危险化学品仓库防火间距、与电力设施满足《建筑设计防火规范》（GB50016-2014）（2018年版）要求。</w:t>
                  </w:r>
                </w:p>
              </w:tc>
            </w:tr>
            <w:tr w14:paraId="483B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57D3BE3C">
                  <w:pPr>
                    <w:spacing w:line="240" w:lineRule="exact"/>
                    <w:jc w:val="center"/>
                    <w:rPr>
                      <w:color w:val="auto"/>
                      <w:szCs w:val="21"/>
                      <w:u w:val="single"/>
                    </w:rPr>
                  </w:pPr>
                  <w:r>
                    <w:rPr>
                      <w:rFonts w:hint="eastAsia"/>
                      <w:color w:val="auto"/>
                      <w:szCs w:val="21"/>
                      <w:u w:val="single"/>
                    </w:rPr>
                    <w:t>4.1.3</w:t>
                  </w:r>
                </w:p>
              </w:tc>
              <w:tc>
                <w:tcPr>
                  <w:tcW w:w="3262" w:type="dxa"/>
                  <w:vAlign w:val="center"/>
                </w:tcPr>
                <w:p w14:paraId="0D54015E">
                  <w:pPr>
                    <w:spacing w:line="240" w:lineRule="exact"/>
                    <w:rPr>
                      <w:color w:val="auto"/>
                      <w:szCs w:val="21"/>
                      <w:u w:val="single"/>
                    </w:rPr>
                  </w:pPr>
                  <w:r>
                    <w:rPr>
                      <w:rFonts w:hint="eastAsia"/>
                      <w:color w:val="auto"/>
                      <w:szCs w:val="21"/>
                      <w:u w:val="single"/>
                    </w:rPr>
                    <w:t>爆炸物库房除符合4.1.2要求外，与防护目标应至少保持1000 m的距离。还应按GB/T 37243的规定，采用事故后果法计算外部安全防护距离。事故后果法计算时应采用最严重事故情景计算外部安全防护距离。</w:t>
                  </w:r>
                </w:p>
              </w:tc>
              <w:tc>
                <w:tcPr>
                  <w:tcW w:w="2818" w:type="dxa"/>
                  <w:vAlign w:val="center"/>
                </w:tcPr>
                <w:p w14:paraId="63711A18">
                  <w:pPr>
                    <w:spacing w:line="240" w:lineRule="exact"/>
                    <w:rPr>
                      <w:color w:val="auto"/>
                      <w:szCs w:val="21"/>
                      <w:u w:val="single"/>
                    </w:rPr>
                  </w:pPr>
                  <w:r>
                    <w:rPr>
                      <w:rFonts w:hint="eastAsia"/>
                      <w:color w:val="auto"/>
                      <w:szCs w:val="21"/>
                      <w:u w:val="single"/>
                    </w:rPr>
                    <w:t>符合，项目不涉及爆炸物储存。</w:t>
                  </w:r>
                </w:p>
              </w:tc>
            </w:tr>
            <w:tr w14:paraId="7E3D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62ED57CA">
                  <w:pPr>
                    <w:spacing w:line="240" w:lineRule="exact"/>
                    <w:jc w:val="center"/>
                    <w:rPr>
                      <w:color w:val="auto"/>
                      <w:szCs w:val="21"/>
                      <w:u w:val="single"/>
                    </w:rPr>
                  </w:pPr>
                  <w:r>
                    <w:rPr>
                      <w:rFonts w:hint="eastAsia"/>
                      <w:color w:val="auto"/>
                      <w:szCs w:val="21"/>
                      <w:u w:val="single"/>
                    </w:rPr>
                    <w:t>4.1.4</w:t>
                  </w:r>
                </w:p>
              </w:tc>
              <w:tc>
                <w:tcPr>
                  <w:tcW w:w="3262" w:type="dxa"/>
                  <w:vAlign w:val="center"/>
                </w:tcPr>
                <w:p w14:paraId="05485F6F">
                  <w:pPr>
                    <w:spacing w:line="240" w:lineRule="exact"/>
                    <w:rPr>
                      <w:color w:val="auto"/>
                      <w:szCs w:val="21"/>
                      <w:u w:val="single"/>
                    </w:rPr>
                  </w:pPr>
                  <w:r>
                    <w:rPr>
                      <w:rFonts w:hint="eastAsia"/>
                      <w:color w:val="auto"/>
                      <w:szCs w:val="21"/>
                      <w:u w:val="single"/>
                    </w:rPr>
                    <w:t>涉及有毒气体或易燃气体，且其构成危险化学品重大危险源的库房除符合4.1.2要求外，还应按GB/T37243的规定，采用定量风险评价法计算外部安全防护距离。定量风险评价法计算时应采用可能储存的危险化学品最大量计算外部安全防护距离。</w:t>
                  </w:r>
                </w:p>
              </w:tc>
              <w:tc>
                <w:tcPr>
                  <w:tcW w:w="2818" w:type="dxa"/>
                  <w:vAlign w:val="center"/>
                </w:tcPr>
                <w:p w14:paraId="44488EB5">
                  <w:pPr>
                    <w:spacing w:line="240" w:lineRule="exact"/>
                    <w:rPr>
                      <w:color w:val="auto"/>
                      <w:szCs w:val="21"/>
                      <w:u w:val="single"/>
                    </w:rPr>
                  </w:pPr>
                  <w:r>
                    <w:rPr>
                      <w:rFonts w:hint="eastAsia"/>
                      <w:color w:val="auto"/>
                      <w:szCs w:val="21"/>
                      <w:u w:val="single"/>
                    </w:rPr>
                    <w:t>符合，项目不涉及有毒气体或易燃气体储存。</w:t>
                  </w:r>
                </w:p>
              </w:tc>
            </w:tr>
            <w:tr w14:paraId="31E2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7" w:type="dxa"/>
                  <w:gridSpan w:val="3"/>
                  <w:vAlign w:val="center"/>
                </w:tcPr>
                <w:p w14:paraId="2082DCA5">
                  <w:pPr>
                    <w:spacing w:line="240" w:lineRule="exact"/>
                    <w:rPr>
                      <w:color w:val="auto"/>
                      <w:szCs w:val="21"/>
                      <w:u w:val="single"/>
                    </w:rPr>
                  </w:pPr>
                  <w:r>
                    <w:rPr>
                      <w:rFonts w:hint="eastAsia"/>
                      <w:color w:val="auto"/>
                      <w:szCs w:val="21"/>
                      <w:u w:val="single"/>
                    </w:rPr>
                    <w:t>4.2 建设要求</w:t>
                  </w:r>
                </w:p>
              </w:tc>
            </w:tr>
            <w:tr w14:paraId="1817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4341838E">
                  <w:pPr>
                    <w:spacing w:line="240" w:lineRule="exact"/>
                    <w:jc w:val="center"/>
                    <w:rPr>
                      <w:color w:val="auto"/>
                      <w:szCs w:val="21"/>
                      <w:u w:val="single"/>
                    </w:rPr>
                  </w:pPr>
                  <w:r>
                    <w:rPr>
                      <w:rFonts w:hint="eastAsia"/>
                      <w:color w:val="auto"/>
                      <w:szCs w:val="21"/>
                      <w:u w:val="single"/>
                    </w:rPr>
                    <w:t>4.2.1</w:t>
                  </w:r>
                </w:p>
              </w:tc>
              <w:tc>
                <w:tcPr>
                  <w:tcW w:w="3262" w:type="dxa"/>
                  <w:vAlign w:val="center"/>
                </w:tcPr>
                <w:p w14:paraId="6EDE4EEC">
                  <w:pPr>
                    <w:spacing w:line="240" w:lineRule="exact"/>
                    <w:rPr>
                      <w:color w:val="auto"/>
                      <w:szCs w:val="21"/>
                      <w:u w:val="single"/>
                    </w:rPr>
                  </w:pPr>
                  <w:r>
                    <w:rPr>
                      <w:rFonts w:hint="eastAsia"/>
                      <w:color w:val="auto"/>
                      <w:szCs w:val="21"/>
                      <w:u w:val="single"/>
                    </w:rPr>
                    <w:t>危险化学品仓库建设应按GB 50016平面布置、建筑构造、耐火等级、安全疏散、消防设施、电气、通风等规定执行。</w:t>
                  </w:r>
                </w:p>
              </w:tc>
              <w:tc>
                <w:tcPr>
                  <w:tcW w:w="2818" w:type="dxa"/>
                  <w:vAlign w:val="center"/>
                </w:tcPr>
                <w:p w14:paraId="41894762">
                  <w:pPr>
                    <w:spacing w:line="240" w:lineRule="exact"/>
                    <w:rPr>
                      <w:color w:val="auto"/>
                      <w:szCs w:val="21"/>
                      <w:u w:val="single"/>
                    </w:rPr>
                  </w:pPr>
                  <w:r>
                    <w:rPr>
                      <w:rFonts w:hint="eastAsia"/>
                      <w:color w:val="auto"/>
                      <w:szCs w:val="21"/>
                      <w:u w:val="single"/>
                    </w:rPr>
                    <w:t>符合，项目危险化学品仓库建设满足50016要求。</w:t>
                  </w:r>
                </w:p>
              </w:tc>
            </w:tr>
            <w:tr w14:paraId="33CE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2F974F49">
                  <w:pPr>
                    <w:spacing w:line="240" w:lineRule="exact"/>
                    <w:jc w:val="center"/>
                    <w:rPr>
                      <w:color w:val="auto"/>
                      <w:szCs w:val="21"/>
                      <w:u w:val="single"/>
                    </w:rPr>
                  </w:pPr>
                  <w:r>
                    <w:rPr>
                      <w:rFonts w:hint="eastAsia"/>
                      <w:color w:val="auto"/>
                      <w:szCs w:val="21"/>
                      <w:u w:val="single"/>
                    </w:rPr>
                    <w:t>4.2.2</w:t>
                  </w:r>
                </w:p>
              </w:tc>
              <w:tc>
                <w:tcPr>
                  <w:tcW w:w="3262" w:type="dxa"/>
                  <w:vAlign w:val="center"/>
                </w:tcPr>
                <w:p w14:paraId="4F9E432C">
                  <w:pPr>
                    <w:spacing w:line="240" w:lineRule="exact"/>
                    <w:rPr>
                      <w:color w:val="auto"/>
                      <w:szCs w:val="21"/>
                      <w:u w:val="single"/>
                    </w:rPr>
                  </w:pPr>
                  <w:r>
                    <w:rPr>
                      <w:rFonts w:hint="eastAsia"/>
                      <w:color w:val="auto"/>
                      <w:szCs w:val="21"/>
                      <w:u w:val="single"/>
                    </w:rPr>
                    <w:t>爆炸物库房建设应按GB 50089或GB 50161平面布置、建筑与结构、消防、电气、通风等规定执行。</w:t>
                  </w:r>
                </w:p>
              </w:tc>
              <w:tc>
                <w:tcPr>
                  <w:tcW w:w="2818" w:type="dxa"/>
                  <w:vAlign w:val="center"/>
                </w:tcPr>
                <w:p w14:paraId="48243B17">
                  <w:pPr>
                    <w:spacing w:line="240" w:lineRule="exact"/>
                    <w:rPr>
                      <w:color w:val="auto"/>
                      <w:szCs w:val="21"/>
                      <w:u w:val="single"/>
                    </w:rPr>
                  </w:pPr>
                  <w:r>
                    <w:rPr>
                      <w:rFonts w:hint="eastAsia"/>
                      <w:color w:val="auto"/>
                      <w:szCs w:val="21"/>
                      <w:u w:val="single"/>
                    </w:rPr>
                    <w:t>符合，项目不涉及爆炸物储存。</w:t>
                  </w:r>
                </w:p>
              </w:tc>
            </w:tr>
            <w:tr w14:paraId="3C55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16E28634">
                  <w:pPr>
                    <w:spacing w:line="240" w:lineRule="exact"/>
                    <w:jc w:val="center"/>
                    <w:rPr>
                      <w:color w:val="auto"/>
                      <w:szCs w:val="21"/>
                      <w:u w:val="single"/>
                    </w:rPr>
                  </w:pPr>
                  <w:r>
                    <w:rPr>
                      <w:rFonts w:hint="eastAsia"/>
                      <w:color w:val="auto"/>
                      <w:szCs w:val="21"/>
                      <w:u w:val="single"/>
                    </w:rPr>
                    <w:t>4.2.3</w:t>
                  </w:r>
                </w:p>
              </w:tc>
              <w:tc>
                <w:tcPr>
                  <w:tcW w:w="3262" w:type="dxa"/>
                  <w:vAlign w:val="center"/>
                </w:tcPr>
                <w:p w14:paraId="67AF35A0">
                  <w:pPr>
                    <w:spacing w:line="240" w:lineRule="exact"/>
                    <w:rPr>
                      <w:color w:val="auto"/>
                      <w:szCs w:val="21"/>
                      <w:u w:val="single"/>
                    </w:rPr>
                  </w:pPr>
                  <w:r>
                    <w:rPr>
                      <w:rFonts w:hint="eastAsia"/>
                      <w:color w:val="auto"/>
                      <w:szCs w:val="21"/>
                      <w:u w:val="single"/>
                    </w:rPr>
                    <w:t>危险化学品库房应防潮、平整、坚实、易于清扫。可能释放可燃性气体或蒸气，在空气中能形成粉尘、纤维等爆炸性混合物的危险化学品库房应采用不发生火花的地面。储存腐蚀性危险化学品的库房的地面、踢脚应采取防腐材料。</w:t>
                  </w:r>
                </w:p>
              </w:tc>
              <w:tc>
                <w:tcPr>
                  <w:tcW w:w="2818" w:type="dxa"/>
                  <w:vAlign w:val="center"/>
                </w:tcPr>
                <w:p w14:paraId="3B815A0D">
                  <w:pPr>
                    <w:spacing w:line="240" w:lineRule="exact"/>
                    <w:rPr>
                      <w:color w:val="auto"/>
                      <w:szCs w:val="21"/>
                      <w:u w:val="single"/>
                    </w:rPr>
                  </w:pPr>
                  <w:r>
                    <w:rPr>
                      <w:rFonts w:hint="eastAsia"/>
                      <w:color w:val="auto"/>
                      <w:szCs w:val="21"/>
                      <w:u w:val="single"/>
                    </w:rPr>
                    <w:t>符合，项目危险化学品库采用不发生火花的地面，存放腐蚀性的危险化学品库房地面、踢脚均进行防腐。</w:t>
                  </w:r>
                </w:p>
              </w:tc>
            </w:tr>
            <w:tr w14:paraId="48A5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211755A0">
                  <w:pPr>
                    <w:spacing w:line="240" w:lineRule="exact"/>
                    <w:jc w:val="center"/>
                    <w:rPr>
                      <w:color w:val="auto"/>
                      <w:szCs w:val="21"/>
                      <w:u w:val="single"/>
                    </w:rPr>
                  </w:pPr>
                  <w:r>
                    <w:rPr>
                      <w:rFonts w:hint="eastAsia"/>
                      <w:color w:val="auto"/>
                      <w:szCs w:val="21"/>
                      <w:u w:val="single"/>
                    </w:rPr>
                    <w:t>4.2.4</w:t>
                  </w:r>
                </w:p>
              </w:tc>
              <w:tc>
                <w:tcPr>
                  <w:tcW w:w="3262" w:type="dxa"/>
                  <w:vAlign w:val="center"/>
                </w:tcPr>
                <w:p w14:paraId="173C7DCB">
                  <w:pPr>
                    <w:spacing w:line="240" w:lineRule="exact"/>
                    <w:rPr>
                      <w:color w:val="auto"/>
                      <w:szCs w:val="21"/>
                      <w:u w:val="single"/>
                    </w:rPr>
                  </w:pPr>
                  <w:r>
                    <w:rPr>
                      <w:rFonts w:hint="eastAsia"/>
                      <w:color w:val="auto"/>
                      <w:szCs w:val="21"/>
                      <w:u w:val="single"/>
                    </w:rPr>
                    <w:t>危险化学品储存禁忌应按GB 15603的规定执行。</w:t>
                  </w:r>
                </w:p>
              </w:tc>
              <w:tc>
                <w:tcPr>
                  <w:tcW w:w="2818" w:type="dxa"/>
                  <w:vAlign w:val="center"/>
                </w:tcPr>
                <w:p w14:paraId="77D09BF4">
                  <w:pPr>
                    <w:spacing w:line="240" w:lineRule="exact"/>
                    <w:rPr>
                      <w:color w:val="auto"/>
                      <w:szCs w:val="21"/>
                      <w:u w:val="single"/>
                    </w:rPr>
                  </w:pPr>
                  <w:r>
                    <w:rPr>
                      <w:rFonts w:hint="eastAsia"/>
                      <w:color w:val="auto"/>
                      <w:szCs w:val="21"/>
                      <w:u w:val="single"/>
                    </w:rPr>
                    <w:t>符合，项目危险化学品储存符合GB 15603-2022要求。</w:t>
                  </w:r>
                </w:p>
              </w:tc>
            </w:tr>
            <w:tr w14:paraId="4E18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277EBB1E">
                  <w:pPr>
                    <w:spacing w:line="240" w:lineRule="exact"/>
                    <w:jc w:val="center"/>
                    <w:rPr>
                      <w:color w:val="auto"/>
                      <w:szCs w:val="21"/>
                      <w:u w:val="single"/>
                    </w:rPr>
                  </w:pPr>
                  <w:r>
                    <w:rPr>
                      <w:rFonts w:hint="eastAsia"/>
                      <w:color w:val="auto"/>
                      <w:szCs w:val="21"/>
                      <w:u w:val="single"/>
                    </w:rPr>
                    <w:t>4.2.5</w:t>
                  </w:r>
                </w:p>
              </w:tc>
              <w:tc>
                <w:tcPr>
                  <w:tcW w:w="3262" w:type="dxa"/>
                  <w:vAlign w:val="center"/>
                </w:tcPr>
                <w:p w14:paraId="1D71554C">
                  <w:pPr>
                    <w:spacing w:line="240" w:lineRule="exact"/>
                    <w:rPr>
                      <w:color w:val="auto"/>
                      <w:szCs w:val="21"/>
                      <w:u w:val="single"/>
                    </w:rPr>
                  </w:pPr>
                  <w:r>
                    <w:rPr>
                      <w:rFonts w:hint="eastAsia"/>
                      <w:color w:val="auto"/>
                      <w:szCs w:val="21"/>
                      <w:u w:val="single"/>
                    </w:rPr>
                    <w:t>应建立危险化学品追溯管理信息系统，应具备危险化学品出入库记录，库存危险化学品品种、数量及库内分布等功能，数据保存期限不得少于1年，且应异地实时备份。</w:t>
                  </w:r>
                </w:p>
              </w:tc>
              <w:tc>
                <w:tcPr>
                  <w:tcW w:w="2818" w:type="dxa"/>
                  <w:vAlign w:val="center"/>
                </w:tcPr>
                <w:p w14:paraId="6D2EF58A">
                  <w:pPr>
                    <w:spacing w:line="240" w:lineRule="exact"/>
                    <w:rPr>
                      <w:color w:val="auto"/>
                      <w:szCs w:val="21"/>
                      <w:u w:val="single"/>
                    </w:rPr>
                  </w:pPr>
                  <w:r>
                    <w:rPr>
                      <w:rFonts w:hint="eastAsia"/>
                      <w:color w:val="auto"/>
                      <w:szCs w:val="21"/>
                      <w:u w:val="single"/>
                    </w:rPr>
                    <w:t>符合，项目将建立危险化学品追溯管理信息系统，并具备危险化学品出入库记录，库存危险化学品品种、数量及库内分布等功能，数据保存期限不少于1年，且异地实时备份。</w:t>
                  </w:r>
                </w:p>
              </w:tc>
            </w:tr>
            <w:tr w14:paraId="398A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20987CA6">
                  <w:pPr>
                    <w:spacing w:line="240" w:lineRule="exact"/>
                    <w:jc w:val="center"/>
                    <w:rPr>
                      <w:color w:val="auto"/>
                      <w:szCs w:val="21"/>
                      <w:u w:val="single"/>
                    </w:rPr>
                  </w:pPr>
                  <w:r>
                    <w:rPr>
                      <w:rFonts w:hint="eastAsia"/>
                      <w:color w:val="auto"/>
                      <w:szCs w:val="21"/>
                      <w:u w:val="single"/>
                    </w:rPr>
                    <w:t>4.2.6</w:t>
                  </w:r>
                </w:p>
              </w:tc>
              <w:tc>
                <w:tcPr>
                  <w:tcW w:w="3262" w:type="dxa"/>
                  <w:vAlign w:val="center"/>
                </w:tcPr>
                <w:p w14:paraId="1B1E22B6">
                  <w:pPr>
                    <w:spacing w:line="240" w:lineRule="exact"/>
                    <w:rPr>
                      <w:color w:val="auto"/>
                      <w:szCs w:val="21"/>
                      <w:u w:val="single"/>
                    </w:rPr>
                  </w:pPr>
                  <w:r>
                    <w:rPr>
                      <w:rFonts w:hint="eastAsia"/>
                      <w:color w:val="auto"/>
                      <w:szCs w:val="21"/>
                      <w:u w:val="single"/>
                    </w:rPr>
                    <w:t>构成危险化学品重大危险源的危险化学品仓库应符合国家法律法规、标准规范关于危险化学品重大危险源的技术要求。</w:t>
                  </w:r>
                </w:p>
              </w:tc>
              <w:tc>
                <w:tcPr>
                  <w:tcW w:w="2818" w:type="dxa"/>
                  <w:vAlign w:val="center"/>
                </w:tcPr>
                <w:p w14:paraId="439085D7">
                  <w:pPr>
                    <w:spacing w:line="240" w:lineRule="exact"/>
                    <w:rPr>
                      <w:color w:val="auto"/>
                      <w:szCs w:val="21"/>
                      <w:u w:val="single"/>
                    </w:rPr>
                  </w:pPr>
                  <w:r>
                    <w:rPr>
                      <w:rFonts w:hint="eastAsia"/>
                      <w:color w:val="auto"/>
                      <w:szCs w:val="21"/>
                      <w:u w:val="single"/>
                    </w:rPr>
                    <w:t>符合，项目不涉及危险化学品重大危险源。</w:t>
                  </w:r>
                </w:p>
              </w:tc>
            </w:tr>
            <w:tr w14:paraId="3257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7114D09E">
                  <w:pPr>
                    <w:spacing w:line="240" w:lineRule="exact"/>
                    <w:jc w:val="center"/>
                    <w:rPr>
                      <w:color w:val="auto"/>
                      <w:szCs w:val="21"/>
                      <w:u w:val="single"/>
                    </w:rPr>
                  </w:pPr>
                  <w:r>
                    <w:rPr>
                      <w:rFonts w:hint="eastAsia"/>
                      <w:color w:val="auto"/>
                      <w:szCs w:val="21"/>
                      <w:u w:val="single"/>
                    </w:rPr>
                    <w:t>4.2.7</w:t>
                  </w:r>
                </w:p>
              </w:tc>
              <w:tc>
                <w:tcPr>
                  <w:tcW w:w="3262" w:type="dxa"/>
                  <w:vAlign w:val="center"/>
                </w:tcPr>
                <w:p w14:paraId="5C410E53">
                  <w:pPr>
                    <w:spacing w:line="240" w:lineRule="exact"/>
                    <w:rPr>
                      <w:color w:val="auto"/>
                      <w:szCs w:val="21"/>
                      <w:u w:val="single"/>
                    </w:rPr>
                  </w:pPr>
                  <w:r>
                    <w:rPr>
                      <w:rFonts w:hint="eastAsia"/>
                      <w:color w:val="auto"/>
                      <w:szCs w:val="21"/>
                      <w:u w:val="single"/>
                    </w:rPr>
                    <w:t>爆炸物宜按不同品种单独存放。当受条件限制，不同品种爆炸物需同库存放时，应确保爆炸物之间不是禁忌物品且包装完整无损。</w:t>
                  </w:r>
                </w:p>
              </w:tc>
              <w:tc>
                <w:tcPr>
                  <w:tcW w:w="2818" w:type="dxa"/>
                  <w:vAlign w:val="center"/>
                </w:tcPr>
                <w:p w14:paraId="50875371">
                  <w:pPr>
                    <w:spacing w:line="240" w:lineRule="exact"/>
                    <w:rPr>
                      <w:color w:val="auto"/>
                      <w:szCs w:val="21"/>
                      <w:u w:val="single"/>
                    </w:rPr>
                  </w:pPr>
                  <w:r>
                    <w:rPr>
                      <w:rFonts w:hint="eastAsia"/>
                      <w:color w:val="auto"/>
                      <w:szCs w:val="21"/>
                      <w:u w:val="single"/>
                    </w:rPr>
                    <w:t>符合，项目不涉及爆炸物的储存。</w:t>
                  </w:r>
                </w:p>
              </w:tc>
            </w:tr>
            <w:tr w14:paraId="4DB3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7AF43A34">
                  <w:pPr>
                    <w:spacing w:line="240" w:lineRule="exact"/>
                    <w:jc w:val="center"/>
                    <w:rPr>
                      <w:color w:val="auto"/>
                      <w:szCs w:val="21"/>
                      <w:u w:val="single"/>
                    </w:rPr>
                  </w:pPr>
                  <w:r>
                    <w:rPr>
                      <w:rFonts w:hint="eastAsia"/>
                      <w:color w:val="auto"/>
                      <w:szCs w:val="21"/>
                      <w:u w:val="single"/>
                    </w:rPr>
                    <w:t>4.2.8</w:t>
                  </w:r>
                </w:p>
              </w:tc>
              <w:tc>
                <w:tcPr>
                  <w:tcW w:w="3262" w:type="dxa"/>
                  <w:vAlign w:val="center"/>
                </w:tcPr>
                <w:p w14:paraId="7EA83F97">
                  <w:pPr>
                    <w:spacing w:line="240" w:lineRule="exact"/>
                    <w:rPr>
                      <w:color w:val="auto"/>
                      <w:szCs w:val="21"/>
                      <w:u w:val="single"/>
                    </w:rPr>
                  </w:pPr>
                  <w:r>
                    <w:rPr>
                      <w:rFonts w:hint="eastAsia"/>
                      <w:color w:val="auto"/>
                      <w:szCs w:val="21"/>
                      <w:u w:val="single"/>
                    </w:rPr>
                    <w:t>有机过氧化物应储存在危险化学品库房特定区域内，避免阳光直射，并应满足不同品种的存储温度、湿度要求。</w:t>
                  </w:r>
                </w:p>
              </w:tc>
              <w:tc>
                <w:tcPr>
                  <w:tcW w:w="2818" w:type="dxa"/>
                  <w:vAlign w:val="center"/>
                </w:tcPr>
                <w:p w14:paraId="25B76520">
                  <w:pPr>
                    <w:spacing w:line="240" w:lineRule="exact"/>
                    <w:rPr>
                      <w:color w:val="auto"/>
                      <w:szCs w:val="21"/>
                      <w:u w:val="single"/>
                    </w:rPr>
                  </w:pPr>
                  <w:r>
                    <w:rPr>
                      <w:rFonts w:hint="eastAsia"/>
                      <w:color w:val="auto"/>
                      <w:szCs w:val="21"/>
                      <w:u w:val="single"/>
                    </w:rPr>
                    <w:t>符合，项目不涉及有机过氧化物的储存。</w:t>
                  </w:r>
                </w:p>
              </w:tc>
            </w:tr>
            <w:tr w14:paraId="2458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28C634BF">
                  <w:pPr>
                    <w:spacing w:line="240" w:lineRule="exact"/>
                    <w:jc w:val="center"/>
                    <w:rPr>
                      <w:color w:val="auto"/>
                      <w:szCs w:val="21"/>
                      <w:u w:val="single"/>
                    </w:rPr>
                  </w:pPr>
                  <w:r>
                    <w:rPr>
                      <w:rFonts w:hint="eastAsia"/>
                      <w:color w:val="auto"/>
                      <w:szCs w:val="21"/>
                      <w:u w:val="single"/>
                    </w:rPr>
                    <w:t>4.2.9</w:t>
                  </w:r>
                </w:p>
              </w:tc>
              <w:tc>
                <w:tcPr>
                  <w:tcW w:w="3262" w:type="dxa"/>
                  <w:vAlign w:val="center"/>
                </w:tcPr>
                <w:p w14:paraId="0F415AA9">
                  <w:pPr>
                    <w:spacing w:line="240" w:lineRule="exact"/>
                    <w:rPr>
                      <w:color w:val="auto"/>
                      <w:szCs w:val="21"/>
                      <w:u w:val="single"/>
                    </w:rPr>
                  </w:pPr>
                  <w:r>
                    <w:rPr>
                      <w:rFonts w:hint="eastAsia"/>
                      <w:color w:val="auto"/>
                      <w:szCs w:val="21"/>
                      <w:u w:val="single"/>
                    </w:rPr>
                    <w:t>遇水放出易燃气体的物质和混合物应密闭储存在设有防水、防雨、防潮措施的危险化学品库房中的干燥区域内。</w:t>
                  </w:r>
                </w:p>
              </w:tc>
              <w:tc>
                <w:tcPr>
                  <w:tcW w:w="2818" w:type="dxa"/>
                  <w:vAlign w:val="center"/>
                </w:tcPr>
                <w:p w14:paraId="1DB0A1C6">
                  <w:pPr>
                    <w:spacing w:line="240" w:lineRule="exact"/>
                    <w:rPr>
                      <w:color w:val="auto"/>
                      <w:szCs w:val="21"/>
                      <w:u w:val="single"/>
                    </w:rPr>
                  </w:pPr>
                  <w:r>
                    <w:rPr>
                      <w:rFonts w:hint="eastAsia"/>
                      <w:color w:val="auto"/>
                      <w:szCs w:val="21"/>
                      <w:u w:val="single"/>
                    </w:rPr>
                    <w:t>符合，项目不涉及遇水放出易燃气体的物质和混合物储存。</w:t>
                  </w:r>
                </w:p>
              </w:tc>
            </w:tr>
            <w:tr w14:paraId="19DC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7067040C">
                  <w:pPr>
                    <w:spacing w:line="240" w:lineRule="exact"/>
                    <w:jc w:val="center"/>
                    <w:rPr>
                      <w:color w:val="auto"/>
                      <w:szCs w:val="21"/>
                      <w:u w:val="single"/>
                    </w:rPr>
                  </w:pPr>
                  <w:r>
                    <w:rPr>
                      <w:rFonts w:hint="eastAsia"/>
                      <w:color w:val="auto"/>
                      <w:szCs w:val="21"/>
                      <w:u w:val="single"/>
                    </w:rPr>
                    <w:t>4.2.10</w:t>
                  </w:r>
                </w:p>
              </w:tc>
              <w:tc>
                <w:tcPr>
                  <w:tcW w:w="3262" w:type="dxa"/>
                  <w:vAlign w:val="center"/>
                </w:tcPr>
                <w:p w14:paraId="519D6F57">
                  <w:pPr>
                    <w:spacing w:line="240" w:lineRule="exact"/>
                    <w:rPr>
                      <w:color w:val="auto"/>
                      <w:szCs w:val="21"/>
                      <w:u w:val="single"/>
                    </w:rPr>
                  </w:pPr>
                  <w:r>
                    <w:rPr>
                      <w:rFonts w:hint="eastAsia"/>
                      <w:color w:val="auto"/>
                      <w:szCs w:val="21"/>
                      <w:u w:val="single"/>
                    </w:rPr>
                    <w:t>自热物质和混合物的储存温度应满足不同品种的存储温度、湿度要求，并避免阳光直射。</w:t>
                  </w:r>
                </w:p>
              </w:tc>
              <w:tc>
                <w:tcPr>
                  <w:tcW w:w="2818" w:type="dxa"/>
                  <w:vAlign w:val="center"/>
                </w:tcPr>
                <w:p w14:paraId="140C0EDE">
                  <w:pPr>
                    <w:spacing w:line="240" w:lineRule="exact"/>
                    <w:rPr>
                      <w:color w:val="auto"/>
                      <w:szCs w:val="21"/>
                      <w:u w:val="single"/>
                    </w:rPr>
                  </w:pPr>
                  <w:r>
                    <w:rPr>
                      <w:rFonts w:hint="eastAsia"/>
                      <w:color w:val="auto"/>
                      <w:szCs w:val="21"/>
                      <w:u w:val="single"/>
                    </w:rPr>
                    <w:t>符合，项目不涉及自热物质和混合物的储存。</w:t>
                  </w:r>
                </w:p>
              </w:tc>
            </w:tr>
            <w:tr w14:paraId="39A3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20613811">
                  <w:pPr>
                    <w:spacing w:line="240" w:lineRule="exact"/>
                    <w:jc w:val="center"/>
                    <w:rPr>
                      <w:color w:val="auto"/>
                      <w:szCs w:val="21"/>
                      <w:u w:val="single"/>
                    </w:rPr>
                  </w:pPr>
                  <w:r>
                    <w:rPr>
                      <w:rFonts w:hint="eastAsia"/>
                      <w:color w:val="auto"/>
                      <w:szCs w:val="21"/>
                      <w:u w:val="single"/>
                    </w:rPr>
                    <w:t>4.2.11</w:t>
                  </w:r>
                </w:p>
              </w:tc>
              <w:tc>
                <w:tcPr>
                  <w:tcW w:w="3262" w:type="dxa"/>
                  <w:vAlign w:val="center"/>
                </w:tcPr>
                <w:p w14:paraId="635FFDA6">
                  <w:pPr>
                    <w:spacing w:line="240" w:lineRule="exact"/>
                    <w:rPr>
                      <w:color w:val="auto"/>
                      <w:szCs w:val="21"/>
                      <w:u w:val="single"/>
                    </w:rPr>
                  </w:pPr>
                  <w:r>
                    <w:rPr>
                      <w:rFonts w:hint="eastAsia"/>
                      <w:color w:val="auto"/>
                      <w:szCs w:val="21"/>
                      <w:u w:val="single"/>
                    </w:rPr>
                    <w:t>自反应物质和混合物应储存在危险化学品库房特定区域内，避免阳光直射并保持良好通风，且应满足不同品种的存储温度、湿度要求。自反应物质及其混合物只能在原装容器中存放。</w:t>
                  </w:r>
                </w:p>
              </w:tc>
              <w:tc>
                <w:tcPr>
                  <w:tcW w:w="2818" w:type="dxa"/>
                  <w:vAlign w:val="center"/>
                </w:tcPr>
                <w:p w14:paraId="4BD1E6BD">
                  <w:pPr>
                    <w:spacing w:line="240" w:lineRule="exact"/>
                    <w:rPr>
                      <w:color w:val="auto"/>
                      <w:szCs w:val="21"/>
                      <w:u w:val="single"/>
                    </w:rPr>
                  </w:pPr>
                  <w:r>
                    <w:rPr>
                      <w:rFonts w:hint="eastAsia"/>
                      <w:color w:val="auto"/>
                      <w:szCs w:val="21"/>
                      <w:u w:val="single"/>
                    </w:rPr>
                    <w:t>符合，项目不涉及自反应物质和混合物的储存。</w:t>
                  </w:r>
                </w:p>
              </w:tc>
            </w:tr>
            <w:tr w14:paraId="0A7D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7" w:type="dxa"/>
                  <w:gridSpan w:val="3"/>
                  <w:vAlign w:val="center"/>
                </w:tcPr>
                <w:p w14:paraId="38A79129">
                  <w:pPr>
                    <w:spacing w:line="240" w:lineRule="exact"/>
                    <w:rPr>
                      <w:color w:val="auto"/>
                      <w:szCs w:val="21"/>
                      <w:u w:val="single"/>
                    </w:rPr>
                  </w:pPr>
                  <w:r>
                    <w:rPr>
                      <w:rFonts w:hint="eastAsia"/>
                      <w:color w:val="auto"/>
                      <w:szCs w:val="21"/>
                      <w:u w:val="single"/>
                    </w:rPr>
                    <w:t>4.3安全设施</w:t>
                  </w:r>
                </w:p>
              </w:tc>
            </w:tr>
            <w:tr w14:paraId="1882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563DAB1F">
                  <w:pPr>
                    <w:spacing w:line="240" w:lineRule="exact"/>
                    <w:jc w:val="center"/>
                    <w:rPr>
                      <w:color w:val="auto"/>
                      <w:szCs w:val="21"/>
                      <w:u w:val="single"/>
                    </w:rPr>
                  </w:pPr>
                  <w:r>
                    <w:rPr>
                      <w:rFonts w:hint="eastAsia"/>
                      <w:color w:val="auto"/>
                      <w:szCs w:val="21"/>
                      <w:u w:val="single"/>
                    </w:rPr>
                    <w:t>4.3.1</w:t>
                  </w:r>
                </w:p>
              </w:tc>
              <w:tc>
                <w:tcPr>
                  <w:tcW w:w="3262" w:type="dxa"/>
                  <w:vAlign w:val="center"/>
                </w:tcPr>
                <w:p w14:paraId="47F4BE25">
                  <w:pPr>
                    <w:spacing w:line="240" w:lineRule="exact"/>
                    <w:rPr>
                      <w:color w:val="auto"/>
                      <w:szCs w:val="21"/>
                      <w:u w:val="single"/>
                    </w:rPr>
                  </w:pPr>
                  <w:r>
                    <w:rPr>
                      <w:rFonts w:hint="eastAsia"/>
                      <w:color w:val="auto"/>
                      <w:szCs w:val="21"/>
                      <w:u w:val="single"/>
                    </w:rPr>
                    <w:t>危险化学品库房内的爆炸危险环境电力装置应按GB50058的规定执行。危险化学品库房爆炸危险环境内使用的电瓶车铲车等作业工具应符合防爆要求。</w:t>
                  </w:r>
                </w:p>
              </w:tc>
              <w:tc>
                <w:tcPr>
                  <w:tcW w:w="2818" w:type="dxa"/>
                  <w:vAlign w:val="center"/>
                </w:tcPr>
                <w:p w14:paraId="4D81EB44">
                  <w:pPr>
                    <w:spacing w:line="240" w:lineRule="exact"/>
                    <w:rPr>
                      <w:color w:val="auto"/>
                      <w:szCs w:val="21"/>
                      <w:u w:val="single"/>
                    </w:rPr>
                  </w:pPr>
                  <w:r>
                    <w:rPr>
                      <w:rFonts w:hint="eastAsia"/>
                      <w:color w:val="auto"/>
                      <w:szCs w:val="21"/>
                      <w:u w:val="single"/>
                    </w:rPr>
                    <w:t>符合，危险化学品库内安装电力装置符合GB50058的规定。</w:t>
                  </w:r>
                </w:p>
              </w:tc>
            </w:tr>
            <w:tr w14:paraId="4A8E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151796DF">
                  <w:pPr>
                    <w:spacing w:line="240" w:lineRule="exact"/>
                    <w:jc w:val="center"/>
                    <w:rPr>
                      <w:color w:val="auto"/>
                      <w:szCs w:val="21"/>
                      <w:u w:val="single"/>
                    </w:rPr>
                  </w:pPr>
                  <w:r>
                    <w:rPr>
                      <w:rFonts w:hint="eastAsia"/>
                      <w:color w:val="auto"/>
                      <w:szCs w:val="21"/>
                      <w:u w:val="single"/>
                    </w:rPr>
                    <w:t>4.3.2</w:t>
                  </w:r>
                </w:p>
              </w:tc>
              <w:tc>
                <w:tcPr>
                  <w:tcW w:w="3262" w:type="dxa"/>
                  <w:vAlign w:val="center"/>
                </w:tcPr>
                <w:p w14:paraId="10F8987B">
                  <w:pPr>
                    <w:spacing w:line="240" w:lineRule="exact"/>
                    <w:rPr>
                      <w:color w:val="auto"/>
                      <w:szCs w:val="21"/>
                      <w:u w:val="single"/>
                    </w:rPr>
                  </w:pPr>
                  <w:r>
                    <w:rPr>
                      <w:rFonts w:hint="eastAsia"/>
                      <w:color w:val="auto"/>
                      <w:szCs w:val="21"/>
                      <w:u w:val="single"/>
                    </w:rPr>
                    <w:t>危险化学品仓库防雷、防静电应按GB50057、GB12158的规定执行。</w:t>
                  </w:r>
                </w:p>
              </w:tc>
              <w:tc>
                <w:tcPr>
                  <w:tcW w:w="2818" w:type="dxa"/>
                  <w:vAlign w:val="center"/>
                </w:tcPr>
                <w:p w14:paraId="619CF985">
                  <w:pPr>
                    <w:spacing w:line="240" w:lineRule="exact"/>
                    <w:rPr>
                      <w:color w:val="auto"/>
                      <w:szCs w:val="21"/>
                      <w:u w:val="single"/>
                    </w:rPr>
                  </w:pPr>
                  <w:r>
                    <w:rPr>
                      <w:rFonts w:hint="eastAsia"/>
                      <w:color w:val="auto"/>
                      <w:szCs w:val="21"/>
                      <w:u w:val="single"/>
                    </w:rPr>
                    <w:t>符合，项目危险化学品仓库防雷、防静电按GB50057、GB12158的规定设计。</w:t>
                  </w:r>
                </w:p>
              </w:tc>
            </w:tr>
            <w:tr w14:paraId="38A4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015D5F76">
                  <w:pPr>
                    <w:spacing w:line="240" w:lineRule="exact"/>
                    <w:jc w:val="center"/>
                    <w:rPr>
                      <w:color w:val="auto"/>
                      <w:szCs w:val="21"/>
                      <w:u w:val="single"/>
                    </w:rPr>
                  </w:pPr>
                  <w:r>
                    <w:rPr>
                      <w:rFonts w:hint="eastAsia"/>
                      <w:color w:val="auto"/>
                      <w:szCs w:val="21"/>
                      <w:u w:val="single"/>
                    </w:rPr>
                    <w:t>4.3.3</w:t>
                  </w:r>
                </w:p>
              </w:tc>
              <w:tc>
                <w:tcPr>
                  <w:tcW w:w="3262" w:type="dxa"/>
                  <w:vAlign w:val="center"/>
                </w:tcPr>
                <w:p w14:paraId="3AA3ED54">
                  <w:pPr>
                    <w:spacing w:line="240" w:lineRule="exact"/>
                    <w:rPr>
                      <w:color w:val="auto"/>
                      <w:szCs w:val="21"/>
                      <w:u w:val="single"/>
                    </w:rPr>
                  </w:pPr>
                  <w:r>
                    <w:rPr>
                      <w:rFonts w:hint="eastAsia"/>
                      <w:color w:val="auto"/>
                      <w:szCs w:val="21"/>
                      <w:u w:val="single"/>
                    </w:rPr>
                    <w:t>危险化学品仓库应设置通信、火灾报警装置，有供对外联络的通讯设备，并保证处于适用状态。</w:t>
                  </w:r>
                </w:p>
              </w:tc>
              <w:tc>
                <w:tcPr>
                  <w:tcW w:w="2818" w:type="dxa"/>
                  <w:vAlign w:val="center"/>
                </w:tcPr>
                <w:p w14:paraId="6C4D12AC">
                  <w:pPr>
                    <w:spacing w:line="240" w:lineRule="exact"/>
                    <w:rPr>
                      <w:color w:val="auto"/>
                      <w:szCs w:val="21"/>
                      <w:u w:val="single"/>
                    </w:rPr>
                  </w:pPr>
                  <w:r>
                    <w:rPr>
                      <w:rFonts w:hint="eastAsia"/>
                      <w:color w:val="auto"/>
                      <w:szCs w:val="21"/>
                      <w:u w:val="single"/>
                    </w:rPr>
                    <w:t>符合，项目危险化学品仓库设置通信、火灾报警装置，有供对外联络的通讯设备，保证处于适用状态。</w:t>
                  </w:r>
                </w:p>
              </w:tc>
            </w:tr>
            <w:tr w14:paraId="077E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6537E187">
                  <w:pPr>
                    <w:spacing w:line="240" w:lineRule="exact"/>
                    <w:jc w:val="center"/>
                    <w:rPr>
                      <w:color w:val="auto"/>
                      <w:szCs w:val="21"/>
                      <w:u w:val="single"/>
                    </w:rPr>
                  </w:pPr>
                  <w:r>
                    <w:rPr>
                      <w:rFonts w:hint="eastAsia"/>
                      <w:color w:val="auto"/>
                      <w:szCs w:val="21"/>
                      <w:u w:val="single"/>
                    </w:rPr>
                    <w:t>4.3.4</w:t>
                  </w:r>
                </w:p>
              </w:tc>
              <w:tc>
                <w:tcPr>
                  <w:tcW w:w="3262" w:type="dxa"/>
                  <w:vAlign w:val="center"/>
                </w:tcPr>
                <w:p w14:paraId="7073E119">
                  <w:pPr>
                    <w:spacing w:line="240" w:lineRule="exact"/>
                    <w:rPr>
                      <w:color w:val="auto"/>
                      <w:szCs w:val="21"/>
                      <w:u w:val="single"/>
                    </w:rPr>
                  </w:pPr>
                  <w:r>
                    <w:rPr>
                      <w:rFonts w:hint="eastAsia"/>
                      <w:color w:val="auto"/>
                      <w:szCs w:val="21"/>
                      <w:u w:val="single"/>
                    </w:rPr>
                    <w:t>储存可能散发可燃气体、有毒气体的危险化学品库房应按GB50493的规定配备相应的气体检测报警装置，并与风机联锁。报警信号应传至24h有人值守的场所，并设声光报警器。</w:t>
                  </w:r>
                </w:p>
              </w:tc>
              <w:tc>
                <w:tcPr>
                  <w:tcW w:w="2818" w:type="dxa"/>
                  <w:vAlign w:val="center"/>
                </w:tcPr>
                <w:p w14:paraId="468F43B4">
                  <w:pPr>
                    <w:spacing w:line="240" w:lineRule="exact"/>
                    <w:rPr>
                      <w:color w:val="auto"/>
                      <w:szCs w:val="21"/>
                      <w:u w:val="single"/>
                    </w:rPr>
                  </w:pPr>
                  <w:r>
                    <w:rPr>
                      <w:rFonts w:hint="eastAsia"/>
                      <w:color w:val="auto"/>
                      <w:szCs w:val="21"/>
                      <w:u w:val="single"/>
                    </w:rPr>
                    <w:t>符合，项目不储存可能散发可燃气体、有毒气体的危险化学品。</w:t>
                  </w:r>
                </w:p>
              </w:tc>
            </w:tr>
            <w:tr w14:paraId="651A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177805F3">
                  <w:pPr>
                    <w:spacing w:line="240" w:lineRule="exact"/>
                    <w:jc w:val="center"/>
                    <w:rPr>
                      <w:color w:val="auto"/>
                      <w:szCs w:val="21"/>
                      <w:u w:val="single"/>
                    </w:rPr>
                  </w:pPr>
                  <w:r>
                    <w:rPr>
                      <w:rFonts w:hint="eastAsia"/>
                      <w:color w:val="auto"/>
                      <w:szCs w:val="21"/>
                      <w:u w:val="single"/>
                    </w:rPr>
                    <w:t>4.3.5</w:t>
                  </w:r>
                </w:p>
              </w:tc>
              <w:tc>
                <w:tcPr>
                  <w:tcW w:w="3262" w:type="dxa"/>
                  <w:vAlign w:val="center"/>
                </w:tcPr>
                <w:p w14:paraId="4BF188E9">
                  <w:pPr>
                    <w:spacing w:line="240" w:lineRule="exact"/>
                    <w:rPr>
                      <w:color w:val="auto"/>
                      <w:szCs w:val="21"/>
                      <w:u w:val="single"/>
                    </w:rPr>
                  </w:pPr>
                  <w:r>
                    <w:rPr>
                      <w:rFonts w:hint="eastAsia"/>
                      <w:color w:val="auto"/>
                      <w:szCs w:val="21"/>
                      <w:u w:val="single"/>
                    </w:rPr>
                    <w:t>储存易燃液体的危险化学品库房应设置防液体流散措施。剧毒物品的危险化学品库房应安装通风设备。</w:t>
                  </w:r>
                </w:p>
              </w:tc>
              <w:tc>
                <w:tcPr>
                  <w:tcW w:w="2818" w:type="dxa"/>
                  <w:vAlign w:val="center"/>
                </w:tcPr>
                <w:p w14:paraId="38E76333">
                  <w:pPr>
                    <w:spacing w:line="240" w:lineRule="exact"/>
                    <w:rPr>
                      <w:color w:val="auto"/>
                      <w:szCs w:val="21"/>
                      <w:u w:val="single"/>
                    </w:rPr>
                  </w:pPr>
                  <w:r>
                    <w:rPr>
                      <w:rFonts w:hint="eastAsia"/>
                      <w:color w:val="auto"/>
                      <w:szCs w:val="21"/>
                      <w:u w:val="single"/>
                    </w:rPr>
                    <w:t>符合，项目不储存剧毒和易燃危险化学品。</w:t>
                  </w:r>
                </w:p>
              </w:tc>
            </w:tr>
            <w:tr w14:paraId="5607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7C85CAAC">
                  <w:pPr>
                    <w:spacing w:line="240" w:lineRule="exact"/>
                    <w:jc w:val="center"/>
                    <w:rPr>
                      <w:color w:val="auto"/>
                      <w:szCs w:val="21"/>
                      <w:u w:val="single"/>
                    </w:rPr>
                  </w:pPr>
                  <w:r>
                    <w:rPr>
                      <w:rFonts w:hint="eastAsia"/>
                      <w:color w:val="auto"/>
                      <w:szCs w:val="21"/>
                      <w:u w:val="single"/>
                    </w:rPr>
                    <w:t>4.3.6</w:t>
                  </w:r>
                </w:p>
              </w:tc>
              <w:tc>
                <w:tcPr>
                  <w:tcW w:w="3262" w:type="dxa"/>
                  <w:vAlign w:val="center"/>
                </w:tcPr>
                <w:p w14:paraId="45EAD279">
                  <w:pPr>
                    <w:spacing w:line="240" w:lineRule="exact"/>
                    <w:rPr>
                      <w:color w:val="auto"/>
                      <w:szCs w:val="21"/>
                      <w:u w:val="single"/>
                    </w:rPr>
                  </w:pPr>
                  <w:r>
                    <w:rPr>
                      <w:rFonts w:hint="eastAsia"/>
                      <w:color w:val="auto"/>
                      <w:szCs w:val="21"/>
                      <w:u w:val="single"/>
                    </w:rPr>
                    <w:t>危险化学品仓库应在库区建立全覆盖的视频监控系统。</w:t>
                  </w:r>
                </w:p>
              </w:tc>
              <w:tc>
                <w:tcPr>
                  <w:tcW w:w="2818" w:type="dxa"/>
                  <w:vAlign w:val="center"/>
                </w:tcPr>
                <w:p w14:paraId="5C40848A">
                  <w:pPr>
                    <w:spacing w:line="240" w:lineRule="exact"/>
                    <w:rPr>
                      <w:color w:val="auto"/>
                      <w:szCs w:val="21"/>
                      <w:u w:val="single"/>
                    </w:rPr>
                  </w:pPr>
                  <w:r>
                    <w:rPr>
                      <w:rFonts w:hint="eastAsia"/>
                      <w:color w:val="auto"/>
                      <w:szCs w:val="21"/>
                      <w:u w:val="single"/>
                    </w:rPr>
                    <w:t>符合，危险化学品仓库在库区建立全覆盖的视频监控系统。</w:t>
                  </w:r>
                </w:p>
              </w:tc>
            </w:tr>
            <w:tr w14:paraId="295D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3ADA7ABB">
                  <w:pPr>
                    <w:spacing w:line="240" w:lineRule="exact"/>
                    <w:jc w:val="center"/>
                    <w:rPr>
                      <w:color w:val="auto"/>
                      <w:szCs w:val="21"/>
                      <w:u w:val="single"/>
                    </w:rPr>
                  </w:pPr>
                  <w:r>
                    <w:rPr>
                      <w:rFonts w:hint="eastAsia"/>
                      <w:color w:val="auto"/>
                      <w:szCs w:val="21"/>
                      <w:u w:val="single"/>
                    </w:rPr>
                    <w:t>4.3.7</w:t>
                  </w:r>
                </w:p>
              </w:tc>
              <w:tc>
                <w:tcPr>
                  <w:tcW w:w="3262" w:type="dxa"/>
                  <w:vAlign w:val="center"/>
                </w:tcPr>
                <w:p w14:paraId="3C83B2A2">
                  <w:pPr>
                    <w:spacing w:line="240" w:lineRule="exact"/>
                    <w:rPr>
                      <w:color w:val="auto"/>
                      <w:szCs w:val="21"/>
                      <w:u w:val="single"/>
                    </w:rPr>
                  </w:pPr>
                  <w:r>
                    <w:rPr>
                      <w:rFonts w:hint="eastAsia"/>
                      <w:color w:val="auto"/>
                      <w:szCs w:val="21"/>
                      <w:u w:val="single"/>
                    </w:rPr>
                    <w:t>危险化学品库房、作业场所和安全设施、设备上，应按GB 2894的规定设置明显的安全警示标志。不能用水、泡沫等灭火的危险化学品库房应在库房外适当位置设置醒目标识。</w:t>
                  </w:r>
                </w:p>
              </w:tc>
              <w:tc>
                <w:tcPr>
                  <w:tcW w:w="2818" w:type="dxa"/>
                  <w:vAlign w:val="center"/>
                </w:tcPr>
                <w:p w14:paraId="7DCE6ADE">
                  <w:pPr>
                    <w:spacing w:line="240" w:lineRule="exact"/>
                    <w:rPr>
                      <w:color w:val="auto"/>
                      <w:szCs w:val="21"/>
                      <w:u w:val="single"/>
                    </w:rPr>
                  </w:pPr>
                  <w:r>
                    <w:rPr>
                      <w:rFonts w:hint="eastAsia"/>
                      <w:color w:val="auto"/>
                      <w:szCs w:val="21"/>
                      <w:u w:val="single"/>
                    </w:rPr>
                    <w:t>符合，危险化学品库房、作业场所和安全设施、设备上，应按GB 2894的规定设置明显的安全警示标志。不能用水、泡沫等灭火的危险化学品库房应在库房外适当位置设置醒目标识。</w:t>
                  </w:r>
                </w:p>
              </w:tc>
            </w:tr>
            <w:tr w14:paraId="5063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27DD862D">
                  <w:pPr>
                    <w:spacing w:line="240" w:lineRule="exact"/>
                    <w:jc w:val="center"/>
                    <w:rPr>
                      <w:color w:val="auto"/>
                      <w:szCs w:val="21"/>
                      <w:u w:val="single"/>
                    </w:rPr>
                  </w:pPr>
                  <w:r>
                    <w:rPr>
                      <w:rFonts w:hint="eastAsia"/>
                      <w:color w:val="auto"/>
                      <w:szCs w:val="21"/>
                      <w:u w:val="single"/>
                    </w:rPr>
                    <w:t>4.3.8</w:t>
                  </w:r>
                </w:p>
              </w:tc>
              <w:tc>
                <w:tcPr>
                  <w:tcW w:w="3262" w:type="dxa"/>
                  <w:vAlign w:val="center"/>
                </w:tcPr>
                <w:p w14:paraId="1123E3C0">
                  <w:pPr>
                    <w:spacing w:line="240" w:lineRule="exact"/>
                    <w:rPr>
                      <w:color w:val="auto"/>
                      <w:szCs w:val="21"/>
                      <w:u w:val="single"/>
                    </w:rPr>
                  </w:pPr>
                  <w:r>
                    <w:rPr>
                      <w:rFonts w:hint="eastAsia"/>
                      <w:color w:val="auto"/>
                      <w:szCs w:val="21"/>
                      <w:u w:val="single"/>
                    </w:rPr>
                    <w:t>危险化学品仓库应按GB50016、GB50140的规定设置消防设施和消防器材。</w:t>
                  </w:r>
                </w:p>
              </w:tc>
              <w:tc>
                <w:tcPr>
                  <w:tcW w:w="2818" w:type="dxa"/>
                  <w:vAlign w:val="center"/>
                </w:tcPr>
                <w:p w14:paraId="4D77A977">
                  <w:pPr>
                    <w:spacing w:line="240" w:lineRule="exact"/>
                    <w:rPr>
                      <w:color w:val="auto"/>
                      <w:szCs w:val="21"/>
                      <w:u w:val="single"/>
                    </w:rPr>
                  </w:pPr>
                  <w:r>
                    <w:rPr>
                      <w:rFonts w:hint="eastAsia"/>
                      <w:color w:val="auto"/>
                      <w:szCs w:val="21"/>
                      <w:u w:val="single"/>
                    </w:rPr>
                    <w:t>符合，危险化学品仓库按GB50016、GB50140的规定设置消防设施和消防器材。</w:t>
                  </w:r>
                </w:p>
              </w:tc>
            </w:tr>
            <w:tr w14:paraId="7E95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7" w:type="dxa"/>
                  <w:vAlign w:val="center"/>
                </w:tcPr>
                <w:p w14:paraId="184B3AEE">
                  <w:pPr>
                    <w:spacing w:line="240" w:lineRule="exact"/>
                    <w:jc w:val="center"/>
                    <w:rPr>
                      <w:color w:val="auto"/>
                      <w:szCs w:val="21"/>
                      <w:u w:val="single"/>
                    </w:rPr>
                  </w:pPr>
                  <w:r>
                    <w:rPr>
                      <w:rFonts w:hint="eastAsia"/>
                      <w:color w:val="auto"/>
                      <w:szCs w:val="21"/>
                      <w:u w:val="single"/>
                    </w:rPr>
                    <w:t>4.3.9</w:t>
                  </w:r>
                </w:p>
              </w:tc>
              <w:tc>
                <w:tcPr>
                  <w:tcW w:w="3262" w:type="dxa"/>
                  <w:vAlign w:val="center"/>
                </w:tcPr>
                <w:p w14:paraId="3FE9E18E">
                  <w:pPr>
                    <w:spacing w:line="240" w:lineRule="exact"/>
                    <w:rPr>
                      <w:color w:val="auto"/>
                      <w:szCs w:val="21"/>
                      <w:u w:val="single"/>
                    </w:rPr>
                  </w:pPr>
                  <w:r>
                    <w:rPr>
                      <w:rFonts w:hint="eastAsia"/>
                      <w:color w:val="auto"/>
                      <w:szCs w:val="21"/>
                      <w:u w:val="single"/>
                    </w:rPr>
                    <w:t>危险化学品仓库应按GB30077的规定配备相应的防护装备及应急救援器材、设备、物资，并保障其完好和方便使用。</w:t>
                  </w:r>
                </w:p>
              </w:tc>
              <w:tc>
                <w:tcPr>
                  <w:tcW w:w="2818" w:type="dxa"/>
                  <w:vAlign w:val="center"/>
                </w:tcPr>
                <w:p w14:paraId="22CA3A18">
                  <w:pPr>
                    <w:spacing w:line="240" w:lineRule="exact"/>
                    <w:rPr>
                      <w:color w:val="auto"/>
                      <w:szCs w:val="21"/>
                      <w:u w:val="single"/>
                    </w:rPr>
                  </w:pPr>
                  <w:r>
                    <w:rPr>
                      <w:rFonts w:hint="eastAsia"/>
                      <w:color w:val="auto"/>
                      <w:szCs w:val="21"/>
                      <w:u w:val="single"/>
                    </w:rPr>
                    <w:t>符合，危险化学品仓库按GB30077的规定配备相应的防护装备及应急救援器材、设备、物资，并保障其完好和方便使用。</w:t>
                  </w:r>
                </w:p>
              </w:tc>
            </w:tr>
          </w:tbl>
          <w:p w14:paraId="5AE3981E">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7、</w:t>
            </w:r>
            <w:r>
              <w:rPr>
                <w:rFonts w:hint="eastAsia" w:ascii="Times New Roman" w:hAnsi="Times New Roman" w:eastAsia="宋体" w:cs="Times New Roman"/>
                <w:color w:val="auto"/>
                <w:kern w:val="0"/>
                <w:sz w:val="24"/>
                <w:lang w:val="en-US" w:eastAsia="zh-CN"/>
              </w:rPr>
              <w:t>项目与《广西红树林资源保护规划（2020-2030年）》相符性分析</w:t>
            </w:r>
          </w:p>
          <w:p w14:paraId="038178CC">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广西红树林资源保护规划（2020-2030年）中设有禁止开发建设的红树林区域、限制开发建设的红树林区域、红树林生态修复规划区域。</w:t>
            </w:r>
          </w:p>
          <w:p w14:paraId="29DBF0A8">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项目北面约</w:t>
            </w:r>
            <w:r>
              <w:rPr>
                <w:rFonts w:hint="eastAsia" w:cs="Times New Roman"/>
                <w:color w:val="auto"/>
                <w:kern w:val="0"/>
                <w:sz w:val="24"/>
                <w:lang w:val="en-US" w:eastAsia="zh-CN"/>
              </w:rPr>
              <w:t>576</w:t>
            </w:r>
            <w:r>
              <w:rPr>
                <w:rFonts w:hint="eastAsia" w:ascii="Times New Roman" w:hAnsi="Times New Roman" w:eastAsia="宋体" w:cs="Times New Roman"/>
                <w:color w:val="auto"/>
                <w:kern w:val="0"/>
                <w:sz w:val="24"/>
                <w:lang w:val="en-US" w:eastAsia="zh-CN"/>
              </w:rPr>
              <w:t>m处存在限制开发的红树林区域、红树林生态修复规划区域，本项目占地不占用上述区域。</w:t>
            </w:r>
          </w:p>
          <w:p w14:paraId="1FBBCC82">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项目西面</w:t>
            </w:r>
            <w:r>
              <w:rPr>
                <w:rFonts w:hint="eastAsia" w:cs="Times New Roman"/>
                <w:color w:val="auto"/>
                <w:kern w:val="0"/>
                <w:sz w:val="24"/>
                <w:lang w:val="en-US" w:eastAsia="zh-CN"/>
              </w:rPr>
              <w:t>3700</w:t>
            </w:r>
            <w:r>
              <w:rPr>
                <w:rFonts w:hint="eastAsia" w:ascii="Times New Roman" w:hAnsi="Times New Roman" w:eastAsia="宋体" w:cs="Times New Roman"/>
                <w:color w:val="auto"/>
                <w:kern w:val="0"/>
                <w:sz w:val="24"/>
                <w:lang w:val="en-US" w:eastAsia="zh-CN"/>
              </w:rPr>
              <w:t>m处分布有广西壮族自治区茅尾海红树林自然保护区（七十二泾片区），该片区域属于禁止开发的红树林区域，项目占地不涉及该区域，</w:t>
            </w:r>
            <w:r>
              <w:rPr>
                <w:rFonts w:hint="eastAsia" w:cs="Times New Roman"/>
                <w:color w:val="auto"/>
                <w:kern w:val="0"/>
                <w:sz w:val="24"/>
                <w:lang w:val="en-US" w:eastAsia="zh-CN"/>
              </w:rPr>
              <w:t>项目</w:t>
            </w:r>
            <w:r>
              <w:rPr>
                <w:rFonts w:hint="eastAsia" w:ascii="Times New Roman" w:hAnsi="Times New Roman" w:eastAsia="宋体" w:cs="Times New Roman"/>
                <w:color w:val="auto"/>
                <w:kern w:val="0"/>
                <w:sz w:val="24"/>
                <w:lang w:val="en-US" w:eastAsia="zh-CN"/>
              </w:rPr>
              <w:t>环境风险中大气评价范围涉及。</w:t>
            </w:r>
          </w:p>
          <w:p w14:paraId="31BA3755">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综上，项目符合《广西红树林资源保护规划（2020-2030年）》。</w:t>
            </w:r>
          </w:p>
          <w:p w14:paraId="37F0EB74">
            <w:pPr>
              <w:pStyle w:val="6"/>
              <w:numPr>
                <w:ilvl w:val="0"/>
                <w:numId w:val="0"/>
              </w:numPr>
              <w:spacing w:line="500" w:lineRule="exact"/>
              <w:ind w:firstLine="480" w:firstLineChars="200"/>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8、</w:t>
            </w:r>
            <w:r>
              <w:rPr>
                <w:rFonts w:hint="eastAsia" w:ascii="Times New Roman" w:hAnsi="Times New Roman" w:eastAsia="宋体" w:cs="Times New Roman"/>
                <w:color w:val="auto"/>
                <w:kern w:val="0"/>
                <w:sz w:val="24"/>
                <w:lang w:val="en-US" w:eastAsia="zh-CN"/>
              </w:rPr>
              <w:t>与《地下水管理条例》（2021年12月1日起施行）第四十二条符合性分析</w:t>
            </w:r>
          </w:p>
          <w:p w14:paraId="5ED00C47">
            <w:pPr>
              <w:pStyle w:val="6"/>
              <w:spacing w:line="500" w:lineRule="exact"/>
              <w:ind w:firstLine="482"/>
              <w:jc w:val="center"/>
              <w:rPr>
                <w:rFonts w:hint="eastAsia" w:ascii="Times New Roman" w:hAnsi="Times New Roman" w:eastAsia="宋体" w:cs="Times New Roman"/>
                <w:b/>
                <w:bCs/>
                <w:color w:val="auto"/>
                <w:kern w:val="0"/>
                <w:sz w:val="24"/>
                <w:lang w:val="en-GB"/>
              </w:rPr>
            </w:pPr>
            <w:r>
              <w:rPr>
                <w:rFonts w:hint="eastAsia" w:ascii="Times New Roman" w:hAnsi="Times New Roman" w:eastAsia="宋体" w:cs="Times New Roman"/>
                <w:b/>
                <w:bCs/>
                <w:color w:val="auto"/>
                <w:kern w:val="0"/>
                <w:sz w:val="24"/>
                <w:lang w:val="en-GB"/>
              </w:rPr>
              <w:t>表1-</w:t>
            </w:r>
            <w:r>
              <w:rPr>
                <w:rFonts w:hint="eastAsia" w:cs="Times New Roman"/>
                <w:b/>
                <w:bCs/>
                <w:color w:val="auto"/>
                <w:kern w:val="0"/>
                <w:sz w:val="24"/>
                <w:lang w:val="en-US" w:eastAsia="zh-CN"/>
              </w:rPr>
              <w:t>8</w:t>
            </w:r>
            <w:r>
              <w:rPr>
                <w:rFonts w:hint="eastAsia" w:ascii="Times New Roman" w:hAnsi="Times New Roman" w:eastAsia="宋体" w:cs="Times New Roman"/>
                <w:b/>
                <w:bCs/>
                <w:color w:val="auto"/>
                <w:kern w:val="0"/>
                <w:sz w:val="24"/>
                <w:lang w:val="en-GB" w:eastAsia="zh-CN"/>
              </w:rPr>
              <w:t>与</w:t>
            </w:r>
            <w:r>
              <w:rPr>
                <w:rFonts w:hint="eastAsia" w:ascii="Times New Roman" w:hAnsi="Times New Roman" w:eastAsia="宋体" w:cs="Times New Roman"/>
                <w:b/>
                <w:bCs/>
                <w:color w:val="auto"/>
                <w:kern w:val="0"/>
                <w:sz w:val="24"/>
                <w:lang w:val="en-GB"/>
              </w:rPr>
              <w:t>《地下水管理条例》的相符性分析</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3060"/>
              <w:gridCol w:w="2883"/>
            </w:tblGrid>
            <w:tr w14:paraId="2D74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44" w:type="dxa"/>
                  <w:noWrap w:val="0"/>
                  <w:vAlign w:val="center"/>
                </w:tcPr>
                <w:p w14:paraId="253C7CE8">
                  <w:pPr>
                    <w:spacing w:line="240" w:lineRule="exact"/>
                    <w:jc w:val="center"/>
                    <w:rPr>
                      <w:rFonts w:hint="eastAsia" w:eastAsia="宋体"/>
                      <w:szCs w:val="21"/>
                      <w:lang w:eastAsia="zh-CN"/>
                    </w:rPr>
                  </w:pPr>
                  <w:r>
                    <w:rPr>
                      <w:rFonts w:hint="eastAsia"/>
                      <w:szCs w:val="21"/>
                      <w:lang w:eastAsia="zh-CN"/>
                    </w:rPr>
                    <w:t>序号</w:t>
                  </w:r>
                </w:p>
              </w:tc>
              <w:tc>
                <w:tcPr>
                  <w:tcW w:w="3060" w:type="dxa"/>
                  <w:noWrap w:val="0"/>
                  <w:vAlign w:val="center"/>
                </w:tcPr>
                <w:p w14:paraId="029F6421">
                  <w:pPr>
                    <w:spacing w:line="240" w:lineRule="exact"/>
                    <w:jc w:val="center"/>
                    <w:rPr>
                      <w:szCs w:val="21"/>
                    </w:rPr>
                  </w:pPr>
                  <w:r>
                    <w:rPr>
                      <w:rFonts w:hint="eastAsia"/>
                      <w:szCs w:val="21"/>
                    </w:rPr>
                    <w:t>相关内容</w:t>
                  </w:r>
                </w:p>
              </w:tc>
              <w:tc>
                <w:tcPr>
                  <w:tcW w:w="2883" w:type="dxa"/>
                  <w:noWrap w:val="0"/>
                  <w:vAlign w:val="center"/>
                </w:tcPr>
                <w:p w14:paraId="5CCEC8C2">
                  <w:pPr>
                    <w:spacing w:line="240" w:lineRule="exact"/>
                    <w:jc w:val="center"/>
                    <w:rPr>
                      <w:szCs w:val="21"/>
                    </w:rPr>
                  </w:pPr>
                  <w:r>
                    <w:rPr>
                      <w:rFonts w:hint="eastAsia"/>
                      <w:szCs w:val="21"/>
                    </w:rPr>
                    <w:t>相符性分析</w:t>
                  </w:r>
                </w:p>
              </w:tc>
            </w:tr>
            <w:tr w14:paraId="3FAF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844" w:type="dxa"/>
                  <w:noWrap w:val="0"/>
                  <w:vAlign w:val="center"/>
                </w:tcPr>
                <w:p w14:paraId="5E7FC359">
                  <w:pPr>
                    <w:spacing w:line="240" w:lineRule="exact"/>
                    <w:jc w:val="center"/>
                    <w:rPr>
                      <w:rFonts w:hint="default" w:eastAsia="宋体"/>
                      <w:szCs w:val="21"/>
                      <w:lang w:val="en-US" w:eastAsia="zh-CN"/>
                    </w:rPr>
                  </w:pPr>
                  <w:r>
                    <w:rPr>
                      <w:rFonts w:hint="eastAsia" w:eastAsia="宋体"/>
                      <w:szCs w:val="21"/>
                      <w:lang w:val="en-US" w:eastAsia="zh-CN"/>
                    </w:rPr>
                    <w:t>1</w:t>
                  </w:r>
                </w:p>
              </w:tc>
              <w:tc>
                <w:tcPr>
                  <w:tcW w:w="3060" w:type="dxa"/>
                  <w:noWrap w:val="0"/>
                  <w:vAlign w:val="center"/>
                </w:tcPr>
                <w:p w14:paraId="5EC1B773">
                  <w:pPr>
                    <w:spacing w:line="240" w:lineRule="exact"/>
                    <w:jc w:val="left"/>
                    <w:rPr>
                      <w:rFonts w:hint="eastAsia" w:eastAsia="宋体"/>
                      <w:szCs w:val="21"/>
                      <w:lang w:eastAsia="zh-CN"/>
                    </w:rPr>
                  </w:pPr>
                  <w:r>
                    <w:rPr>
                      <w:rFonts w:hint="eastAsia" w:eastAsia="宋体"/>
                      <w:szCs w:val="21"/>
                      <w:lang w:eastAsia="zh-CN"/>
                    </w:rPr>
                    <w:t>第四十二条 在泉域保护范围以及岩溶强发育、存在较多落水洞和岩溶漏斗的区域内，不得新建、改建、扩建可能造成地下水污染的建设项目。</w:t>
                  </w:r>
                </w:p>
              </w:tc>
              <w:tc>
                <w:tcPr>
                  <w:tcW w:w="2883" w:type="dxa"/>
                  <w:noWrap w:val="0"/>
                  <w:vAlign w:val="center"/>
                </w:tcPr>
                <w:p w14:paraId="02D56521">
                  <w:pPr>
                    <w:spacing w:line="240" w:lineRule="exact"/>
                    <w:rPr>
                      <w:rFonts w:hint="default" w:eastAsia="宋体"/>
                      <w:szCs w:val="21"/>
                      <w:lang w:val="en-US" w:eastAsia="zh-CN"/>
                    </w:rPr>
                  </w:pPr>
                  <w:r>
                    <w:rPr>
                      <w:rFonts w:hint="eastAsia" w:eastAsia="宋体"/>
                      <w:szCs w:val="21"/>
                      <w:lang w:eastAsia="zh-CN"/>
                    </w:rPr>
                    <w:t>符合，</w:t>
                  </w:r>
                  <w:r>
                    <w:rPr>
                      <w:rFonts w:hint="eastAsia" w:eastAsia="宋体"/>
                      <w:szCs w:val="21"/>
                      <w:lang w:val="en-US" w:eastAsia="zh-CN"/>
                    </w:rPr>
                    <w:t>本项目地块不涉及岩溶强发育、存在较多落水洞和岩溶漏斗的区域。</w:t>
                  </w:r>
                </w:p>
              </w:tc>
            </w:tr>
          </w:tbl>
          <w:p w14:paraId="2FEFD9C2">
            <w:pPr>
              <w:pStyle w:val="6"/>
              <w:numPr>
                <w:ilvl w:val="0"/>
                <w:numId w:val="0"/>
              </w:numPr>
              <w:spacing w:line="500" w:lineRule="exact"/>
              <w:rPr>
                <w:rFonts w:hint="default" w:ascii="Times New Roman" w:hAnsi="Times New Roman" w:eastAsia="宋体" w:cs="Times New Roman"/>
                <w:b w:val="0"/>
                <w:bCs w:val="0"/>
                <w:color w:val="auto"/>
                <w:kern w:val="0"/>
                <w:sz w:val="24"/>
                <w:lang w:val="en-US" w:eastAsia="zh-CN"/>
              </w:rPr>
            </w:pPr>
          </w:p>
          <w:p w14:paraId="209D611A">
            <w:pPr>
              <w:pStyle w:val="6"/>
              <w:numPr>
                <w:ilvl w:val="0"/>
                <w:numId w:val="0"/>
              </w:numPr>
              <w:spacing w:line="500" w:lineRule="exact"/>
              <w:rPr>
                <w:rFonts w:hint="default" w:ascii="Times New Roman" w:hAnsi="Times New Roman" w:eastAsia="宋体" w:cs="Times New Roman"/>
                <w:b w:val="0"/>
                <w:bCs w:val="0"/>
                <w:color w:val="auto"/>
                <w:kern w:val="0"/>
                <w:sz w:val="24"/>
                <w:lang w:val="en-US" w:eastAsia="zh-CN"/>
              </w:rPr>
            </w:pPr>
          </w:p>
          <w:p w14:paraId="30E0059C">
            <w:pPr>
              <w:pStyle w:val="6"/>
              <w:ind w:firstLine="0" w:firstLineChars="0"/>
              <w:rPr>
                <w:szCs w:val="21"/>
              </w:rPr>
            </w:pPr>
          </w:p>
        </w:tc>
      </w:tr>
    </w:tbl>
    <w:p w14:paraId="5A8D49F4">
      <w:pPr>
        <w:spacing w:line="360" w:lineRule="auto"/>
        <w:outlineLvl w:val="0"/>
        <w:rPr>
          <w:rFonts w:eastAsia="黑体"/>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AB6D898">
      <w:pPr>
        <w:pStyle w:val="17"/>
        <w:jc w:val="center"/>
        <w:outlineLvl w:val="0"/>
        <w:rPr>
          <w:rFonts w:ascii="黑体" w:hAnsi="黑体" w:eastAsia="黑体"/>
          <w:snapToGrid w:val="0"/>
          <w:sz w:val="30"/>
          <w:szCs w:val="30"/>
        </w:rPr>
      </w:pPr>
      <w:bookmarkStart w:id="7" w:name="_Toc13367"/>
      <w:bookmarkStart w:id="8" w:name="_Toc2404"/>
      <w:r>
        <w:rPr>
          <w:rFonts w:hint="eastAsia" w:ascii="黑体" w:hAnsi="黑体" w:eastAsia="黑体"/>
          <w:snapToGrid w:val="0"/>
          <w:sz w:val="30"/>
          <w:szCs w:val="30"/>
        </w:rPr>
        <w:t>二、建设项目工程分析</w:t>
      </w:r>
      <w:bookmarkEnd w:id="7"/>
      <w:bookmarkEnd w:id="8"/>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8639"/>
      </w:tblGrid>
      <w:tr w14:paraId="02EBD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23" w:type="dxa"/>
            <w:noWrap w:val="0"/>
            <w:vAlign w:val="center"/>
          </w:tcPr>
          <w:p w14:paraId="1EE57C08">
            <w:pPr>
              <w:pStyle w:val="17"/>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637" w:type="dxa"/>
            <w:noWrap w:val="0"/>
            <w:vAlign w:val="top"/>
          </w:tcPr>
          <w:p w14:paraId="4EF1B8F9">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项目来由：</w:t>
            </w:r>
          </w:p>
          <w:p w14:paraId="74D43098">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广西志得实业有限公司位于钦州市中国（广西）自由贸易试验区钦州港片区金鼓江西岸，于2016年5月建设广西钦州志得物流中心项目，主要从事一般货物贮存和矿石加工。现有工程环保手续办理情况如下：</w:t>
            </w:r>
          </w:p>
          <w:p w14:paraId="2784801A">
            <w:pPr>
              <w:pStyle w:val="6"/>
              <w:spacing w:line="500" w:lineRule="exact"/>
              <w:ind w:firstLine="480"/>
              <w:rPr>
                <w:rFonts w:hint="eastAsia" w:ascii="Times New Roman" w:hAnsi="Times New Roman" w:eastAsia="宋体" w:cs="Times New Roman"/>
                <w:kern w:val="0"/>
                <w:sz w:val="24"/>
                <w:u w:val="none"/>
                <w:lang w:val="en-US" w:eastAsia="zh-CN"/>
              </w:rPr>
            </w:pPr>
            <w:r>
              <w:rPr>
                <w:rFonts w:hint="eastAsia" w:ascii="Times New Roman" w:hAnsi="Times New Roman" w:eastAsia="宋体" w:cs="Times New Roman"/>
                <w:kern w:val="0"/>
                <w:sz w:val="24"/>
                <w:u w:val="none"/>
                <w:lang w:val="en-US" w:eastAsia="zh-CN"/>
              </w:rPr>
              <w:t>现有工程环评报告表于2016年5月31日取得钦州市生态环境局（原钦州市环境保护局）文件《关于广西钦州志得物流中心项目环境影响报告表的批复》，（钦港环管字〔2016〕13号）；</w:t>
            </w:r>
          </w:p>
          <w:p w14:paraId="721E5B90">
            <w:pPr>
              <w:pStyle w:val="6"/>
              <w:spacing w:line="500" w:lineRule="exact"/>
              <w:ind w:firstLine="480"/>
              <w:rPr>
                <w:rFonts w:hint="eastAsia" w:ascii="Times New Roman" w:hAnsi="Times New Roman" w:eastAsia="宋体" w:cs="Times New Roman"/>
                <w:kern w:val="0"/>
                <w:sz w:val="24"/>
                <w:u w:val="none"/>
                <w:lang w:val="en-US" w:eastAsia="zh-CN"/>
              </w:rPr>
            </w:pPr>
            <w:r>
              <w:rPr>
                <w:rFonts w:hint="eastAsia" w:ascii="Times New Roman" w:hAnsi="Times New Roman" w:eastAsia="宋体" w:cs="Times New Roman"/>
                <w:kern w:val="0"/>
                <w:sz w:val="24"/>
                <w:u w:val="none"/>
                <w:lang w:val="en-US" w:eastAsia="zh-CN"/>
              </w:rPr>
              <w:t>现有工程于2019年10月28日通过水、气、声自主验收，2020年1月8日取得钦州市生态环境局文件《钦州市生态环境局关于广西钦州志得物料中心项目固体废物环境保护设施竣工验收申请的批复》，（钦港环验字〔2020〕3号）。</w:t>
            </w:r>
          </w:p>
          <w:p w14:paraId="06574355">
            <w:pPr>
              <w:pStyle w:val="6"/>
              <w:spacing w:line="500" w:lineRule="exact"/>
              <w:ind w:firstLine="480"/>
              <w:rPr>
                <w:rFonts w:hint="eastAsia" w:ascii="Times New Roman" w:hAnsi="Times New Roman" w:eastAsia="宋体" w:cs="Times New Roman"/>
                <w:kern w:val="0"/>
                <w:sz w:val="24"/>
                <w:u w:val="none"/>
                <w:lang w:val="en-US" w:eastAsia="zh-CN"/>
              </w:rPr>
            </w:pPr>
            <w:r>
              <w:rPr>
                <w:rFonts w:hint="eastAsia" w:ascii="Times New Roman" w:hAnsi="Times New Roman" w:eastAsia="宋体" w:cs="Times New Roman"/>
                <w:kern w:val="0"/>
                <w:sz w:val="24"/>
                <w:u w:val="none"/>
                <w:lang w:val="en-US" w:eastAsia="zh-CN"/>
              </w:rPr>
              <w:t>2016年6月23日钦州市工商行政管理局同意建设单位将“广西钦州志得物流有限公司”将企业名称变更为“广西志得实业有限公司”。</w:t>
            </w:r>
          </w:p>
          <w:p w14:paraId="40255C05">
            <w:pPr>
              <w:pStyle w:val="6"/>
              <w:spacing w:line="500" w:lineRule="exact"/>
              <w:ind w:firstLine="480"/>
              <w:rPr>
                <w:rFonts w:hint="default" w:ascii="Times New Roman" w:hAnsi="Times New Roman" w:eastAsia="宋体" w:cs="Times New Roman"/>
                <w:kern w:val="0"/>
                <w:sz w:val="24"/>
                <w:lang w:val="en-US" w:eastAsia="zh-CN"/>
              </w:rPr>
            </w:pPr>
            <w:r>
              <w:rPr>
                <w:rFonts w:hint="eastAsia" w:cs="Times New Roman"/>
                <w:kern w:val="0"/>
                <w:sz w:val="24"/>
                <w:lang w:val="en-US" w:eastAsia="zh-CN"/>
              </w:rPr>
              <w:t>现</w:t>
            </w:r>
            <w:r>
              <w:rPr>
                <w:rFonts w:hint="eastAsia" w:ascii="Times New Roman" w:hAnsi="Times New Roman" w:eastAsia="宋体" w:cs="Times New Roman"/>
                <w:kern w:val="0"/>
                <w:sz w:val="24"/>
                <w:lang w:val="en-US" w:eastAsia="zh-CN"/>
              </w:rPr>
              <w:t>为了企业的发展和区域危险化学品仓储需求，广西志得实业有限公司拟对2号仓库由一般货物仓库改造成危险化学品仓库，并新建4号、5号危险化学品仓库，危险化学品全过程为原包装进出，不进行任何分装、灌装等作业。</w:t>
            </w:r>
            <w:r>
              <w:rPr>
                <w:rFonts w:hint="eastAsia" w:cs="Times New Roman"/>
                <w:kern w:val="0"/>
                <w:sz w:val="24"/>
                <w:u w:val="none"/>
                <w:lang w:val="en-US" w:eastAsia="zh-CN"/>
              </w:rPr>
              <w:t>项目备案分三期建设，由于二期、三期建设内容未进行详细规划设计，故本次评价仅对一期建设内容（改建2号仓库、新建4号、5号危险化学品仓库及配套工程）进行评价。</w:t>
            </w:r>
          </w:p>
          <w:p w14:paraId="2C34FAC6">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根据《中华人民共和国环境影响评价法</w:t>
            </w:r>
            <w:r>
              <w:rPr>
                <w:rFonts w:hint="eastAsia" w:cs="Times New Roman"/>
                <w:kern w:val="0"/>
                <w:sz w:val="24"/>
                <w:lang w:val="en-US" w:eastAsia="zh-CN"/>
              </w:rPr>
              <w:t>》《</w:t>
            </w:r>
            <w:r>
              <w:rPr>
                <w:rFonts w:hint="eastAsia" w:ascii="Times New Roman" w:hAnsi="Times New Roman" w:eastAsia="宋体" w:cs="Times New Roman"/>
                <w:kern w:val="0"/>
                <w:sz w:val="24"/>
                <w:lang w:val="en-US" w:eastAsia="zh-CN"/>
              </w:rPr>
              <w:t>建设项目环境保护管理条例》（国务院令第682号），</w:t>
            </w:r>
            <w:r>
              <w:rPr>
                <w:rFonts w:hint="eastAsia" w:cs="Times New Roman"/>
                <w:kern w:val="0"/>
                <w:sz w:val="24"/>
                <w:lang w:val="en-US" w:eastAsia="zh-CN"/>
              </w:rPr>
              <w:t>改</w:t>
            </w:r>
            <w:r>
              <w:rPr>
                <w:rFonts w:hint="eastAsia" w:ascii="Times New Roman" w:hAnsi="Times New Roman" w:eastAsia="宋体" w:cs="Times New Roman"/>
                <w:kern w:val="0"/>
                <w:sz w:val="24"/>
                <w:lang w:val="en-US" w:eastAsia="zh-CN"/>
              </w:rPr>
              <w:t>扩建项目应进行环境影响评价工作。为此，广西志得实业有限公司委托我公司承担</w:t>
            </w:r>
            <w:r>
              <w:rPr>
                <w:rFonts w:hint="eastAsia" w:cs="Times New Roman"/>
                <w:color w:val="auto"/>
                <w:kern w:val="0"/>
                <w:sz w:val="24"/>
                <w:lang w:val="en-US" w:eastAsia="zh-CN"/>
              </w:rPr>
              <w:t>钦州石化产业园区志得化学品仓储物流项目（一期）</w:t>
            </w:r>
            <w:r>
              <w:rPr>
                <w:rFonts w:hint="eastAsia" w:ascii="Times New Roman" w:hAnsi="Times New Roman" w:eastAsia="宋体" w:cs="Times New Roman"/>
                <w:kern w:val="0"/>
                <w:sz w:val="24"/>
                <w:lang w:val="en-US" w:eastAsia="zh-CN"/>
              </w:rPr>
              <w:t>的环境影响评价工作。</w:t>
            </w:r>
            <w:r>
              <w:rPr>
                <w:rFonts w:hint="eastAsia" w:cs="Times New Roman"/>
                <w:kern w:val="0"/>
                <w:sz w:val="24"/>
                <w:lang w:val="en-US" w:eastAsia="zh-CN"/>
              </w:rPr>
              <w:t>改</w:t>
            </w:r>
            <w:r>
              <w:rPr>
                <w:rFonts w:hint="eastAsia" w:ascii="Times New Roman" w:hAnsi="Times New Roman" w:eastAsia="宋体" w:cs="Times New Roman"/>
                <w:kern w:val="0"/>
                <w:sz w:val="24"/>
                <w:lang w:val="en-US" w:eastAsia="zh-CN"/>
              </w:rPr>
              <w:t>扩建项目从事危险化学品储存，在《国民经济行业分类》（GBT4754-2017）中属于“N5942危险化学品仓储”，属于《建设项目环境影响评价分类管理名录》（2021年版）“五十三、装卸搬运和仓储业 59”中的“危险品仓储 594（不含加油站的油库；不含加气站的气库）”中的“其他（含有毒、有害、危险品的仓储；含液化天然气库）”，需编制环评报告表。</w:t>
            </w:r>
          </w:p>
          <w:p w14:paraId="53411FED">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我公司</w:t>
            </w:r>
            <w:r>
              <w:rPr>
                <w:rFonts w:hint="eastAsia" w:cs="Times New Roman"/>
                <w:kern w:val="0"/>
                <w:sz w:val="24"/>
                <w:lang w:val="en-US" w:eastAsia="zh-CN"/>
              </w:rPr>
              <w:t>接受</w:t>
            </w:r>
            <w:r>
              <w:rPr>
                <w:rFonts w:hint="eastAsia" w:ascii="Times New Roman" w:hAnsi="Times New Roman" w:eastAsia="宋体" w:cs="Times New Roman"/>
                <w:kern w:val="0"/>
                <w:sz w:val="24"/>
                <w:lang w:val="en-US" w:eastAsia="zh-CN"/>
              </w:rPr>
              <w:t>委托后，成立项目环境影响评价工作小组，在组织有关人员进行现场</w:t>
            </w:r>
            <w:r>
              <w:rPr>
                <w:rFonts w:hint="eastAsia" w:cs="Times New Roman"/>
                <w:kern w:val="0"/>
                <w:sz w:val="24"/>
                <w:lang w:val="en-US" w:eastAsia="zh-CN"/>
              </w:rPr>
              <w:t>勘查</w:t>
            </w:r>
            <w:r>
              <w:rPr>
                <w:rFonts w:hint="eastAsia" w:ascii="Times New Roman" w:hAnsi="Times New Roman" w:eastAsia="宋体" w:cs="Times New Roman"/>
                <w:kern w:val="0"/>
                <w:sz w:val="24"/>
                <w:lang w:val="en-US" w:eastAsia="zh-CN"/>
              </w:rPr>
              <w:t>和资料收集的基础上，依据国家和地方相关法律法规及有关规定，严格按照环境影响评价技术导则要求，编制《</w:t>
            </w:r>
            <w:r>
              <w:rPr>
                <w:rFonts w:hint="eastAsia" w:cs="Times New Roman"/>
                <w:kern w:val="0"/>
                <w:sz w:val="24"/>
                <w:lang w:val="en-US" w:eastAsia="zh-CN"/>
              </w:rPr>
              <w:t>钦州石化产业园区志得化学品仓储物流项目（一期）</w:t>
            </w:r>
            <w:r>
              <w:rPr>
                <w:rFonts w:hint="eastAsia" w:ascii="Times New Roman" w:hAnsi="Times New Roman" w:eastAsia="宋体" w:cs="Times New Roman"/>
                <w:kern w:val="0"/>
                <w:sz w:val="24"/>
                <w:lang w:val="en-US" w:eastAsia="zh-CN"/>
              </w:rPr>
              <w:t>环境影响报告表》，供建设单位上报审批。</w:t>
            </w:r>
          </w:p>
          <w:p w14:paraId="26F5BBD2">
            <w:pPr>
              <w:pStyle w:val="6"/>
              <w:spacing w:line="500" w:lineRule="exact"/>
              <w:ind w:firstLine="480"/>
              <w:rPr>
                <w:rFonts w:hint="eastAsia" w:ascii="Times New Roman" w:hAnsi="Times New Roman" w:eastAsia="宋体" w:cs="Times New Roman"/>
                <w:kern w:val="0"/>
                <w:sz w:val="24"/>
                <w:lang w:val="en-US" w:eastAsia="zh-CN"/>
              </w:rPr>
            </w:pPr>
            <w:r>
              <w:rPr>
                <w:rFonts w:hint="eastAsia" w:cs="Times New Roman"/>
                <w:kern w:val="0"/>
                <w:sz w:val="24"/>
                <w:lang w:val="en-US" w:eastAsia="zh-CN"/>
              </w:rPr>
              <w:t>1</w:t>
            </w:r>
            <w:r>
              <w:rPr>
                <w:rFonts w:hint="eastAsia" w:ascii="Times New Roman" w:hAnsi="Times New Roman" w:eastAsia="宋体" w:cs="Times New Roman"/>
                <w:kern w:val="0"/>
                <w:sz w:val="24"/>
                <w:lang w:val="en-US" w:eastAsia="zh-CN"/>
              </w:rPr>
              <w:t>、项目组成</w:t>
            </w:r>
          </w:p>
          <w:p w14:paraId="30A43B77">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项目投资</w:t>
            </w:r>
            <w:r>
              <w:rPr>
                <w:rFonts w:hint="eastAsia" w:cs="Times New Roman"/>
                <w:color w:val="auto"/>
                <w:kern w:val="0"/>
                <w:sz w:val="24"/>
                <w:lang w:val="en-US" w:eastAsia="zh-CN"/>
              </w:rPr>
              <w:t>17000</w:t>
            </w:r>
            <w:r>
              <w:rPr>
                <w:rFonts w:hint="eastAsia" w:ascii="Times New Roman" w:hAnsi="Times New Roman" w:eastAsia="宋体" w:cs="Times New Roman"/>
                <w:color w:val="auto"/>
                <w:kern w:val="0"/>
                <w:sz w:val="24"/>
                <w:lang w:val="en-US" w:eastAsia="zh-CN"/>
              </w:rPr>
              <w:t>万元。</w:t>
            </w:r>
            <w:r>
              <w:rPr>
                <w:rFonts w:hint="eastAsia" w:cs="Times New Roman"/>
                <w:color w:val="auto"/>
                <w:kern w:val="0"/>
                <w:sz w:val="24"/>
                <w:lang w:val="en-US" w:eastAsia="zh-CN"/>
              </w:rPr>
              <w:t>根据项目备案，备案建设内容分为三期建设</w:t>
            </w:r>
            <w:r>
              <w:rPr>
                <w:rFonts w:hint="eastAsia" w:ascii="Times New Roman" w:hAnsi="Times New Roman" w:eastAsia="宋体" w:cs="Times New Roman"/>
                <w:color w:val="auto"/>
                <w:kern w:val="0"/>
                <w:sz w:val="24"/>
                <w:lang w:val="en-US" w:eastAsia="zh-CN"/>
              </w:rPr>
              <w:t>，</w:t>
            </w:r>
            <w:r>
              <w:rPr>
                <w:rFonts w:hint="eastAsia" w:cs="Times New Roman"/>
                <w:color w:val="auto"/>
                <w:kern w:val="0"/>
                <w:sz w:val="24"/>
                <w:lang w:val="en-US" w:eastAsia="zh-CN"/>
              </w:rPr>
              <w:t>一</w:t>
            </w:r>
            <w:r>
              <w:rPr>
                <w:rFonts w:hint="eastAsia" w:ascii="Times New Roman" w:hAnsi="Times New Roman" w:eastAsia="宋体" w:cs="Times New Roman"/>
                <w:color w:val="auto"/>
                <w:kern w:val="0"/>
                <w:sz w:val="24"/>
                <w:lang w:val="en-US" w:eastAsia="zh-CN"/>
              </w:rPr>
              <w:t>期改扩建危险品仓库三座</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占地面积15000</w:t>
            </w:r>
            <w:r>
              <w:rPr>
                <w:rFonts w:hint="eastAsia" w:cs="Times New Roman"/>
                <w:color w:val="auto"/>
                <w:kern w:val="0"/>
                <w:sz w:val="24"/>
                <w:lang w:val="en-US" w:eastAsia="zh-CN"/>
              </w:rPr>
              <w:t>m</w:t>
            </w:r>
            <w:r>
              <w:rPr>
                <w:rFonts w:hint="eastAsia"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，计容面积30000</w:t>
            </w:r>
            <w:r>
              <w:rPr>
                <w:rFonts w:hint="eastAsia" w:cs="Times New Roman"/>
                <w:color w:val="auto"/>
                <w:kern w:val="0"/>
                <w:sz w:val="24"/>
                <w:lang w:val="en-US" w:eastAsia="zh-CN"/>
              </w:rPr>
              <w:t>m</w:t>
            </w:r>
            <w:r>
              <w:rPr>
                <w:rFonts w:hint="eastAsia" w:cs="Times New Roman"/>
                <w:color w:val="auto"/>
                <w:kern w:val="0"/>
                <w:sz w:val="24"/>
                <w:vertAlign w:val="superscript"/>
                <w:lang w:val="en-US" w:eastAsia="zh-CN"/>
              </w:rPr>
              <w:t>2</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二期改扩建危险品仓库</w:t>
            </w:r>
            <w:r>
              <w:rPr>
                <w:rFonts w:hint="eastAsia" w:cs="Times New Roman"/>
                <w:color w:val="auto"/>
                <w:kern w:val="0"/>
                <w:sz w:val="24"/>
                <w:lang w:val="en-US" w:eastAsia="zh-CN"/>
              </w:rPr>
              <w:t>一</w:t>
            </w:r>
            <w:r>
              <w:rPr>
                <w:rFonts w:hint="eastAsia" w:ascii="Times New Roman" w:hAnsi="Times New Roman" w:eastAsia="宋体" w:cs="Times New Roman"/>
                <w:color w:val="auto"/>
                <w:kern w:val="0"/>
                <w:sz w:val="24"/>
                <w:lang w:val="en-US" w:eastAsia="zh-CN"/>
              </w:rPr>
              <w:t>座、储罐区、保税仓库一座、占地面积36000</w:t>
            </w:r>
            <w:r>
              <w:rPr>
                <w:rFonts w:hint="eastAsia" w:cs="Times New Roman"/>
                <w:color w:val="auto"/>
                <w:kern w:val="0"/>
                <w:sz w:val="24"/>
                <w:lang w:val="en-US" w:eastAsia="zh-CN"/>
              </w:rPr>
              <w:t>m</w:t>
            </w:r>
            <w:r>
              <w:rPr>
                <w:rFonts w:hint="eastAsia" w:cs="Times New Roman"/>
                <w:color w:val="auto"/>
                <w:kern w:val="0"/>
                <w:sz w:val="24"/>
                <w:vertAlign w:val="superscript"/>
                <w:lang w:val="en-US" w:eastAsia="zh-CN"/>
              </w:rPr>
              <w:t>2</w:t>
            </w:r>
            <w:r>
              <w:rPr>
                <w:rFonts w:hint="eastAsia" w:cs="Times New Roman"/>
                <w:color w:val="auto"/>
                <w:kern w:val="0"/>
                <w:sz w:val="24"/>
                <w:vertAlign w:val="baseline"/>
                <w:lang w:val="en-US" w:eastAsia="zh-CN"/>
              </w:rPr>
              <w:t>，</w:t>
            </w:r>
            <w:r>
              <w:rPr>
                <w:rFonts w:hint="eastAsia" w:ascii="Times New Roman" w:hAnsi="Times New Roman" w:eastAsia="宋体" w:cs="Times New Roman"/>
                <w:color w:val="auto"/>
                <w:kern w:val="0"/>
                <w:sz w:val="24"/>
                <w:lang w:val="en-US" w:eastAsia="zh-CN"/>
              </w:rPr>
              <w:t>计容面积72000</w:t>
            </w:r>
            <w:r>
              <w:rPr>
                <w:rFonts w:hint="eastAsia" w:cs="Times New Roman"/>
                <w:color w:val="auto"/>
                <w:kern w:val="0"/>
                <w:sz w:val="24"/>
                <w:lang w:val="en-US" w:eastAsia="zh-CN"/>
              </w:rPr>
              <w:t>m</w:t>
            </w:r>
            <w:r>
              <w:rPr>
                <w:rFonts w:hint="eastAsia" w:cs="Times New Roman"/>
                <w:color w:val="auto"/>
                <w:kern w:val="0"/>
                <w:sz w:val="24"/>
                <w:vertAlign w:val="superscript"/>
                <w:lang w:val="en-US" w:eastAsia="zh-CN"/>
              </w:rPr>
              <w:t>2</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三期改扩建高标准仓库</w:t>
            </w:r>
            <w:r>
              <w:rPr>
                <w:rFonts w:hint="eastAsia" w:cs="Times New Roman"/>
                <w:color w:val="auto"/>
                <w:kern w:val="0"/>
                <w:sz w:val="24"/>
                <w:lang w:val="en-US" w:eastAsia="zh-CN"/>
              </w:rPr>
              <w:t>一</w:t>
            </w:r>
            <w:r>
              <w:rPr>
                <w:rFonts w:hint="eastAsia" w:ascii="Times New Roman" w:hAnsi="Times New Roman" w:eastAsia="宋体" w:cs="Times New Roman"/>
                <w:color w:val="auto"/>
                <w:kern w:val="0"/>
                <w:sz w:val="24"/>
                <w:lang w:val="en-US" w:eastAsia="zh-CN"/>
              </w:rPr>
              <w:t>座及办公配套设施占地面积35000</w:t>
            </w:r>
            <w:r>
              <w:rPr>
                <w:rFonts w:hint="eastAsia" w:cs="Times New Roman"/>
                <w:color w:val="auto"/>
                <w:kern w:val="0"/>
                <w:sz w:val="24"/>
                <w:lang w:val="en-US" w:eastAsia="zh-CN"/>
              </w:rPr>
              <w:t>m</w:t>
            </w:r>
            <w:r>
              <w:rPr>
                <w:rFonts w:hint="eastAsia" w:cs="Times New Roman"/>
                <w:color w:val="auto"/>
                <w:kern w:val="0"/>
                <w:sz w:val="24"/>
                <w:vertAlign w:val="superscript"/>
                <w:lang w:val="en-US" w:eastAsia="zh-CN"/>
              </w:rPr>
              <w:t>2</w:t>
            </w:r>
            <w:r>
              <w:rPr>
                <w:rFonts w:hint="eastAsia" w:cs="Times New Roman"/>
                <w:color w:val="auto"/>
                <w:kern w:val="0"/>
                <w:sz w:val="24"/>
                <w:lang w:val="en-US" w:eastAsia="zh-CN"/>
              </w:rPr>
              <w:t>。</w:t>
            </w:r>
          </w:p>
          <w:p w14:paraId="08FE4EC4">
            <w:pPr>
              <w:pStyle w:val="6"/>
              <w:spacing w:line="500" w:lineRule="exact"/>
              <w:ind w:firstLine="480"/>
              <w:rPr>
                <w:rFonts w:hint="default" w:ascii="Times New Roman" w:hAnsi="Times New Roman" w:eastAsia="宋体" w:cs="Times New Roman"/>
                <w:color w:val="auto"/>
                <w:kern w:val="0"/>
                <w:sz w:val="24"/>
                <w:u w:val="none"/>
                <w:lang w:val="en-US" w:eastAsia="zh-CN"/>
              </w:rPr>
            </w:pPr>
            <w:r>
              <w:rPr>
                <w:rFonts w:hint="eastAsia" w:cs="Times New Roman"/>
                <w:color w:val="auto"/>
                <w:kern w:val="0"/>
                <w:sz w:val="24"/>
                <w:lang w:val="en-US" w:eastAsia="zh-CN"/>
              </w:rPr>
              <w:t>由于二期、三期建设内容未进行详细规划设计，故本次评价仅对一期建设内容（改建2号仓库、新建4号、5号危险化学品仓库</w:t>
            </w:r>
            <w:r>
              <w:rPr>
                <w:rFonts w:hint="eastAsia" w:cs="Times New Roman"/>
                <w:color w:val="auto"/>
                <w:kern w:val="0"/>
                <w:sz w:val="24"/>
                <w:u w:val="none"/>
                <w:lang w:val="en-US" w:eastAsia="zh-CN"/>
              </w:rPr>
              <w:t>及相关配套工程）进行评价。</w:t>
            </w:r>
          </w:p>
          <w:p w14:paraId="3698FD8F">
            <w:pPr>
              <w:pStyle w:val="6"/>
              <w:spacing w:line="500" w:lineRule="exact"/>
              <w:ind w:firstLine="480"/>
              <w:rPr>
                <w:rFonts w:hint="default" w:ascii="Times New Roman" w:hAnsi="Times New Roman" w:eastAsia="宋体" w:cs="Times New Roman"/>
                <w:kern w:val="0"/>
                <w:sz w:val="24"/>
                <w:u w:val="none"/>
                <w:lang w:val="en-US" w:eastAsia="zh-CN"/>
              </w:rPr>
            </w:pPr>
            <w:r>
              <w:rPr>
                <w:rFonts w:hint="eastAsia" w:cs="Times New Roman"/>
                <w:color w:val="auto"/>
                <w:kern w:val="0"/>
                <w:sz w:val="24"/>
                <w:u w:val="none"/>
                <w:lang w:val="en-US" w:eastAsia="zh-CN"/>
              </w:rPr>
              <w:t>改</w:t>
            </w:r>
            <w:r>
              <w:rPr>
                <w:rFonts w:hint="eastAsia" w:ascii="Times New Roman" w:hAnsi="Times New Roman" w:eastAsia="宋体" w:cs="Times New Roman"/>
                <w:color w:val="auto"/>
                <w:kern w:val="0"/>
                <w:sz w:val="24"/>
                <w:u w:val="none"/>
                <w:lang w:val="en-US" w:eastAsia="zh-CN"/>
              </w:rPr>
              <w:t>扩建项目仅从事危险化学品的仓储，</w:t>
            </w:r>
            <w:r>
              <w:rPr>
                <w:rFonts w:hint="eastAsia" w:ascii="Times New Roman" w:hAnsi="Times New Roman" w:eastAsia="宋体" w:cs="Times New Roman"/>
                <w:kern w:val="0"/>
                <w:sz w:val="24"/>
                <w:u w:val="none"/>
                <w:lang w:val="en-US" w:eastAsia="zh-CN"/>
              </w:rPr>
              <w:t>不涉及任何</w:t>
            </w:r>
            <w:r>
              <w:rPr>
                <w:rFonts w:hint="eastAsia" w:cs="Times New Roman"/>
                <w:kern w:val="0"/>
                <w:sz w:val="24"/>
                <w:u w:val="none"/>
                <w:lang w:val="en-US" w:eastAsia="zh-CN"/>
              </w:rPr>
              <w:t>物料</w:t>
            </w:r>
            <w:r>
              <w:rPr>
                <w:rFonts w:hint="eastAsia" w:ascii="Times New Roman" w:hAnsi="Times New Roman" w:eastAsia="宋体" w:cs="Times New Roman"/>
                <w:kern w:val="0"/>
                <w:sz w:val="24"/>
                <w:u w:val="none"/>
                <w:lang w:val="en-US" w:eastAsia="zh-CN"/>
              </w:rPr>
              <w:t>生产加工活动，</w:t>
            </w:r>
            <w:r>
              <w:rPr>
                <w:rFonts w:hint="eastAsia" w:cs="Times New Roman"/>
                <w:kern w:val="0"/>
                <w:sz w:val="24"/>
                <w:u w:val="none"/>
                <w:lang w:val="en-US" w:eastAsia="zh-CN"/>
              </w:rPr>
              <w:t>危险化学品</w:t>
            </w:r>
            <w:r>
              <w:rPr>
                <w:rFonts w:hint="eastAsia" w:ascii="Times New Roman" w:hAnsi="Times New Roman" w:eastAsia="宋体" w:cs="Times New Roman"/>
                <w:kern w:val="0"/>
                <w:sz w:val="24"/>
                <w:u w:val="none"/>
                <w:lang w:val="en-US" w:eastAsia="zh-CN"/>
              </w:rPr>
              <w:t>前期</w:t>
            </w:r>
            <w:r>
              <w:rPr>
                <w:rFonts w:hint="eastAsia" w:cs="Times New Roman"/>
                <w:kern w:val="0"/>
                <w:sz w:val="24"/>
                <w:u w:val="none"/>
                <w:lang w:val="en-US" w:eastAsia="zh-CN"/>
              </w:rPr>
              <w:t>及</w:t>
            </w:r>
            <w:r>
              <w:rPr>
                <w:rFonts w:hint="eastAsia" w:ascii="Times New Roman" w:hAnsi="Times New Roman" w:eastAsia="宋体" w:cs="Times New Roman"/>
                <w:kern w:val="0"/>
                <w:sz w:val="24"/>
                <w:u w:val="none"/>
                <w:lang w:val="en-US" w:eastAsia="zh-CN"/>
              </w:rPr>
              <w:t>后期转运由</w:t>
            </w:r>
            <w:r>
              <w:rPr>
                <w:rFonts w:hint="eastAsia" w:cs="Times New Roman"/>
                <w:kern w:val="0"/>
                <w:sz w:val="24"/>
                <w:u w:val="none"/>
                <w:lang w:val="en-US" w:eastAsia="zh-CN"/>
              </w:rPr>
              <w:t>建设单位和</w:t>
            </w:r>
            <w:r>
              <w:rPr>
                <w:rFonts w:hint="eastAsia" w:ascii="Times New Roman" w:hAnsi="Times New Roman" w:eastAsia="宋体" w:cs="Times New Roman"/>
                <w:kern w:val="0"/>
                <w:sz w:val="24"/>
                <w:u w:val="none"/>
                <w:lang w:val="en-US" w:eastAsia="zh-CN"/>
              </w:rPr>
              <w:t>第三方有相关资质单位承担，第三方有相关资质单位</w:t>
            </w:r>
            <w:r>
              <w:rPr>
                <w:rFonts w:hint="eastAsia" w:ascii="Times New Roman" w:hAnsi="Times New Roman" w:cs="Times New Roman"/>
                <w:kern w:val="0"/>
                <w:sz w:val="24"/>
                <w:u w:val="none"/>
                <w:lang w:val="en-US" w:eastAsia="zh-CN"/>
              </w:rPr>
              <w:t>的运输</w:t>
            </w:r>
            <w:r>
              <w:rPr>
                <w:rFonts w:hint="eastAsia" w:ascii="Times New Roman" w:hAnsi="Times New Roman" w:eastAsia="宋体" w:cs="Times New Roman"/>
                <w:kern w:val="0"/>
                <w:sz w:val="24"/>
                <w:u w:val="none"/>
                <w:lang w:val="en-US" w:eastAsia="zh-CN"/>
              </w:rPr>
              <w:t>不在本次评价范围内。2号仓库改建后，2号仓库原贮存的一般货物暂存至1号仓库，现有工程贮存的一般货物年周转量不变，仅增加周转频次。</w:t>
            </w:r>
          </w:p>
          <w:p w14:paraId="6C435FE3">
            <w:pPr>
              <w:pStyle w:val="6"/>
              <w:spacing w:line="500" w:lineRule="exact"/>
              <w:ind w:firstLine="482"/>
              <w:jc w:val="center"/>
              <w:rPr>
                <w:rFonts w:hint="eastAsia" w:ascii="Times New Roman" w:hAnsi="Times New Roman" w:eastAsia="宋体" w:cs="Times New Roman"/>
                <w:b/>
                <w:bCs/>
                <w:color w:val="auto"/>
                <w:kern w:val="0"/>
                <w:sz w:val="24"/>
                <w:lang w:val="en-GB"/>
              </w:rPr>
            </w:pPr>
            <w:bookmarkStart w:id="9" w:name="_Toc366783270"/>
            <w:bookmarkStart w:id="10" w:name="_Toc366792950"/>
            <w:bookmarkStart w:id="11" w:name="_Toc366793554"/>
            <w:bookmarkStart w:id="12" w:name="_Toc446348573"/>
            <w:r>
              <w:rPr>
                <w:rFonts w:hint="eastAsia" w:ascii="Times New Roman" w:hAnsi="Times New Roman" w:eastAsia="宋体" w:cs="Times New Roman"/>
                <w:b/>
                <w:bCs/>
                <w:color w:val="auto"/>
                <w:kern w:val="0"/>
                <w:sz w:val="24"/>
                <w:lang w:val="en-GB"/>
              </w:rPr>
              <w:t>表2-</w:t>
            </w:r>
            <w:r>
              <w:rPr>
                <w:rFonts w:hint="eastAsia" w:cs="Times New Roman"/>
                <w:b/>
                <w:bCs/>
                <w:color w:val="auto"/>
                <w:kern w:val="0"/>
                <w:sz w:val="24"/>
                <w:lang w:val="en-US" w:eastAsia="zh-CN"/>
              </w:rPr>
              <w:t>1</w:t>
            </w:r>
            <w:r>
              <w:rPr>
                <w:rFonts w:hint="eastAsia" w:ascii="Times New Roman" w:hAnsi="Times New Roman" w:eastAsia="宋体" w:cs="Times New Roman"/>
                <w:b/>
                <w:bCs/>
                <w:color w:val="auto"/>
                <w:kern w:val="0"/>
                <w:sz w:val="24"/>
                <w:lang w:val="en-GB"/>
              </w:rPr>
              <w:t xml:space="preserve">  </w:t>
            </w:r>
            <w:r>
              <w:rPr>
                <w:rFonts w:hint="eastAsia" w:cs="Times New Roman"/>
                <w:b/>
                <w:bCs/>
                <w:color w:val="auto"/>
                <w:kern w:val="0"/>
                <w:sz w:val="24"/>
                <w:lang w:val="en-US" w:eastAsia="zh-CN"/>
              </w:rPr>
              <w:t>改扩建</w:t>
            </w:r>
            <w:r>
              <w:rPr>
                <w:rFonts w:hint="eastAsia" w:ascii="Times New Roman" w:hAnsi="Times New Roman" w:eastAsia="宋体" w:cs="Times New Roman"/>
                <w:b/>
                <w:bCs/>
                <w:color w:val="auto"/>
                <w:kern w:val="0"/>
                <w:sz w:val="24"/>
                <w:lang w:val="en-GB"/>
              </w:rPr>
              <w:t>项目工程建设内容组成一览表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583"/>
              <w:gridCol w:w="4116"/>
              <w:gridCol w:w="2064"/>
            </w:tblGrid>
            <w:tr w14:paraId="3834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45" w:type="dxa"/>
                  <w:noWrap w:val="0"/>
                  <w:vAlign w:val="center"/>
                </w:tcPr>
                <w:p w14:paraId="6813D343">
                  <w:pPr>
                    <w:jc w:val="center"/>
                  </w:pPr>
                  <w:r>
                    <w:t>类型</w:t>
                  </w:r>
                </w:p>
              </w:tc>
              <w:tc>
                <w:tcPr>
                  <w:tcW w:w="1583" w:type="dxa"/>
                  <w:noWrap w:val="0"/>
                  <w:vAlign w:val="center"/>
                </w:tcPr>
                <w:p w14:paraId="0E5CDB0B">
                  <w:pPr>
                    <w:jc w:val="center"/>
                  </w:pPr>
                  <w:r>
                    <w:t>建设名称</w:t>
                  </w:r>
                </w:p>
              </w:tc>
              <w:tc>
                <w:tcPr>
                  <w:tcW w:w="4116" w:type="dxa"/>
                  <w:noWrap w:val="0"/>
                  <w:vAlign w:val="center"/>
                </w:tcPr>
                <w:p w14:paraId="6A53F29D">
                  <w:pPr>
                    <w:jc w:val="center"/>
                  </w:pPr>
                  <w:r>
                    <w:t>项目建设规模</w:t>
                  </w:r>
                </w:p>
              </w:tc>
              <w:tc>
                <w:tcPr>
                  <w:tcW w:w="2064" w:type="dxa"/>
                  <w:noWrap w:val="0"/>
                  <w:vAlign w:val="center"/>
                </w:tcPr>
                <w:p w14:paraId="192415F6">
                  <w:pPr>
                    <w:jc w:val="center"/>
                  </w:pPr>
                  <w:r>
                    <w:t>备注</w:t>
                  </w:r>
                </w:p>
              </w:tc>
            </w:tr>
            <w:tr w14:paraId="212B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45" w:type="dxa"/>
                  <w:vMerge w:val="restart"/>
                  <w:noWrap w:val="0"/>
                  <w:vAlign w:val="center"/>
                </w:tcPr>
                <w:p w14:paraId="57D6A5E2">
                  <w:pPr>
                    <w:jc w:val="center"/>
                  </w:pPr>
                  <w:r>
                    <w:t>主体工程</w:t>
                  </w:r>
                </w:p>
              </w:tc>
              <w:tc>
                <w:tcPr>
                  <w:tcW w:w="1583" w:type="dxa"/>
                  <w:noWrap w:val="0"/>
                  <w:vAlign w:val="center"/>
                </w:tcPr>
                <w:p w14:paraId="7353EAE6">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2号仓库</w:t>
                  </w:r>
                </w:p>
              </w:tc>
              <w:tc>
                <w:tcPr>
                  <w:tcW w:w="4116" w:type="dxa"/>
                  <w:noWrap w:val="0"/>
                  <w:vAlign w:val="center"/>
                </w:tcPr>
                <w:p w14:paraId="08C80529">
                  <w:pPr>
                    <w:rPr>
                      <w:rFonts w:hint="default" w:eastAsia="宋体"/>
                      <w:color w:val="auto"/>
                      <w:lang w:val="en-US" w:eastAsia="zh-CN"/>
                    </w:rPr>
                  </w:pPr>
                  <w:r>
                    <w:rPr>
                      <w:rFonts w:hint="eastAsia"/>
                      <w:color w:val="auto"/>
                      <w:lang w:val="en-US" w:eastAsia="zh-CN"/>
                    </w:rPr>
                    <w:t>1F，占地面积6932.95m</w:t>
                  </w:r>
                  <w:r>
                    <w:rPr>
                      <w:rFonts w:hint="eastAsia"/>
                      <w:color w:val="auto"/>
                      <w:vertAlign w:val="superscript"/>
                      <w:lang w:val="en-US" w:eastAsia="zh-CN"/>
                    </w:rPr>
                    <w:t>2</w:t>
                  </w:r>
                  <w:r>
                    <w:rPr>
                      <w:rFonts w:hint="eastAsia"/>
                      <w:color w:val="auto"/>
                      <w:lang w:val="en-US" w:eastAsia="zh-CN"/>
                    </w:rPr>
                    <w:t>，高12m，混凝土钢</w:t>
                  </w:r>
                  <w:r>
                    <w:rPr>
                      <w:rFonts w:hint="eastAsia"/>
                      <w:color w:val="auto"/>
                      <w:lang w:eastAsia="zh-CN"/>
                    </w:rPr>
                    <w:t>框架结构，</w:t>
                  </w:r>
                  <w:r>
                    <w:rPr>
                      <w:rFonts w:hint="eastAsia"/>
                      <w:color w:val="auto"/>
                      <w:lang w:val="en-US" w:eastAsia="zh-CN"/>
                    </w:rPr>
                    <w:t>仓库分为5个隔间，改造成</w:t>
                  </w:r>
                  <w:r>
                    <w:rPr>
                      <w:rFonts w:hint="eastAsia"/>
                      <w:color w:val="auto"/>
                      <w:szCs w:val="21"/>
                      <w:u w:val="none"/>
                      <w:lang w:val="en-US" w:eastAsia="zh-CN"/>
                    </w:rPr>
                    <w:t>2号仓库危险化学品隔间A、B、C、D、E（占地面积均为</w:t>
                  </w:r>
                  <w:r>
                    <w:rPr>
                      <w:rFonts w:hint="eastAsia"/>
                      <w:color w:val="auto"/>
                      <w:lang w:val="en-US" w:eastAsia="zh-CN"/>
                    </w:rPr>
                    <w:t>1377m</w:t>
                  </w:r>
                  <w:r>
                    <w:rPr>
                      <w:rFonts w:hint="eastAsia"/>
                      <w:color w:val="auto"/>
                      <w:vertAlign w:val="superscript"/>
                      <w:lang w:val="en-US" w:eastAsia="zh-CN"/>
                    </w:rPr>
                    <w:t>2</w:t>
                  </w:r>
                  <w:r>
                    <w:rPr>
                      <w:rFonts w:hint="eastAsia"/>
                      <w:color w:val="auto"/>
                      <w:szCs w:val="21"/>
                      <w:u w:val="none"/>
                      <w:lang w:val="en-US" w:eastAsia="zh-CN"/>
                    </w:rPr>
                    <w:t>），A、B、C隔间内再分为碱储间、酸储间、毒害品储间。</w:t>
                  </w:r>
                </w:p>
              </w:tc>
              <w:tc>
                <w:tcPr>
                  <w:tcW w:w="2064" w:type="dxa"/>
                  <w:noWrap w:val="0"/>
                  <w:vAlign w:val="center"/>
                </w:tcPr>
                <w:p w14:paraId="4EDA145A">
                  <w:pPr>
                    <w:jc w:val="center"/>
                    <w:rPr>
                      <w:rFonts w:hint="default" w:eastAsia="宋体"/>
                      <w:lang w:val="en-US" w:eastAsia="zh-CN"/>
                    </w:rPr>
                  </w:pPr>
                  <w:r>
                    <w:rPr>
                      <w:rFonts w:hint="eastAsia"/>
                      <w:lang w:val="en-US" w:eastAsia="zh-CN"/>
                    </w:rPr>
                    <w:t>改建，已建，将现有工程的2号仓库内的5个隔间改造成危险化学品仓库。</w:t>
                  </w:r>
                  <w:r>
                    <w:rPr>
                      <w:rFonts w:hint="eastAsia"/>
                      <w:color w:val="auto"/>
                      <w:szCs w:val="21"/>
                      <w:u w:val="none"/>
                      <w:lang w:val="en-US" w:eastAsia="zh-CN"/>
                    </w:rPr>
                    <w:t>现状2号仓库地面未进行重点防渗改建。</w:t>
                  </w:r>
                </w:p>
              </w:tc>
            </w:tr>
            <w:tr w14:paraId="5837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45" w:type="dxa"/>
                  <w:vMerge w:val="continue"/>
                  <w:noWrap w:val="0"/>
                  <w:vAlign w:val="center"/>
                </w:tcPr>
                <w:p w14:paraId="63574464">
                  <w:pPr>
                    <w:jc w:val="center"/>
                  </w:pPr>
                </w:p>
              </w:tc>
              <w:tc>
                <w:tcPr>
                  <w:tcW w:w="1583" w:type="dxa"/>
                  <w:noWrap w:val="0"/>
                  <w:vAlign w:val="center"/>
                </w:tcPr>
                <w:p w14:paraId="6F2BA3C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highlight w:val="none"/>
                      <w:lang w:val="en-US" w:eastAsia="zh-CN"/>
                    </w:rPr>
                    <w:t>4号仓库</w:t>
                  </w:r>
                </w:p>
              </w:tc>
              <w:tc>
                <w:tcPr>
                  <w:tcW w:w="4116" w:type="dxa"/>
                  <w:noWrap w:val="0"/>
                  <w:vAlign w:val="center"/>
                </w:tcPr>
                <w:p w14:paraId="7F73F26B">
                  <w:pPr>
                    <w:rPr>
                      <w:rFonts w:hint="default"/>
                      <w:color w:val="auto"/>
                      <w:vertAlign w:val="baseline"/>
                      <w:lang w:val="en-US" w:eastAsia="zh-CN"/>
                    </w:rPr>
                  </w:pPr>
                  <w:r>
                    <w:rPr>
                      <w:rFonts w:hint="eastAsia"/>
                      <w:color w:val="auto"/>
                      <w:lang w:val="en-US" w:eastAsia="zh-CN"/>
                    </w:rPr>
                    <w:t>1</w:t>
                  </w:r>
                  <w:r>
                    <w:rPr>
                      <w:rFonts w:hint="eastAsia"/>
                      <w:color w:val="000000"/>
                      <w:lang w:val="en-US" w:eastAsia="zh-CN"/>
                    </w:rPr>
                    <w:t>F，高12.15m，</w:t>
                  </w:r>
                  <w:r>
                    <w:rPr>
                      <w:rFonts w:hint="eastAsia"/>
                      <w:color w:val="auto"/>
                      <w:lang w:val="en-US" w:eastAsia="zh-CN"/>
                    </w:rPr>
                    <w:t>占地面积2592m</w:t>
                  </w:r>
                  <w:r>
                    <w:rPr>
                      <w:rFonts w:hint="eastAsia"/>
                      <w:color w:val="auto"/>
                      <w:vertAlign w:val="superscript"/>
                      <w:lang w:val="en-US" w:eastAsia="zh-CN"/>
                    </w:rPr>
                    <w:t>2</w:t>
                  </w:r>
                  <w:r>
                    <w:rPr>
                      <w:rFonts w:hint="eastAsia"/>
                      <w:color w:val="auto"/>
                      <w:lang w:val="en-US" w:eastAsia="zh-CN"/>
                    </w:rPr>
                    <w:t>，混凝土钢</w:t>
                  </w:r>
                  <w:r>
                    <w:rPr>
                      <w:rFonts w:hint="eastAsia"/>
                      <w:color w:val="auto"/>
                      <w:lang w:eastAsia="zh-CN"/>
                    </w:rPr>
                    <w:t>框架结构，</w:t>
                  </w:r>
                  <w:r>
                    <w:rPr>
                      <w:rFonts w:hint="eastAsia"/>
                      <w:color w:val="auto"/>
                      <w:lang w:val="en-US" w:eastAsia="zh-CN"/>
                    </w:rPr>
                    <w:t>储存危险化学品，内分为</w:t>
                  </w:r>
                  <w:r>
                    <w:rPr>
                      <w:rFonts w:hint="eastAsia"/>
                      <w:color w:val="auto"/>
                      <w:szCs w:val="21"/>
                      <w:u w:val="none"/>
                      <w:lang w:val="en-US" w:eastAsia="zh-CN"/>
                    </w:rPr>
                    <w:t>碱储间、酸储间、毒害品储间。</w:t>
                  </w:r>
                </w:p>
              </w:tc>
              <w:tc>
                <w:tcPr>
                  <w:tcW w:w="2064" w:type="dxa"/>
                  <w:noWrap w:val="0"/>
                  <w:vAlign w:val="center"/>
                </w:tcPr>
                <w:p w14:paraId="79E0BA40">
                  <w:pPr>
                    <w:jc w:val="center"/>
                    <w:rPr>
                      <w:rFonts w:hint="eastAsia" w:eastAsia="宋体"/>
                      <w:lang w:eastAsia="zh-CN"/>
                    </w:rPr>
                  </w:pPr>
                  <w:r>
                    <w:rPr>
                      <w:rFonts w:hint="eastAsia"/>
                      <w:color w:val="auto"/>
                      <w:lang w:val="en-US" w:eastAsia="zh-CN"/>
                    </w:rPr>
                    <w:t>新建，</w:t>
                  </w:r>
                  <w:r>
                    <w:rPr>
                      <w:rFonts w:hint="eastAsia"/>
                      <w:lang w:val="en-US" w:eastAsia="zh-CN"/>
                    </w:rPr>
                    <w:t>已建</w:t>
                  </w:r>
                </w:p>
              </w:tc>
            </w:tr>
            <w:tr w14:paraId="3756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vMerge w:val="continue"/>
                  <w:noWrap w:val="0"/>
                  <w:vAlign w:val="center"/>
                </w:tcPr>
                <w:p w14:paraId="7B2BA294">
                  <w:pPr>
                    <w:jc w:val="center"/>
                  </w:pPr>
                </w:p>
              </w:tc>
              <w:tc>
                <w:tcPr>
                  <w:tcW w:w="1583" w:type="dxa"/>
                  <w:noWrap w:val="0"/>
                  <w:vAlign w:val="center"/>
                </w:tcPr>
                <w:p w14:paraId="7D3DAAB4">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5号仓库</w:t>
                  </w:r>
                </w:p>
              </w:tc>
              <w:tc>
                <w:tcPr>
                  <w:tcW w:w="4116" w:type="dxa"/>
                  <w:noWrap w:val="0"/>
                  <w:vAlign w:val="center"/>
                </w:tcPr>
                <w:p w14:paraId="48622E17">
                  <w:pPr>
                    <w:rPr>
                      <w:rFonts w:hint="eastAsia"/>
                      <w:color w:val="auto"/>
                      <w:highlight w:val="none"/>
                      <w:lang w:val="en-US" w:eastAsia="zh-CN"/>
                    </w:rPr>
                  </w:pPr>
                  <w:r>
                    <w:rPr>
                      <w:rFonts w:hint="eastAsia"/>
                      <w:color w:val="auto"/>
                      <w:highlight w:val="none"/>
                      <w:lang w:val="en-US" w:eastAsia="zh-CN"/>
                    </w:rPr>
                    <w:t>1F，高15m，占地面积5740m</w:t>
                  </w:r>
                  <w:r>
                    <w:rPr>
                      <w:rFonts w:hint="eastAsia"/>
                      <w:color w:val="auto"/>
                      <w:highlight w:val="none"/>
                      <w:vertAlign w:val="superscript"/>
                      <w:lang w:val="en-US" w:eastAsia="zh-CN"/>
                    </w:rPr>
                    <w:t>2</w:t>
                  </w:r>
                  <w:r>
                    <w:rPr>
                      <w:rFonts w:hint="eastAsia"/>
                      <w:color w:val="auto"/>
                      <w:highlight w:val="none"/>
                      <w:lang w:val="en-US" w:eastAsia="zh-CN"/>
                    </w:rPr>
                    <w:t>，</w:t>
                  </w:r>
                  <w:r>
                    <w:rPr>
                      <w:rFonts w:hint="eastAsia"/>
                      <w:color w:val="auto"/>
                      <w:lang w:val="en-US" w:eastAsia="zh-CN"/>
                    </w:rPr>
                    <w:t>混凝土</w:t>
                  </w:r>
                  <w:r>
                    <w:rPr>
                      <w:rFonts w:hint="eastAsia"/>
                      <w:color w:val="auto"/>
                      <w:highlight w:val="none"/>
                      <w:lang w:val="en-US" w:eastAsia="zh-CN"/>
                    </w:rPr>
                    <w:t>钢</w:t>
                  </w:r>
                  <w:r>
                    <w:rPr>
                      <w:rFonts w:hint="eastAsia"/>
                      <w:color w:val="auto"/>
                      <w:highlight w:val="none"/>
                      <w:lang w:eastAsia="zh-CN"/>
                    </w:rPr>
                    <w:t>框架结构，</w:t>
                  </w:r>
                  <w:r>
                    <w:rPr>
                      <w:rFonts w:hint="eastAsia"/>
                      <w:color w:val="auto"/>
                      <w:highlight w:val="none"/>
                      <w:lang w:val="en-US" w:eastAsia="zh-CN"/>
                    </w:rPr>
                    <w:t>储存危险化学品，</w:t>
                  </w:r>
                  <w:r>
                    <w:rPr>
                      <w:rFonts w:hint="eastAsia"/>
                      <w:color w:val="auto"/>
                      <w:lang w:val="en-US" w:eastAsia="zh-CN"/>
                    </w:rPr>
                    <w:t>内分为</w:t>
                  </w:r>
                  <w:r>
                    <w:rPr>
                      <w:rFonts w:hint="eastAsia"/>
                      <w:color w:val="auto"/>
                      <w:szCs w:val="21"/>
                      <w:u w:val="none"/>
                      <w:lang w:val="en-US" w:eastAsia="zh-CN"/>
                    </w:rPr>
                    <w:t>碱储间、酸储间、毒害品储间。</w:t>
                  </w:r>
                </w:p>
              </w:tc>
              <w:tc>
                <w:tcPr>
                  <w:tcW w:w="2064" w:type="dxa"/>
                  <w:noWrap w:val="0"/>
                  <w:vAlign w:val="center"/>
                </w:tcPr>
                <w:p w14:paraId="1CE31993">
                  <w:pPr>
                    <w:jc w:val="center"/>
                    <w:rPr>
                      <w:rFonts w:hint="eastAsia" w:eastAsia="宋体"/>
                      <w:color w:val="auto"/>
                      <w:highlight w:val="none"/>
                      <w:lang w:eastAsia="zh-CN"/>
                    </w:rPr>
                  </w:pPr>
                  <w:r>
                    <w:rPr>
                      <w:rFonts w:hint="eastAsia"/>
                      <w:color w:val="auto"/>
                      <w:lang w:val="en-US" w:eastAsia="zh-CN"/>
                    </w:rPr>
                    <w:t>新建，</w:t>
                  </w:r>
                  <w:r>
                    <w:rPr>
                      <w:rFonts w:hint="eastAsia"/>
                      <w:color w:val="auto"/>
                      <w:highlight w:val="none"/>
                      <w:lang w:val="en-US" w:eastAsia="zh-CN"/>
                    </w:rPr>
                    <w:t>在建</w:t>
                  </w:r>
                </w:p>
              </w:tc>
            </w:tr>
            <w:tr w14:paraId="311A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vMerge w:val="continue"/>
                  <w:noWrap w:val="0"/>
                  <w:vAlign w:val="center"/>
                </w:tcPr>
                <w:p w14:paraId="0ABAAFF1">
                  <w:pPr>
                    <w:jc w:val="center"/>
                  </w:pPr>
                </w:p>
              </w:tc>
              <w:tc>
                <w:tcPr>
                  <w:tcW w:w="1583" w:type="dxa"/>
                  <w:noWrap w:val="0"/>
                  <w:vAlign w:val="center"/>
                </w:tcPr>
                <w:p w14:paraId="7042CCDD">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危险品集装箱拆装棚</w:t>
                  </w:r>
                </w:p>
              </w:tc>
              <w:tc>
                <w:tcPr>
                  <w:tcW w:w="4116" w:type="dxa"/>
                  <w:noWrap w:val="0"/>
                  <w:vAlign w:val="center"/>
                </w:tcPr>
                <w:p w14:paraId="6D887B8D">
                  <w:pPr>
                    <w:rPr>
                      <w:rFonts w:hint="default"/>
                      <w:color w:val="auto"/>
                      <w:highlight w:val="none"/>
                      <w:lang w:val="en-US" w:eastAsia="zh-CN"/>
                    </w:rPr>
                  </w:pPr>
                  <w:r>
                    <w:rPr>
                      <w:rFonts w:hint="eastAsia"/>
                      <w:color w:val="auto"/>
                      <w:highlight w:val="none"/>
                      <w:lang w:val="en-US" w:eastAsia="zh-CN"/>
                    </w:rPr>
                    <w:t>1F，高15m，占地面积2997m</w:t>
                  </w:r>
                  <w:r>
                    <w:rPr>
                      <w:rFonts w:hint="eastAsia"/>
                      <w:color w:val="auto"/>
                      <w:highlight w:val="none"/>
                      <w:vertAlign w:val="superscript"/>
                      <w:lang w:val="en-US" w:eastAsia="zh-CN"/>
                    </w:rPr>
                    <w:t>2</w:t>
                  </w:r>
                  <w:r>
                    <w:rPr>
                      <w:rFonts w:hint="eastAsia"/>
                      <w:color w:val="auto"/>
                      <w:highlight w:val="none"/>
                      <w:lang w:val="en-US" w:eastAsia="zh-CN"/>
                    </w:rPr>
                    <w:t>，危险化学品的卸均在此棚内进行。</w:t>
                  </w:r>
                </w:p>
              </w:tc>
              <w:tc>
                <w:tcPr>
                  <w:tcW w:w="2064" w:type="dxa"/>
                  <w:noWrap w:val="0"/>
                  <w:vAlign w:val="center"/>
                </w:tcPr>
                <w:p w14:paraId="4B448DB8">
                  <w:pPr>
                    <w:jc w:val="center"/>
                    <w:rPr>
                      <w:rFonts w:hint="eastAsia"/>
                      <w:color w:val="auto"/>
                      <w:lang w:val="en-US" w:eastAsia="zh-CN"/>
                    </w:rPr>
                  </w:pPr>
                  <w:r>
                    <w:rPr>
                      <w:rFonts w:hint="eastAsia"/>
                      <w:color w:val="auto"/>
                      <w:lang w:val="en-US" w:eastAsia="zh-CN"/>
                    </w:rPr>
                    <w:t>新建，</w:t>
                  </w:r>
                  <w:r>
                    <w:rPr>
                      <w:rFonts w:hint="eastAsia"/>
                      <w:color w:val="auto"/>
                      <w:highlight w:val="none"/>
                      <w:lang w:val="en-US" w:eastAsia="zh-CN"/>
                    </w:rPr>
                    <w:t>已建</w:t>
                  </w:r>
                </w:p>
              </w:tc>
            </w:tr>
            <w:tr w14:paraId="7DC8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vMerge w:val="continue"/>
                  <w:noWrap w:val="0"/>
                  <w:vAlign w:val="center"/>
                </w:tcPr>
                <w:p w14:paraId="04B46D54">
                  <w:pPr>
                    <w:jc w:val="center"/>
                  </w:pPr>
                </w:p>
              </w:tc>
              <w:tc>
                <w:tcPr>
                  <w:tcW w:w="1583" w:type="dxa"/>
                  <w:noWrap w:val="0"/>
                  <w:vAlign w:val="center"/>
                </w:tcPr>
                <w:p w14:paraId="216D3651">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危险品停车场</w:t>
                  </w:r>
                </w:p>
              </w:tc>
              <w:tc>
                <w:tcPr>
                  <w:tcW w:w="4116" w:type="dxa"/>
                  <w:noWrap w:val="0"/>
                  <w:vAlign w:val="center"/>
                </w:tcPr>
                <w:p w14:paraId="75F57680">
                  <w:pPr>
                    <w:rPr>
                      <w:rFonts w:hint="default"/>
                      <w:color w:val="auto"/>
                      <w:highlight w:val="none"/>
                      <w:vertAlign w:val="baseline"/>
                      <w:lang w:val="en-US" w:eastAsia="zh-CN"/>
                    </w:rPr>
                  </w:pPr>
                  <w:r>
                    <w:rPr>
                      <w:rFonts w:hint="eastAsia"/>
                      <w:color w:val="auto"/>
                      <w:highlight w:val="none"/>
                      <w:lang w:val="en-US" w:eastAsia="zh-CN"/>
                    </w:rPr>
                    <w:t>露天，占地1144m</w:t>
                  </w:r>
                  <w:r>
                    <w:rPr>
                      <w:rFonts w:hint="eastAsia"/>
                      <w:color w:val="auto"/>
                      <w:highlight w:val="none"/>
                      <w:vertAlign w:val="superscript"/>
                      <w:lang w:val="en-US" w:eastAsia="zh-CN"/>
                    </w:rPr>
                    <w:t>2</w:t>
                  </w:r>
                  <w:r>
                    <w:rPr>
                      <w:rFonts w:hint="eastAsia"/>
                      <w:color w:val="auto"/>
                      <w:highlight w:val="none"/>
                      <w:vertAlign w:val="baseline"/>
                      <w:lang w:val="en-US" w:eastAsia="zh-CN"/>
                    </w:rPr>
                    <w:t>。</w:t>
                  </w:r>
                </w:p>
              </w:tc>
              <w:tc>
                <w:tcPr>
                  <w:tcW w:w="2064" w:type="dxa"/>
                  <w:noWrap w:val="0"/>
                  <w:vAlign w:val="center"/>
                </w:tcPr>
                <w:p w14:paraId="7E5A3828">
                  <w:pPr>
                    <w:jc w:val="center"/>
                    <w:rPr>
                      <w:rFonts w:hint="eastAsia"/>
                      <w:color w:val="auto"/>
                      <w:lang w:val="en-US" w:eastAsia="zh-CN"/>
                    </w:rPr>
                  </w:pPr>
                  <w:r>
                    <w:rPr>
                      <w:rFonts w:hint="eastAsia"/>
                      <w:color w:val="auto"/>
                      <w:lang w:val="en-US" w:eastAsia="zh-CN"/>
                    </w:rPr>
                    <w:t>新建，</w:t>
                  </w:r>
                  <w:r>
                    <w:rPr>
                      <w:rFonts w:hint="eastAsia"/>
                      <w:color w:val="auto"/>
                      <w:highlight w:val="none"/>
                      <w:lang w:val="en-US" w:eastAsia="zh-CN"/>
                    </w:rPr>
                    <w:t>未建</w:t>
                  </w:r>
                </w:p>
              </w:tc>
            </w:tr>
            <w:tr w14:paraId="6624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45" w:type="dxa"/>
                  <w:vMerge w:val="continue"/>
                  <w:noWrap w:val="0"/>
                  <w:vAlign w:val="center"/>
                </w:tcPr>
                <w:p w14:paraId="1849DA4F">
                  <w:pPr>
                    <w:jc w:val="center"/>
                  </w:pPr>
                </w:p>
              </w:tc>
              <w:tc>
                <w:tcPr>
                  <w:tcW w:w="1583" w:type="dxa"/>
                  <w:noWrap w:val="0"/>
                  <w:vAlign w:val="center"/>
                </w:tcPr>
                <w:p w14:paraId="36E7ECC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2号堆场</w:t>
                  </w:r>
                </w:p>
              </w:tc>
              <w:tc>
                <w:tcPr>
                  <w:tcW w:w="4116" w:type="dxa"/>
                  <w:noWrap w:val="0"/>
                  <w:vAlign w:val="center"/>
                </w:tcPr>
                <w:p w14:paraId="327FD125">
                  <w:pPr>
                    <w:rPr>
                      <w:rFonts w:hint="default"/>
                      <w:color w:val="auto"/>
                      <w:highlight w:val="none"/>
                      <w:lang w:val="en-US" w:eastAsia="zh-CN"/>
                    </w:rPr>
                  </w:pPr>
                  <w:r>
                    <w:rPr>
                      <w:rFonts w:hint="eastAsia"/>
                      <w:color w:val="auto"/>
                      <w:highlight w:val="none"/>
                      <w:lang w:val="en-US" w:eastAsia="zh-CN"/>
                    </w:rPr>
                    <w:t>露天堆场，占地面积约8753m</w:t>
                  </w:r>
                  <w:r>
                    <w:rPr>
                      <w:rFonts w:hint="eastAsia"/>
                      <w:color w:val="auto"/>
                      <w:highlight w:val="none"/>
                      <w:vertAlign w:val="superscript"/>
                      <w:lang w:val="en-US" w:eastAsia="zh-CN"/>
                    </w:rPr>
                    <w:t>2</w:t>
                  </w:r>
                  <w:r>
                    <w:rPr>
                      <w:rFonts w:hint="eastAsia"/>
                      <w:color w:val="auto"/>
                      <w:highlight w:val="none"/>
                      <w:lang w:val="en-US" w:eastAsia="zh-CN"/>
                    </w:rPr>
                    <w:t>，用于危险化学品集装箱空箱的堆放，堆放高度15m。</w:t>
                  </w:r>
                </w:p>
              </w:tc>
              <w:tc>
                <w:tcPr>
                  <w:tcW w:w="2064" w:type="dxa"/>
                  <w:vMerge w:val="restart"/>
                  <w:noWrap w:val="0"/>
                  <w:vAlign w:val="center"/>
                </w:tcPr>
                <w:p w14:paraId="5470C70A">
                  <w:pPr>
                    <w:jc w:val="center"/>
                    <w:rPr>
                      <w:rFonts w:hint="default" w:eastAsia="宋体"/>
                      <w:color w:val="auto"/>
                      <w:highlight w:val="none"/>
                      <w:lang w:val="en-US" w:eastAsia="zh-CN"/>
                    </w:rPr>
                  </w:pPr>
                  <w:r>
                    <w:rPr>
                      <w:rFonts w:hint="eastAsia" w:eastAsia="宋体"/>
                      <w:color w:val="auto"/>
                      <w:highlight w:val="none"/>
                      <w:lang w:val="en-US" w:eastAsia="zh-CN"/>
                    </w:rPr>
                    <w:t>改建，原用于一般货物集装箱空箱堆放</w:t>
                  </w:r>
                </w:p>
              </w:tc>
            </w:tr>
            <w:tr w14:paraId="0075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45" w:type="dxa"/>
                  <w:vMerge w:val="continue"/>
                  <w:noWrap w:val="0"/>
                  <w:vAlign w:val="center"/>
                </w:tcPr>
                <w:p w14:paraId="1BAB5351">
                  <w:pPr>
                    <w:jc w:val="center"/>
                  </w:pPr>
                </w:p>
              </w:tc>
              <w:tc>
                <w:tcPr>
                  <w:tcW w:w="1583" w:type="dxa"/>
                  <w:noWrap w:val="0"/>
                  <w:vAlign w:val="center"/>
                </w:tcPr>
                <w:p w14:paraId="08F0203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3号堆场</w:t>
                  </w:r>
                </w:p>
              </w:tc>
              <w:tc>
                <w:tcPr>
                  <w:tcW w:w="4116" w:type="dxa"/>
                  <w:noWrap w:val="0"/>
                  <w:vAlign w:val="center"/>
                </w:tcPr>
                <w:p w14:paraId="02D81F58">
                  <w:pPr>
                    <w:rPr>
                      <w:rFonts w:hint="eastAsia"/>
                      <w:color w:val="auto"/>
                      <w:highlight w:val="none"/>
                      <w:lang w:val="en-US" w:eastAsia="zh-CN"/>
                    </w:rPr>
                  </w:pPr>
                  <w:r>
                    <w:rPr>
                      <w:rFonts w:hint="eastAsia"/>
                      <w:color w:val="auto"/>
                      <w:highlight w:val="none"/>
                      <w:lang w:val="en-US" w:eastAsia="zh-CN"/>
                    </w:rPr>
                    <w:t>露天堆场，占地面积约1755m</w:t>
                  </w:r>
                  <w:r>
                    <w:rPr>
                      <w:rFonts w:hint="eastAsia"/>
                      <w:color w:val="auto"/>
                      <w:highlight w:val="none"/>
                      <w:vertAlign w:val="superscript"/>
                      <w:lang w:val="en-US" w:eastAsia="zh-CN"/>
                    </w:rPr>
                    <w:t>2</w:t>
                  </w:r>
                  <w:r>
                    <w:rPr>
                      <w:rFonts w:hint="eastAsia"/>
                      <w:color w:val="auto"/>
                      <w:highlight w:val="none"/>
                      <w:lang w:val="en-US" w:eastAsia="zh-CN"/>
                    </w:rPr>
                    <w:t>，用于危险化学品集装箱空箱的堆放，堆放高度15m。</w:t>
                  </w:r>
                </w:p>
              </w:tc>
              <w:tc>
                <w:tcPr>
                  <w:tcW w:w="2064" w:type="dxa"/>
                  <w:vMerge w:val="continue"/>
                  <w:noWrap w:val="0"/>
                  <w:vAlign w:val="center"/>
                </w:tcPr>
                <w:p w14:paraId="1FCAF4AD">
                  <w:pPr>
                    <w:jc w:val="center"/>
                    <w:rPr>
                      <w:rFonts w:hint="eastAsia" w:eastAsia="宋体"/>
                      <w:color w:val="auto"/>
                      <w:highlight w:val="none"/>
                      <w:lang w:val="en-US" w:eastAsia="zh-CN"/>
                    </w:rPr>
                  </w:pPr>
                </w:p>
              </w:tc>
            </w:tr>
            <w:tr w14:paraId="35CD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45" w:type="dxa"/>
                  <w:noWrap w:val="0"/>
                  <w:vAlign w:val="center"/>
                </w:tcPr>
                <w:p w14:paraId="7AD31328">
                  <w:pPr>
                    <w:jc w:val="center"/>
                    <w:rPr>
                      <w:rFonts w:hint="eastAsia" w:eastAsia="宋体"/>
                      <w:lang w:eastAsia="zh-CN"/>
                    </w:rPr>
                  </w:pPr>
                  <w:r>
                    <w:rPr>
                      <w:rFonts w:hint="eastAsia"/>
                      <w:lang w:eastAsia="zh-CN"/>
                    </w:rPr>
                    <w:t>辅助工程</w:t>
                  </w:r>
                </w:p>
              </w:tc>
              <w:tc>
                <w:tcPr>
                  <w:tcW w:w="1583" w:type="dxa"/>
                  <w:noWrap w:val="0"/>
                  <w:vAlign w:val="center"/>
                </w:tcPr>
                <w:p w14:paraId="19E40E5A">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调度中心</w:t>
                  </w:r>
                </w:p>
              </w:tc>
              <w:tc>
                <w:tcPr>
                  <w:tcW w:w="4116" w:type="dxa"/>
                  <w:noWrap w:val="0"/>
                  <w:vAlign w:val="center"/>
                </w:tcPr>
                <w:p w14:paraId="39AC0AC3">
                  <w:pPr>
                    <w:rPr>
                      <w:rFonts w:hint="default" w:eastAsia="宋体"/>
                      <w:color w:val="auto"/>
                      <w:lang w:val="en-US" w:eastAsia="zh-CN"/>
                    </w:rPr>
                  </w:pPr>
                  <w:r>
                    <w:rPr>
                      <w:rFonts w:hint="eastAsia"/>
                      <w:color w:val="auto"/>
                      <w:lang w:val="en-US" w:eastAsia="zh-CN"/>
                    </w:rPr>
                    <w:t>位于危险品集装箱拆装棚南面，1F，占地面积114.20m</w:t>
                  </w:r>
                  <w:r>
                    <w:rPr>
                      <w:rFonts w:hint="eastAsia"/>
                      <w:color w:val="auto"/>
                      <w:vertAlign w:val="superscript"/>
                      <w:lang w:val="en-US" w:eastAsia="zh-CN"/>
                    </w:rPr>
                    <w:t>2</w:t>
                  </w:r>
                  <w:r>
                    <w:rPr>
                      <w:rFonts w:hint="eastAsia"/>
                      <w:color w:val="auto"/>
                      <w:lang w:val="en-US" w:eastAsia="zh-CN"/>
                    </w:rPr>
                    <w:t>。</w:t>
                  </w:r>
                </w:p>
              </w:tc>
              <w:tc>
                <w:tcPr>
                  <w:tcW w:w="2064" w:type="dxa"/>
                  <w:noWrap w:val="0"/>
                  <w:vAlign w:val="center"/>
                </w:tcPr>
                <w:p w14:paraId="763235A0">
                  <w:pPr>
                    <w:jc w:val="center"/>
                    <w:rPr>
                      <w:rFonts w:hint="eastAsia" w:eastAsia="宋体"/>
                      <w:color w:val="auto"/>
                      <w:lang w:eastAsia="zh-CN"/>
                    </w:rPr>
                  </w:pPr>
                  <w:r>
                    <w:rPr>
                      <w:rFonts w:hint="eastAsia"/>
                      <w:color w:val="auto"/>
                      <w:lang w:val="en-US" w:eastAsia="zh-CN"/>
                    </w:rPr>
                    <w:t>新建，未建</w:t>
                  </w:r>
                </w:p>
              </w:tc>
            </w:tr>
            <w:tr w14:paraId="045C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45" w:type="dxa"/>
                  <w:vMerge w:val="restart"/>
                  <w:noWrap w:val="0"/>
                  <w:vAlign w:val="center"/>
                </w:tcPr>
                <w:p w14:paraId="77488022">
                  <w:pPr>
                    <w:jc w:val="center"/>
                  </w:pPr>
                  <w:r>
                    <w:t>公用工程</w:t>
                  </w:r>
                </w:p>
              </w:tc>
              <w:tc>
                <w:tcPr>
                  <w:tcW w:w="1583" w:type="dxa"/>
                  <w:noWrap w:val="0"/>
                  <w:vAlign w:val="center"/>
                </w:tcPr>
                <w:p w14:paraId="4A573C2F">
                  <w:pPr>
                    <w:jc w:val="center"/>
                    <w:rPr>
                      <w:rFonts w:hint="eastAsia" w:eastAsia="宋体"/>
                      <w:color w:val="auto"/>
                      <w:lang w:val="en-US" w:eastAsia="zh-CN"/>
                    </w:rPr>
                  </w:pPr>
                  <w:r>
                    <w:rPr>
                      <w:rFonts w:hint="eastAsia"/>
                      <w:color w:val="auto"/>
                      <w:lang w:val="en-US" w:eastAsia="zh-CN"/>
                    </w:rPr>
                    <w:t>给水</w:t>
                  </w:r>
                </w:p>
              </w:tc>
              <w:tc>
                <w:tcPr>
                  <w:tcW w:w="4116" w:type="dxa"/>
                  <w:noWrap w:val="0"/>
                  <w:vAlign w:val="center"/>
                </w:tcPr>
                <w:p w14:paraId="5E9D73F6">
                  <w:pPr>
                    <w:jc w:val="left"/>
                    <w:rPr>
                      <w:rFonts w:hint="default"/>
                      <w:color w:val="auto"/>
                      <w:u w:val="none"/>
                      <w:lang w:val="en-US" w:eastAsia="zh-CN"/>
                    </w:rPr>
                  </w:pPr>
                  <w:r>
                    <w:rPr>
                      <w:rFonts w:hint="eastAsia"/>
                      <w:color w:val="auto"/>
                      <w:u w:val="none"/>
                      <w:lang w:val="en-US" w:eastAsia="zh-CN"/>
                    </w:rPr>
                    <w:t>由园区自来水厂供给。</w:t>
                  </w:r>
                </w:p>
              </w:tc>
              <w:tc>
                <w:tcPr>
                  <w:tcW w:w="2064" w:type="dxa"/>
                  <w:noWrap w:val="0"/>
                  <w:vAlign w:val="center"/>
                </w:tcPr>
                <w:p w14:paraId="5AB28622">
                  <w:pPr>
                    <w:jc w:val="center"/>
                    <w:rPr>
                      <w:rFonts w:hint="default"/>
                      <w:lang w:val="en-US" w:eastAsia="zh-CN"/>
                    </w:rPr>
                  </w:pPr>
                  <w:r>
                    <w:rPr>
                      <w:rFonts w:hint="eastAsia"/>
                      <w:lang w:val="en-US" w:eastAsia="zh-CN"/>
                    </w:rPr>
                    <w:t>依托现有工程</w:t>
                  </w:r>
                </w:p>
              </w:tc>
            </w:tr>
            <w:tr w14:paraId="1960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45" w:type="dxa"/>
                  <w:vMerge w:val="continue"/>
                  <w:noWrap w:val="0"/>
                  <w:vAlign w:val="center"/>
                </w:tcPr>
                <w:p w14:paraId="195A47B5">
                  <w:pPr>
                    <w:jc w:val="center"/>
                  </w:pPr>
                </w:p>
              </w:tc>
              <w:tc>
                <w:tcPr>
                  <w:tcW w:w="1583" w:type="dxa"/>
                  <w:noWrap w:val="0"/>
                  <w:vAlign w:val="center"/>
                </w:tcPr>
                <w:p w14:paraId="6626DD2C">
                  <w:pPr>
                    <w:jc w:val="center"/>
                    <w:rPr>
                      <w:color w:val="auto"/>
                    </w:rPr>
                  </w:pPr>
                  <w:r>
                    <w:rPr>
                      <w:color w:val="auto"/>
                    </w:rPr>
                    <w:t>排水</w:t>
                  </w:r>
                </w:p>
              </w:tc>
              <w:tc>
                <w:tcPr>
                  <w:tcW w:w="4116" w:type="dxa"/>
                  <w:noWrap w:val="0"/>
                  <w:vAlign w:val="center"/>
                </w:tcPr>
                <w:p w14:paraId="10776F81">
                  <w:pPr>
                    <w:jc w:val="left"/>
                    <w:rPr>
                      <w:rFonts w:hint="eastAsia"/>
                      <w:color w:val="auto"/>
                      <w:u w:val="none"/>
                    </w:rPr>
                  </w:pPr>
                  <w:r>
                    <w:rPr>
                      <w:rFonts w:hint="eastAsia"/>
                      <w:color w:val="auto"/>
                      <w:u w:val="none"/>
                      <w:lang w:eastAsia="zh-CN"/>
                    </w:rPr>
                    <w:t>初期雨水经</w:t>
                  </w:r>
                  <w:r>
                    <w:rPr>
                      <w:rFonts w:hint="eastAsia"/>
                      <w:color w:val="auto"/>
                      <w:u w:val="none"/>
                      <w:lang w:val="en-US" w:eastAsia="zh-CN"/>
                    </w:rPr>
                    <w:t>360m</w:t>
                  </w:r>
                  <w:r>
                    <w:rPr>
                      <w:rFonts w:hint="eastAsia"/>
                      <w:color w:val="auto"/>
                      <w:u w:val="none"/>
                      <w:vertAlign w:val="superscript"/>
                      <w:lang w:val="en-US" w:eastAsia="zh-CN"/>
                    </w:rPr>
                    <w:t>3</w:t>
                  </w:r>
                  <w:r>
                    <w:rPr>
                      <w:rFonts w:hint="eastAsia"/>
                      <w:color w:val="auto"/>
                      <w:u w:val="none"/>
                      <w:lang w:eastAsia="zh-CN"/>
                    </w:rPr>
                    <w:t>初期雨水池</w:t>
                  </w:r>
                  <w:r>
                    <w:rPr>
                      <w:rFonts w:hint="eastAsia"/>
                      <w:color w:val="auto"/>
                      <w:u w:val="none"/>
                      <w:lang w:val="en-US" w:eastAsia="zh-CN"/>
                    </w:rPr>
                    <w:t>收集后排至钦州港工业污水集中处理厂处理</w:t>
                  </w:r>
                  <w:r>
                    <w:rPr>
                      <w:rFonts w:hint="eastAsia"/>
                      <w:color w:val="auto"/>
                      <w:u w:val="none"/>
                      <w:lang w:eastAsia="zh-CN"/>
                    </w:rPr>
                    <w:t>；事故废水</w:t>
                  </w:r>
                  <w:r>
                    <w:rPr>
                      <w:rFonts w:hint="eastAsia"/>
                      <w:color w:val="auto"/>
                      <w:u w:val="none"/>
                      <w:lang w:val="en-US" w:eastAsia="zh-CN"/>
                    </w:rPr>
                    <w:t>经新建1000m</w:t>
                  </w:r>
                  <w:r>
                    <w:rPr>
                      <w:rFonts w:hint="eastAsia"/>
                      <w:color w:val="auto"/>
                      <w:u w:val="none"/>
                      <w:vertAlign w:val="superscript"/>
                      <w:lang w:val="en-US" w:eastAsia="zh-CN"/>
                    </w:rPr>
                    <w:t>3</w:t>
                  </w:r>
                  <w:r>
                    <w:rPr>
                      <w:rFonts w:hint="eastAsia"/>
                      <w:color w:val="auto"/>
                      <w:u w:val="none"/>
                      <w:lang w:eastAsia="zh-CN"/>
                    </w:rPr>
                    <w:t>事故应急池</w:t>
                  </w:r>
                  <w:r>
                    <w:rPr>
                      <w:rFonts w:hint="eastAsia"/>
                      <w:color w:val="auto"/>
                      <w:u w:val="none"/>
                      <w:lang w:val="en-US" w:eastAsia="zh-CN"/>
                    </w:rPr>
                    <w:t>收集后经监测满足钦州港工业污水集中处理厂进水水质的，可抽运至钦州港工业污水集中处理厂处理，不符合钦州港工业污水集中处理厂进水水质要求的，委托有能力处置的单位处置</w:t>
                  </w:r>
                  <w:r>
                    <w:rPr>
                      <w:rFonts w:hint="eastAsia"/>
                      <w:color w:val="auto"/>
                      <w:u w:val="none"/>
                      <w:lang w:eastAsia="zh-CN"/>
                    </w:rPr>
                    <w:t>。</w:t>
                  </w:r>
                </w:p>
              </w:tc>
              <w:tc>
                <w:tcPr>
                  <w:tcW w:w="2064" w:type="dxa"/>
                  <w:noWrap w:val="0"/>
                  <w:vAlign w:val="center"/>
                </w:tcPr>
                <w:p w14:paraId="5ECD8740">
                  <w:pPr>
                    <w:jc w:val="center"/>
                    <w:rPr>
                      <w:rFonts w:hint="default" w:eastAsia="宋体"/>
                      <w:u w:val="none"/>
                      <w:lang w:val="en-US" w:eastAsia="zh-CN"/>
                    </w:rPr>
                  </w:pPr>
                  <w:r>
                    <w:rPr>
                      <w:rFonts w:hint="eastAsia"/>
                      <w:u w:val="none"/>
                      <w:lang w:val="en-US" w:eastAsia="zh-CN"/>
                    </w:rPr>
                    <w:t>新建初期雨水和事故应急池</w:t>
                  </w:r>
                </w:p>
              </w:tc>
            </w:tr>
            <w:tr w14:paraId="7FF9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45" w:type="dxa"/>
                  <w:vMerge w:val="continue"/>
                  <w:noWrap w:val="0"/>
                  <w:vAlign w:val="center"/>
                </w:tcPr>
                <w:p w14:paraId="56939245">
                  <w:pPr>
                    <w:jc w:val="center"/>
                  </w:pPr>
                </w:p>
              </w:tc>
              <w:tc>
                <w:tcPr>
                  <w:tcW w:w="1583" w:type="dxa"/>
                  <w:noWrap w:val="0"/>
                  <w:vAlign w:val="center"/>
                </w:tcPr>
                <w:p w14:paraId="6C139681">
                  <w:pPr>
                    <w:jc w:val="center"/>
                    <w:rPr>
                      <w:color w:val="auto"/>
                    </w:rPr>
                  </w:pPr>
                  <w:r>
                    <w:rPr>
                      <w:color w:val="auto"/>
                    </w:rPr>
                    <w:t>供电</w:t>
                  </w:r>
                </w:p>
              </w:tc>
              <w:tc>
                <w:tcPr>
                  <w:tcW w:w="4116" w:type="dxa"/>
                  <w:noWrap w:val="0"/>
                  <w:vAlign w:val="center"/>
                </w:tcPr>
                <w:p w14:paraId="3F4CAAD5">
                  <w:pPr>
                    <w:jc w:val="left"/>
                    <w:rPr>
                      <w:rFonts w:hint="eastAsia" w:eastAsia="宋体"/>
                      <w:color w:val="auto"/>
                      <w:u w:val="none"/>
                      <w:lang w:eastAsia="zh-CN"/>
                    </w:rPr>
                  </w:pPr>
                  <w:r>
                    <w:rPr>
                      <w:rFonts w:hint="eastAsia"/>
                      <w:color w:val="auto"/>
                      <w:u w:val="none"/>
                    </w:rPr>
                    <w:t>由</w:t>
                  </w:r>
                  <w:r>
                    <w:rPr>
                      <w:rFonts w:hint="eastAsia"/>
                      <w:color w:val="auto"/>
                      <w:u w:val="none"/>
                      <w:lang w:eastAsia="zh-CN"/>
                    </w:rPr>
                    <w:t>园区</w:t>
                  </w:r>
                  <w:r>
                    <w:rPr>
                      <w:rFonts w:hint="eastAsia"/>
                      <w:color w:val="auto"/>
                      <w:u w:val="none"/>
                    </w:rPr>
                    <w:t>电网供给</w:t>
                  </w:r>
                  <w:r>
                    <w:rPr>
                      <w:rFonts w:hint="eastAsia"/>
                      <w:color w:val="auto"/>
                      <w:u w:val="none"/>
                      <w:lang w:eastAsia="zh-CN"/>
                    </w:rPr>
                    <w:t>。</w:t>
                  </w:r>
                </w:p>
              </w:tc>
              <w:tc>
                <w:tcPr>
                  <w:tcW w:w="2064" w:type="dxa"/>
                  <w:noWrap w:val="0"/>
                  <w:vAlign w:val="center"/>
                </w:tcPr>
                <w:p w14:paraId="578D129F">
                  <w:pPr>
                    <w:jc w:val="center"/>
                    <w:rPr>
                      <w:rFonts w:hint="eastAsia"/>
                      <w:u w:val="none"/>
                    </w:rPr>
                  </w:pPr>
                  <w:r>
                    <w:rPr>
                      <w:rFonts w:hint="eastAsia"/>
                      <w:lang w:val="en-US" w:eastAsia="zh-CN"/>
                    </w:rPr>
                    <w:t>依托现有工程</w:t>
                  </w:r>
                </w:p>
              </w:tc>
            </w:tr>
            <w:tr w14:paraId="627F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45" w:type="dxa"/>
                  <w:vMerge w:val="restart"/>
                  <w:noWrap w:val="0"/>
                  <w:vAlign w:val="center"/>
                </w:tcPr>
                <w:p w14:paraId="57EC46D1">
                  <w:r>
                    <w:t>环保工程</w:t>
                  </w:r>
                </w:p>
              </w:tc>
              <w:tc>
                <w:tcPr>
                  <w:tcW w:w="1583" w:type="dxa"/>
                  <w:noWrap w:val="0"/>
                  <w:vAlign w:val="center"/>
                </w:tcPr>
                <w:p w14:paraId="26DD21C3">
                  <w:pPr>
                    <w:jc w:val="center"/>
                    <w:rPr>
                      <w:color w:val="auto"/>
                    </w:rPr>
                  </w:pPr>
                  <w:r>
                    <w:rPr>
                      <w:color w:val="auto"/>
                    </w:rPr>
                    <w:t>废气治理措施</w:t>
                  </w:r>
                </w:p>
              </w:tc>
              <w:tc>
                <w:tcPr>
                  <w:tcW w:w="4116" w:type="dxa"/>
                  <w:noWrap w:val="0"/>
                  <w:vAlign w:val="center"/>
                </w:tcPr>
                <w:p w14:paraId="27D6325B">
                  <w:pPr>
                    <w:jc w:val="left"/>
                    <w:rPr>
                      <w:rFonts w:hint="default" w:eastAsia="宋体"/>
                      <w:color w:val="auto"/>
                      <w:u w:val="none"/>
                      <w:lang w:val="en-US" w:eastAsia="zh-CN"/>
                    </w:rPr>
                  </w:pPr>
                  <w:r>
                    <w:rPr>
                      <w:rFonts w:hint="eastAsia" w:eastAsia="宋体"/>
                      <w:color w:val="auto"/>
                      <w:u w:val="none"/>
                      <w:lang w:val="en-US" w:eastAsia="zh-CN"/>
                    </w:rPr>
                    <w:t>无组织废气采用加强通风措施。</w:t>
                  </w:r>
                </w:p>
              </w:tc>
              <w:tc>
                <w:tcPr>
                  <w:tcW w:w="2064" w:type="dxa"/>
                  <w:noWrap w:val="0"/>
                  <w:vAlign w:val="center"/>
                </w:tcPr>
                <w:p w14:paraId="3023259D">
                  <w:pPr>
                    <w:jc w:val="center"/>
                    <w:rPr>
                      <w:rFonts w:hint="eastAsia" w:eastAsia="宋体"/>
                      <w:u w:val="none"/>
                      <w:lang w:eastAsia="zh-CN"/>
                    </w:rPr>
                  </w:pPr>
                  <w:r>
                    <w:rPr>
                      <w:rFonts w:hint="eastAsia"/>
                      <w:lang w:val="en-US" w:eastAsia="zh-CN"/>
                    </w:rPr>
                    <w:t>新建</w:t>
                  </w:r>
                </w:p>
              </w:tc>
            </w:tr>
            <w:tr w14:paraId="5D27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45" w:type="dxa"/>
                  <w:vMerge w:val="continue"/>
                  <w:noWrap w:val="0"/>
                  <w:vAlign w:val="center"/>
                </w:tcPr>
                <w:p w14:paraId="1DF70621">
                  <w:pPr>
                    <w:jc w:val="center"/>
                  </w:pPr>
                </w:p>
              </w:tc>
              <w:tc>
                <w:tcPr>
                  <w:tcW w:w="1583" w:type="dxa"/>
                  <w:noWrap w:val="0"/>
                  <w:vAlign w:val="center"/>
                </w:tcPr>
                <w:p w14:paraId="00354EC3">
                  <w:pPr>
                    <w:jc w:val="center"/>
                    <w:rPr>
                      <w:rFonts w:hint="eastAsia"/>
                      <w:color w:val="auto"/>
                    </w:rPr>
                  </w:pPr>
                  <w:r>
                    <w:rPr>
                      <w:rFonts w:hint="eastAsia"/>
                      <w:color w:val="auto"/>
                    </w:rPr>
                    <w:t>防渗防腐</w:t>
                  </w:r>
                </w:p>
                <w:p w14:paraId="7EE131B2">
                  <w:pPr>
                    <w:jc w:val="center"/>
                    <w:rPr>
                      <w:rFonts w:hint="eastAsia"/>
                      <w:color w:val="auto"/>
                    </w:rPr>
                  </w:pPr>
                  <w:r>
                    <w:rPr>
                      <w:rFonts w:hint="eastAsia"/>
                      <w:color w:val="auto"/>
                    </w:rPr>
                    <w:t>系统</w:t>
                  </w:r>
                </w:p>
              </w:tc>
              <w:tc>
                <w:tcPr>
                  <w:tcW w:w="4116" w:type="dxa"/>
                  <w:noWrap w:val="0"/>
                  <w:vAlign w:val="center"/>
                </w:tcPr>
                <w:p w14:paraId="2079F85D">
                  <w:pPr>
                    <w:jc w:val="left"/>
                    <w:rPr>
                      <w:rFonts w:hint="eastAsia"/>
                      <w:color w:val="auto"/>
                      <w:u w:val="none"/>
                    </w:rPr>
                  </w:pPr>
                  <w:r>
                    <w:rPr>
                      <w:rFonts w:hint="eastAsia"/>
                      <w:color w:val="auto"/>
                      <w:u w:val="none"/>
                      <w:lang w:val="en-US" w:eastAsia="zh-CN"/>
                    </w:rPr>
                    <w:t>2号仓库、4号仓库、5号仓库、初期雨水池、事故应急池、危险废物暂存间、导流沟</w:t>
                  </w:r>
                  <w:r>
                    <w:rPr>
                      <w:rFonts w:hint="eastAsia"/>
                      <w:color w:val="auto"/>
                      <w:u w:val="none"/>
                    </w:rPr>
                    <w:t>防渗结构层渗透系数≤1.0×10</w:t>
                  </w:r>
                  <w:r>
                    <w:rPr>
                      <w:rFonts w:hint="eastAsia"/>
                      <w:color w:val="auto"/>
                      <w:u w:val="none"/>
                      <w:vertAlign w:val="superscript"/>
                      <w:lang w:val="en-US" w:eastAsia="zh-CN"/>
                    </w:rPr>
                    <w:t>-7</w:t>
                  </w:r>
                  <w:r>
                    <w:rPr>
                      <w:rFonts w:hint="eastAsia"/>
                      <w:color w:val="auto"/>
                      <w:u w:val="none"/>
                    </w:rPr>
                    <w:t>cm/s。</w:t>
                  </w:r>
                </w:p>
              </w:tc>
              <w:tc>
                <w:tcPr>
                  <w:tcW w:w="2064" w:type="dxa"/>
                  <w:noWrap w:val="0"/>
                  <w:vAlign w:val="center"/>
                </w:tcPr>
                <w:p w14:paraId="350D7597">
                  <w:pPr>
                    <w:jc w:val="center"/>
                    <w:rPr>
                      <w:u w:val="single"/>
                    </w:rPr>
                  </w:pPr>
                  <w:r>
                    <w:rPr>
                      <w:rFonts w:hint="eastAsia"/>
                      <w:lang w:val="en-US" w:eastAsia="zh-CN"/>
                    </w:rPr>
                    <w:t>新建，未建</w:t>
                  </w:r>
                </w:p>
              </w:tc>
            </w:tr>
            <w:tr w14:paraId="2EEC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45" w:type="dxa"/>
                  <w:vMerge w:val="continue"/>
                  <w:noWrap w:val="0"/>
                  <w:vAlign w:val="center"/>
                </w:tcPr>
                <w:p w14:paraId="6B2437C6">
                  <w:pPr>
                    <w:jc w:val="center"/>
                  </w:pPr>
                </w:p>
              </w:tc>
              <w:tc>
                <w:tcPr>
                  <w:tcW w:w="1583" w:type="dxa"/>
                  <w:noWrap w:val="0"/>
                  <w:vAlign w:val="center"/>
                </w:tcPr>
                <w:p w14:paraId="0C4448AA">
                  <w:pPr>
                    <w:jc w:val="center"/>
                    <w:rPr>
                      <w:rFonts w:hint="eastAsia"/>
                      <w:color w:val="auto"/>
                      <w:u w:val="none"/>
                    </w:rPr>
                  </w:pPr>
                  <w:r>
                    <w:rPr>
                      <w:rFonts w:hint="eastAsia"/>
                      <w:color w:val="auto"/>
                      <w:u w:val="none"/>
                    </w:rPr>
                    <w:t>导流沟</w:t>
                  </w:r>
                </w:p>
              </w:tc>
              <w:tc>
                <w:tcPr>
                  <w:tcW w:w="4116" w:type="dxa"/>
                  <w:noWrap w:val="0"/>
                  <w:vAlign w:val="center"/>
                </w:tcPr>
                <w:p w14:paraId="3F8B66B6">
                  <w:pPr>
                    <w:jc w:val="left"/>
                    <w:rPr>
                      <w:rFonts w:hint="eastAsia" w:eastAsia="宋体"/>
                      <w:color w:val="auto"/>
                      <w:u w:val="none"/>
                      <w:lang w:eastAsia="zh-CN"/>
                    </w:rPr>
                  </w:pPr>
                  <w:r>
                    <w:rPr>
                      <w:rFonts w:hint="eastAsia"/>
                      <w:color w:val="auto"/>
                      <w:u w:val="none"/>
                      <w:lang w:val="en-US" w:eastAsia="zh-CN"/>
                    </w:rPr>
                    <w:t>2号仓库、4号仓库、5号仓库设独立导流沟，导流沟连接事故应急池</w:t>
                  </w:r>
                  <w:r>
                    <w:rPr>
                      <w:rFonts w:hint="eastAsia"/>
                      <w:color w:val="auto"/>
                      <w:u w:val="none"/>
                      <w:lang w:eastAsia="zh-CN"/>
                    </w:rPr>
                    <w:t>。</w:t>
                  </w:r>
                </w:p>
              </w:tc>
              <w:tc>
                <w:tcPr>
                  <w:tcW w:w="2064" w:type="dxa"/>
                  <w:noWrap w:val="0"/>
                  <w:vAlign w:val="center"/>
                </w:tcPr>
                <w:p w14:paraId="6B6A5E77">
                  <w:pPr>
                    <w:jc w:val="center"/>
                    <w:rPr>
                      <w:rFonts w:hint="eastAsia"/>
                      <w:lang w:val="en-US" w:eastAsia="zh-CN"/>
                    </w:rPr>
                  </w:pPr>
                  <w:r>
                    <w:rPr>
                      <w:rFonts w:hint="eastAsia"/>
                      <w:lang w:val="en-US" w:eastAsia="zh-CN"/>
                    </w:rPr>
                    <w:t>新建，未建</w:t>
                  </w:r>
                </w:p>
              </w:tc>
            </w:tr>
            <w:tr w14:paraId="0D98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45" w:type="dxa"/>
                  <w:vMerge w:val="continue"/>
                  <w:noWrap w:val="0"/>
                  <w:vAlign w:val="center"/>
                </w:tcPr>
                <w:p w14:paraId="5436055D">
                  <w:pPr>
                    <w:jc w:val="center"/>
                  </w:pPr>
                </w:p>
              </w:tc>
              <w:tc>
                <w:tcPr>
                  <w:tcW w:w="1583" w:type="dxa"/>
                  <w:noWrap w:val="0"/>
                  <w:vAlign w:val="center"/>
                </w:tcPr>
                <w:p w14:paraId="1DC68D0B">
                  <w:pPr>
                    <w:jc w:val="center"/>
                    <w:rPr>
                      <w:rFonts w:hint="eastAsia" w:eastAsia="宋体"/>
                      <w:color w:val="auto"/>
                      <w:u w:val="single"/>
                      <w:lang w:val="en-US" w:eastAsia="zh-CN"/>
                    </w:rPr>
                  </w:pPr>
                  <w:r>
                    <w:rPr>
                      <w:rFonts w:hint="eastAsia"/>
                      <w:color w:val="auto"/>
                      <w:u w:val="none"/>
                      <w:lang w:val="en-US" w:eastAsia="zh-CN"/>
                    </w:rPr>
                    <w:t>收集池</w:t>
                  </w:r>
                </w:p>
              </w:tc>
              <w:tc>
                <w:tcPr>
                  <w:tcW w:w="4116" w:type="dxa"/>
                  <w:noWrap w:val="0"/>
                  <w:vAlign w:val="center"/>
                </w:tcPr>
                <w:p w14:paraId="7D3DC9AD">
                  <w:pPr>
                    <w:jc w:val="left"/>
                    <w:rPr>
                      <w:rFonts w:hint="default"/>
                      <w:color w:val="auto"/>
                      <w:u w:val="none"/>
                      <w:lang w:val="en-US" w:eastAsia="zh-CN"/>
                    </w:rPr>
                  </w:pPr>
                  <w:r>
                    <w:rPr>
                      <w:rFonts w:hint="eastAsia"/>
                      <w:color w:val="auto"/>
                      <w:u w:val="none"/>
                      <w:lang w:val="en-US" w:eastAsia="zh-CN"/>
                    </w:rPr>
                    <w:t>2号仓库、4号仓库、5号仓库均各设1个2m</w:t>
                  </w:r>
                  <w:r>
                    <w:rPr>
                      <w:rFonts w:hint="eastAsia"/>
                      <w:color w:val="auto"/>
                      <w:u w:val="none"/>
                      <w:vertAlign w:val="superscript"/>
                      <w:lang w:val="en-US" w:eastAsia="zh-CN"/>
                    </w:rPr>
                    <w:t>3</w:t>
                  </w:r>
                  <w:r>
                    <w:rPr>
                      <w:rFonts w:hint="eastAsia"/>
                      <w:color w:val="auto"/>
                      <w:u w:val="none"/>
                      <w:lang w:val="en-US" w:eastAsia="zh-CN"/>
                    </w:rPr>
                    <w:t>收集池，用于收集事故情况下的消防废水、冲洗废水或泄漏的废液，收集池连接事故应急池。</w:t>
                  </w:r>
                </w:p>
              </w:tc>
              <w:tc>
                <w:tcPr>
                  <w:tcW w:w="2064" w:type="dxa"/>
                  <w:noWrap w:val="0"/>
                  <w:vAlign w:val="center"/>
                </w:tcPr>
                <w:p w14:paraId="77C05038">
                  <w:pPr>
                    <w:jc w:val="center"/>
                    <w:rPr>
                      <w:rFonts w:hint="default"/>
                      <w:lang w:val="en-US" w:eastAsia="zh-CN"/>
                    </w:rPr>
                  </w:pPr>
                  <w:r>
                    <w:rPr>
                      <w:rFonts w:hint="eastAsia"/>
                      <w:lang w:val="en-US" w:eastAsia="zh-CN"/>
                    </w:rPr>
                    <w:t>新建，未建</w:t>
                  </w:r>
                </w:p>
              </w:tc>
            </w:tr>
            <w:tr w14:paraId="132E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5" w:type="dxa"/>
                  <w:vMerge w:val="continue"/>
                  <w:noWrap w:val="0"/>
                  <w:vAlign w:val="center"/>
                </w:tcPr>
                <w:p w14:paraId="3711455C">
                  <w:pPr>
                    <w:jc w:val="center"/>
                  </w:pPr>
                </w:p>
              </w:tc>
              <w:tc>
                <w:tcPr>
                  <w:tcW w:w="1583" w:type="dxa"/>
                  <w:noWrap w:val="0"/>
                  <w:vAlign w:val="center"/>
                </w:tcPr>
                <w:p w14:paraId="4C83953D">
                  <w:pPr>
                    <w:jc w:val="center"/>
                    <w:rPr>
                      <w:rFonts w:hint="eastAsia"/>
                      <w:color w:val="auto"/>
                    </w:rPr>
                  </w:pPr>
                  <w:r>
                    <w:rPr>
                      <w:rFonts w:hint="eastAsia"/>
                      <w:color w:val="auto"/>
                      <w:lang w:eastAsia="zh-CN"/>
                    </w:rPr>
                    <w:t>事故</w:t>
                  </w:r>
                  <w:r>
                    <w:rPr>
                      <w:rFonts w:hint="eastAsia"/>
                      <w:color w:val="auto"/>
                    </w:rPr>
                    <w:t>应急池</w:t>
                  </w:r>
                </w:p>
              </w:tc>
              <w:tc>
                <w:tcPr>
                  <w:tcW w:w="4116" w:type="dxa"/>
                  <w:noWrap w:val="0"/>
                  <w:vAlign w:val="center"/>
                </w:tcPr>
                <w:p w14:paraId="5B208396">
                  <w:pPr>
                    <w:jc w:val="left"/>
                    <w:rPr>
                      <w:rFonts w:hint="default" w:eastAsia="宋体"/>
                      <w:color w:val="auto"/>
                      <w:u w:val="none"/>
                      <w:lang w:val="en-US" w:eastAsia="zh-CN"/>
                    </w:rPr>
                  </w:pPr>
                  <w:r>
                    <w:rPr>
                      <w:rFonts w:hint="eastAsia"/>
                      <w:color w:val="auto"/>
                      <w:u w:val="none"/>
                      <w:lang w:val="en-US" w:eastAsia="zh-CN"/>
                    </w:rPr>
                    <w:t>一</w:t>
                  </w:r>
                  <w:r>
                    <w:rPr>
                      <w:rFonts w:hint="eastAsia"/>
                      <w:color w:val="000000"/>
                      <w:u w:val="none"/>
                      <w:lang w:val="en-US" w:eastAsia="zh-CN"/>
                    </w:rPr>
                    <w:t>座1000m</w:t>
                  </w:r>
                  <w:r>
                    <w:rPr>
                      <w:rFonts w:hint="eastAsia"/>
                      <w:color w:val="000000"/>
                      <w:u w:val="none"/>
                      <w:vertAlign w:val="superscript"/>
                      <w:lang w:val="en-US" w:eastAsia="zh-CN"/>
                    </w:rPr>
                    <w:t>3</w:t>
                  </w:r>
                  <w:r>
                    <w:rPr>
                      <w:rFonts w:hint="eastAsia"/>
                      <w:color w:val="000000"/>
                      <w:u w:val="none"/>
                      <w:lang w:eastAsia="zh-CN"/>
                    </w:rPr>
                    <w:t>事</w:t>
                  </w:r>
                  <w:r>
                    <w:rPr>
                      <w:rFonts w:hint="eastAsia"/>
                      <w:color w:val="auto"/>
                      <w:u w:val="none"/>
                      <w:lang w:eastAsia="zh-CN"/>
                    </w:rPr>
                    <w:t>故应急池，</w:t>
                  </w:r>
                  <w:r>
                    <w:rPr>
                      <w:rFonts w:hint="eastAsia"/>
                      <w:color w:val="auto"/>
                      <w:u w:val="none"/>
                      <w:lang w:val="en-US" w:eastAsia="zh-CN"/>
                    </w:rPr>
                    <w:t>位于3号仓库西南面</w:t>
                  </w:r>
                  <w:r>
                    <w:rPr>
                      <w:rFonts w:hint="eastAsia"/>
                      <w:color w:val="auto"/>
                      <w:u w:val="none"/>
                      <w:lang w:eastAsia="zh-CN"/>
                    </w:rPr>
                    <w:t>。</w:t>
                  </w:r>
                  <w:r>
                    <w:rPr>
                      <w:rFonts w:hint="eastAsia"/>
                      <w:color w:val="auto"/>
                      <w:u w:val="none"/>
                      <w:lang w:val="en-US" w:eastAsia="zh-CN"/>
                    </w:rPr>
                    <w:t>危险化学品仓库设导流沟，导流沟与1000m</w:t>
                  </w:r>
                  <w:r>
                    <w:rPr>
                      <w:rFonts w:hint="eastAsia"/>
                      <w:color w:val="auto"/>
                      <w:u w:val="none"/>
                      <w:vertAlign w:val="superscript"/>
                      <w:lang w:val="en-US" w:eastAsia="zh-CN"/>
                    </w:rPr>
                    <w:t>3</w:t>
                  </w:r>
                  <w:r>
                    <w:rPr>
                      <w:rFonts w:hint="eastAsia"/>
                      <w:color w:val="auto"/>
                      <w:u w:val="none"/>
                      <w:lang w:val="en-US" w:eastAsia="zh-CN"/>
                    </w:rPr>
                    <w:t>事故应急池相连接。</w:t>
                  </w:r>
                </w:p>
              </w:tc>
              <w:tc>
                <w:tcPr>
                  <w:tcW w:w="2064" w:type="dxa"/>
                  <w:noWrap w:val="0"/>
                  <w:vAlign w:val="center"/>
                </w:tcPr>
                <w:p w14:paraId="6FC303EA">
                  <w:pPr>
                    <w:jc w:val="center"/>
                    <w:rPr>
                      <w:rFonts w:hint="default"/>
                      <w:u w:val="none"/>
                      <w:lang w:val="en-US"/>
                    </w:rPr>
                  </w:pPr>
                  <w:r>
                    <w:rPr>
                      <w:rFonts w:hint="eastAsia"/>
                      <w:lang w:val="en-US" w:eastAsia="zh-CN"/>
                    </w:rPr>
                    <w:t>事故应急池已建设，未重点防渗</w:t>
                  </w:r>
                </w:p>
              </w:tc>
            </w:tr>
            <w:tr w14:paraId="033D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5" w:type="dxa"/>
                  <w:vMerge w:val="continue"/>
                  <w:noWrap w:val="0"/>
                  <w:vAlign w:val="center"/>
                </w:tcPr>
                <w:p w14:paraId="35E47220">
                  <w:pPr>
                    <w:jc w:val="center"/>
                  </w:pPr>
                </w:p>
              </w:tc>
              <w:tc>
                <w:tcPr>
                  <w:tcW w:w="1583" w:type="dxa"/>
                  <w:noWrap w:val="0"/>
                  <w:vAlign w:val="center"/>
                </w:tcPr>
                <w:p w14:paraId="15343228">
                  <w:pPr>
                    <w:jc w:val="center"/>
                    <w:rPr>
                      <w:rFonts w:hint="default"/>
                      <w:color w:val="auto"/>
                      <w:lang w:val="en-US" w:eastAsia="zh-CN"/>
                    </w:rPr>
                  </w:pPr>
                  <w:r>
                    <w:rPr>
                      <w:rFonts w:hint="eastAsia"/>
                      <w:color w:val="auto"/>
                      <w:lang w:val="en-US" w:eastAsia="zh-CN"/>
                    </w:rPr>
                    <w:t>危废暂存间</w:t>
                  </w:r>
                </w:p>
              </w:tc>
              <w:tc>
                <w:tcPr>
                  <w:tcW w:w="4116" w:type="dxa"/>
                  <w:noWrap w:val="0"/>
                  <w:vAlign w:val="center"/>
                </w:tcPr>
                <w:p w14:paraId="75223F87">
                  <w:pPr>
                    <w:jc w:val="left"/>
                    <w:rPr>
                      <w:rFonts w:hint="default"/>
                      <w:color w:val="auto"/>
                      <w:u w:val="none"/>
                      <w:lang w:val="en-US" w:eastAsia="zh-CN"/>
                    </w:rPr>
                  </w:pPr>
                  <w:r>
                    <w:rPr>
                      <w:rFonts w:hint="eastAsia"/>
                      <w:color w:val="auto"/>
                      <w:u w:val="none"/>
                      <w:lang w:val="en-US" w:eastAsia="zh-CN"/>
                    </w:rPr>
                    <w:t>2m</w:t>
                  </w:r>
                  <w:r>
                    <w:rPr>
                      <w:rFonts w:hint="eastAsia"/>
                      <w:color w:val="auto"/>
                      <w:u w:val="none"/>
                      <w:vertAlign w:val="superscript"/>
                      <w:lang w:val="en-US" w:eastAsia="zh-CN"/>
                    </w:rPr>
                    <w:t>2</w:t>
                  </w:r>
                  <w:r>
                    <w:rPr>
                      <w:rFonts w:hint="eastAsia"/>
                      <w:color w:val="auto"/>
                      <w:u w:val="none"/>
                      <w:lang w:val="en-US" w:eastAsia="zh-CN"/>
                    </w:rPr>
                    <w:t>，位于调度中心，用于贮存项目可能产生的危险废物。</w:t>
                  </w:r>
                </w:p>
              </w:tc>
              <w:tc>
                <w:tcPr>
                  <w:tcW w:w="2064" w:type="dxa"/>
                  <w:noWrap w:val="0"/>
                  <w:vAlign w:val="center"/>
                </w:tcPr>
                <w:p w14:paraId="25C103EE">
                  <w:pPr>
                    <w:jc w:val="center"/>
                    <w:rPr>
                      <w:rFonts w:hint="default"/>
                      <w:lang w:val="en-US" w:eastAsia="zh-CN"/>
                    </w:rPr>
                  </w:pPr>
                  <w:r>
                    <w:rPr>
                      <w:rFonts w:hint="eastAsia"/>
                      <w:lang w:val="en-US" w:eastAsia="zh-CN"/>
                    </w:rPr>
                    <w:t>新建，未建</w:t>
                  </w:r>
                </w:p>
              </w:tc>
            </w:tr>
            <w:tr w14:paraId="4B70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5" w:type="dxa"/>
                  <w:vMerge w:val="continue"/>
                  <w:noWrap w:val="0"/>
                  <w:vAlign w:val="center"/>
                </w:tcPr>
                <w:p w14:paraId="2AC65783">
                  <w:pPr>
                    <w:jc w:val="center"/>
                  </w:pPr>
                </w:p>
              </w:tc>
              <w:tc>
                <w:tcPr>
                  <w:tcW w:w="1583" w:type="dxa"/>
                  <w:noWrap w:val="0"/>
                  <w:vAlign w:val="center"/>
                </w:tcPr>
                <w:p w14:paraId="5D8AADF9">
                  <w:pPr>
                    <w:jc w:val="center"/>
                    <w:rPr>
                      <w:rFonts w:hint="eastAsia"/>
                      <w:color w:val="auto"/>
                      <w:lang w:eastAsia="zh-CN"/>
                    </w:rPr>
                  </w:pPr>
                  <w:r>
                    <w:rPr>
                      <w:rFonts w:hint="eastAsia"/>
                      <w:color w:val="auto"/>
                      <w:lang w:eastAsia="zh-CN"/>
                    </w:rPr>
                    <w:t>初期雨水收集池</w:t>
                  </w:r>
                </w:p>
              </w:tc>
              <w:tc>
                <w:tcPr>
                  <w:tcW w:w="4116" w:type="dxa"/>
                  <w:noWrap w:val="0"/>
                  <w:vAlign w:val="center"/>
                </w:tcPr>
                <w:p w14:paraId="076C5626">
                  <w:pPr>
                    <w:jc w:val="left"/>
                    <w:rPr>
                      <w:rFonts w:hint="eastAsia" w:eastAsia="宋体"/>
                      <w:color w:val="auto"/>
                      <w:u w:val="none"/>
                      <w:lang w:val="en-US" w:eastAsia="zh-CN"/>
                    </w:rPr>
                  </w:pPr>
                  <w:r>
                    <w:rPr>
                      <w:rFonts w:hint="eastAsia"/>
                      <w:color w:val="auto"/>
                      <w:u w:val="none"/>
                      <w:lang w:eastAsia="zh-CN"/>
                    </w:rPr>
                    <w:t>容积为</w:t>
                  </w:r>
                  <w:r>
                    <w:rPr>
                      <w:rFonts w:hint="eastAsia"/>
                      <w:color w:val="auto"/>
                      <w:u w:val="none"/>
                      <w:lang w:val="en-US" w:eastAsia="zh-CN"/>
                    </w:rPr>
                    <w:t>350m</w:t>
                  </w:r>
                  <w:r>
                    <w:rPr>
                      <w:rFonts w:hint="eastAsia"/>
                      <w:color w:val="auto"/>
                      <w:u w:val="none"/>
                      <w:vertAlign w:val="superscript"/>
                      <w:lang w:val="en-US" w:eastAsia="zh-CN"/>
                    </w:rPr>
                    <w:t>3</w:t>
                  </w:r>
                  <w:r>
                    <w:rPr>
                      <w:rFonts w:hint="eastAsia"/>
                      <w:color w:val="auto"/>
                      <w:u w:val="none"/>
                      <w:lang w:val="en-US" w:eastAsia="zh-CN"/>
                    </w:rPr>
                    <w:t>，位于危险品停车场西面。</w:t>
                  </w:r>
                </w:p>
              </w:tc>
              <w:tc>
                <w:tcPr>
                  <w:tcW w:w="2064" w:type="dxa"/>
                  <w:noWrap w:val="0"/>
                  <w:vAlign w:val="center"/>
                </w:tcPr>
                <w:p w14:paraId="26B4E6A5">
                  <w:pPr>
                    <w:jc w:val="center"/>
                    <w:rPr>
                      <w:rFonts w:hint="default"/>
                      <w:u w:val="none"/>
                      <w:lang w:val="en-US"/>
                    </w:rPr>
                  </w:pPr>
                  <w:r>
                    <w:rPr>
                      <w:rFonts w:hint="eastAsia"/>
                      <w:lang w:val="en-US" w:eastAsia="zh-CN"/>
                    </w:rPr>
                    <w:t>新建，未建</w:t>
                  </w:r>
                </w:p>
              </w:tc>
            </w:tr>
            <w:tr w14:paraId="6B1E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5" w:type="dxa"/>
                  <w:vMerge w:val="continue"/>
                  <w:noWrap w:val="0"/>
                  <w:vAlign w:val="center"/>
                </w:tcPr>
                <w:p w14:paraId="6E972645">
                  <w:pPr>
                    <w:jc w:val="center"/>
                  </w:pPr>
                </w:p>
              </w:tc>
              <w:tc>
                <w:tcPr>
                  <w:tcW w:w="1583" w:type="dxa"/>
                  <w:noWrap w:val="0"/>
                  <w:vAlign w:val="center"/>
                </w:tcPr>
                <w:p w14:paraId="39CE672C">
                  <w:pPr>
                    <w:jc w:val="center"/>
                    <w:rPr>
                      <w:rFonts w:hint="eastAsia"/>
                      <w:color w:val="000000"/>
                      <w:u w:val="none"/>
                      <w:lang w:eastAsia="zh-CN"/>
                    </w:rPr>
                  </w:pPr>
                  <w:r>
                    <w:rPr>
                      <w:color w:val="000000"/>
                      <w:szCs w:val="21"/>
                    </w:rPr>
                    <w:t>地下水风险防范</w:t>
                  </w:r>
                </w:p>
              </w:tc>
              <w:tc>
                <w:tcPr>
                  <w:tcW w:w="4116" w:type="dxa"/>
                  <w:noWrap w:val="0"/>
                  <w:vAlign w:val="center"/>
                </w:tcPr>
                <w:p w14:paraId="1756B479">
                  <w:pPr>
                    <w:rPr>
                      <w:rFonts w:hint="eastAsia" w:eastAsia="宋体"/>
                      <w:color w:val="000000"/>
                      <w:szCs w:val="21"/>
                      <w:u w:val="none"/>
                      <w:lang w:eastAsia="zh-CN"/>
                    </w:rPr>
                  </w:pPr>
                  <w:r>
                    <w:rPr>
                      <w:rFonts w:hint="default" w:ascii="Times New Roman" w:hAnsi="Times New Roman" w:cs="Times New Roman"/>
                      <w:color w:val="000000"/>
                      <w:szCs w:val="21"/>
                      <w:u w:val="none"/>
                      <w:lang w:val="en-US" w:eastAsia="zh-CN"/>
                    </w:rPr>
                    <w:t>在项目</w:t>
                  </w:r>
                  <w:r>
                    <w:rPr>
                      <w:rFonts w:hint="eastAsia" w:ascii="Times New Roman" w:hAnsi="Times New Roman" w:cs="Times New Roman"/>
                      <w:color w:val="000000"/>
                      <w:szCs w:val="21"/>
                      <w:u w:val="none"/>
                      <w:lang w:val="en-US" w:eastAsia="zh-CN"/>
                    </w:rPr>
                    <w:t>2号仓库东面</w:t>
                  </w:r>
                  <w:r>
                    <w:rPr>
                      <w:rFonts w:hint="default" w:ascii="Times New Roman" w:hAnsi="Times New Roman" w:cs="Times New Roman"/>
                      <w:color w:val="000000"/>
                      <w:szCs w:val="21"/>
                      <w:u w:val="none"/>
                      <w:lang w:val="en-US" w:eastAsia="zh-CN"/>
                    </w:rPr>
                    <w:t>地下水下游设置</w:t>
                  </w:r>
                  <w:r>
                    <w:rPr>
                      <w:rFonts w:hint="eastAsia" w:ascii="Times New Roman" w:hAnsi="Times New Roman" w:cs="Times New Roman"/>
                      <w:color w:val="000000"/>
                      <w:szCs w:val="21"/>
                      <w:u w:val="none"/>
                      <w:lang w:val="en-US" w:eastAsia="zh-CN"/>
                    </w:rPr>
                    <w:t>一个</w:t>
                  </w:r>
                  <w:r>
                    <w:rPr>
                      <w:rFonts w:hint="eastAsia" w:cs="Times New Roman"/>
                      <w:color w:val="000000"/>
                      <w:szCs w:val="21"/>
                      <w:u w:val="none"/>
                      <w:lang w:val="en-US" w:eastAsia="zh-CN"/>
                    </w:rPr>
                    <w:t>地下水</w:t>
                  </w:r>
                  <w:r>
                    <w:rPr>
                      <w:rFonts w:hint="default" w:ascii="Times New Roman" w:hAnsi="Times New Roman" w:cs="Times New Roman"/>
                      <w:color w:val="000000"/>
                      <w:szCs w:val="21"/>
                      <w:u w:val="none"/>
                    </w:rPr>
                    <w:t>监控井</w:t>
                  </w:r>
                  <w:r>
                    <w:rPr>
                      <w:rFonts w:hint="eastAsia" w:ascii="Times New Roman" w:hAnsi="Times New Roman" w:cs="Times New Roman"/>
                      <w:color w:val="000000"/>
                      <w:szCs w:val="21"/>
                      <w:u w:val="none"/>
                      <w:lang w:val="en-US" w:eastAsia="zh-CN"/>
                    </w:rPr>
                    <w:t>SK01（E108.634299°，N21.742479°）</w:t>
                  </w:r>
                  <w:r>
                    <w:rPr>
                      <w:rFonts w:hint="eastAsia" w:ascii="Times New Roman" w:hAnsi="Times New Roman" w:cs="Times New Roman"/>
                      <w:color w:val="000000"/>
                      <w:szCs w:val="21"/>
                      <w:u w:val="none"/>
                      <w:lang w:eastAsia="zh-CN"/>
                    </w:rPr>
                    <w:t>，</w:t>
                  </w:r>
                  <w:r>
                    <w:rPr>
                      <w:rFonts w:hint="eastAsia" w:ascii="Times New Roman" w:hAnsi="Times New Roman" w:cs="Times New Roman"/>
                      <w:color w:val="000000"/>
                      <w:szCs w:val="21"/>
                      <w:u w:val="none"/>
                      <w:lang w:val="en-US" w:eastAsia="zh-CN"/>
                    </w:rPr>
                    <w:t>用于定期跟踪监测项目地下水水质情况</w:t>
                  </w:r>
                  <w:r>
                    <w:rPr>
                      <w:rFonts w:hint="default" w:ascii="Times New Roman" w:hAnsi="Times New Roman" w:cs="Times New Roman"/>
                      <w:color w:val="000000"/>
                      <w:szCs w:val="21"/>
                      <w:u w:val="none"/>
                      <w:lang w:eastAsia="zh-CN"/>
                    </w:rPr>
                    <w:t>。</w:t>
                  </w:r>
                </w:p>
              </w:tc>
              <w:tc>
                <w:tcPr>
                  <w:tcW w:w="2064" w:type="dxa"/>
                  <w:noWrap w:val="0"/>
                  <w:vAlign w:val="center"/>
                </w:tcPr>
                <w:p w14:paraId="656364E6">
                  <w:pPr>
                    <w:jc w:val="center"/>
                    <w:rPr>
                      <w:rFonts w:hint="eastAsia"/>
                      <w:lang w:val="en-US" w:eastAsia="zh-CN"/>
                    </w:rPr>
                  </w:pPr>
                  <w:r>
                    <w:rPr>
                      <w:rFonts w:hint="eastAsia"/>
                      <w:lang w:val="en-US" w:eastAsia="zh-CN"/>
                    </w:rPr>
                    <w:t>新建，未建</w:t>
                  </w:r>
                </w:p>
              </w:tc>
            </w:tr>
          </w:tbl>
          <w:p w14:paraId="63D610CA">
            <w:pPr>
              <w:pStyle w:val="6"/>
              <w:spacing w:line="500" w:lineRule="exact"/>
              <w:ind w:firstLine="480"/>
              <w:rPr>
                <w:rFonts w:hint="default" w:ascii="Times New Roman" w:hAnsi="Times New Roman" w:eastAsia="宋体" w:cs="Times New Roman"/>
                <w:kern w:val="0"/>
                <w:sz w:val="24"/>
                <w:lang w:val="en-US" w:eastAsia="zh-CN"/>
              </w:rPr>
            </w:pPr>
            <w:r>
              <w:rPr>
                <w:rFonts w:hint="eastAsia" w:cs="Times New Roman"/>
                <w:kern w:val="0"/>
                <w:sz w:val="24"/>
                <w:lang w:val="en-US" w:eastAsia="zh-CN"/>
              </w:rPr>
              <w:t>2</w:t>
            </w:r>
            <w:r>
              <w:rPr>
                <w:rFonts w:hint="eastAsia" w:ascii="Times New Roman" w:hAnsi="Times New Roman" w:eastAsia="宋体" w:cs="Times New Roman"/>
                <w:kern w:val="0"/>
                <w:sz w:val="24"/>
                <w:lang w:val="en-US" w:eastAsia="zh-CN"/>
              </w:rPr>
              <w:t>、储存方案</w:t>
            </w:r>
          </w:p>
          <w:p w14:paraId="2C2C44DD">
            <w:pPr>
              <w:pStyle w:val="6"/>
              <w:spacing w:line="500" w:lineRule="exact"/>
              <w:ind w:firstLine="48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2号仓库、4号仓库、5号仓库分别贮存危险化</w:t>
            </w:r>
            <w:r>
              <w:rPr>
                <w:rFonts w:hint="eastAsia" w:ascii="Times New Roman" w:hAnsi="Times New Roman" w:eastAsia="宋体" w:cs="Times New Roman"/>
                <w:color w:val="auto"/>
                <w:kern w:val="0"/>
                <w:sz w:val="24"/>
                <w:lang w:val="en-US" w:eastAsia="zh-CN"/>
              </w:rPr>
              <w:t>学品，年总周转危险化学品224500t</w:t>
            </w:r>
            <w:r>
              <w:rPr>
                <w:rFonts w:hint="eastAsia" w:ascii="Times New Roman" w:hAnsi="Times New Roman" w:cs="Times New Roman"/>
                <w:color w:val="auto"/>
                <w:kern w:val="0"/>
                <w:sz w:val="24"/>
                <w:lang w:val="en-US" w:eastAsia="zh-CN"/>
              </w:rPr>
              <w:t>，均为常温常压下贮存。</w:t>
            </w:r>
          </w:p>
          <w:p w14:paraId="4643DD59">
            <w:pPr>
              <w:pStyle w:val="6"/>
              <w:spacing w:line="500" w:lineRule="exact"/>
              <w:ind w:firstLine="480"/>
              <w:rPr>
                <w:rFonts w:hint="eastAsia" w:ascii="Times New Roman" w:hAnsi="Times New Roman" w:eastAsia="宋体" w:cs="Times New Roman"/>
                <w:kern w:val="0"/>
                <w:sz w:val="24"/>
                <w:lang w:val="en-US" w:eastAsia="zh-CN"/>
              </w:rPr>
            </w:pPr>
            <w:r>
              <w:rPr>
                <w:rFonts w:hint="eastAsia" w:cs="Times New Roman"/>
                <w:kern w:val="0"/>
                <w:sz w:val="24"/>
                <w:lang w:val="en-US" w:eastAsia="zh-CN"/>
              </w:rPr>
              <w:t>改</w:t>
            </w:r>
            <w:r>
              <w:rPr>
                <w:rFonts w:hint="eastAsia" w:ascii="Times New Roman" w:hAnsi="Times New Roman" w:eastAsia="宋体" w:cs="Times New Roman"/>
                <w:kern w:val="0"/>
                <w:sz w:val="24"/>
                <w:lang w:val="en-US" w:eastAsia="zh-CN"/>
              </w:rPr>
              <w:t>扩建项目主要储存方案详见表2-1。</w:t>
            </w:r>
          </w:p>
          <w:p w14:paraId="26FF0480">
            <w:pPr>
              <w:pStyle w:val="6"/>
              <w:spacing w:line="500" w:lineRule="exact"/>
              <w:ind w:firstLine="480"/>
              <w:rPr>
                <w:rFonts w:hint="eastAsia" w:ascii="Times New Roman" w:hAnsi="Times New Roman" w:eastAsia="宋体" w:cs="Times New Roman"/>
                <w:kern w:val="0"/>
                <w:sz w:val="24"/>
                <w:lang w:val="en-US" w:eastAsia="zh-CN"/>
              </w:rPr>
            </w:pPr>
          </w:p>
          <w:p w14:paraId="5E3CDE54">
            <w:pPr>
              <w:pStyle w:val="6"/>
              <w:spacing w:line="500" w:lineRule="exact"/>
              <w:ind w:firstLine="482"/>
              <w:jc w:val="center"/>
              <w:rPr>
                <w:rFonts w:hint="eastAsia" w:ascii="Times New Roman" w:hAnsi="Times New Roman" w:eastAsia="宋体" w:cs="Times New Roman"/>
                <w:b/>
                <w:bCs/>
                <w:color w:val="000000"/>
                <w:kern w:val="0"/>
                <w:sz w:val="24"/>
                <w:lang w:val="en-GB"/>
              </w:rPr>
            </w:pPr>
            <w:r>
              <w:rPr>
                <w:rFonts w:hint="eastAsia" w:ascii="Times New Roman" w:hAnsi="Times New Roman" w:eastAsia="宋体" w:cs="Times New Roman"/>
                <w:b/>
                <w:bCs/>
                <w:color w:val="000000"/>
                <w:kern w:val="0"/>
                <w:sz w:val="24"/>
                <w:lang w:val="en-GB"/>
              </w:rPr>
              <w:t>表2-</w:t>
            </w:r>
            <w:r>
              <w:rPr>
                <w:rFonts w:hint="eastAsia" w:cs="Times New Roman"/>
                <w:b/>
                <w:bCs/>
                <w:color w:val="000000"/>
                <w:kern w:val="0"/>
                <w:sz w:val="24"/>
                <w:lang w:val="en-US" w:eastAsia="zh-CN"/>
              </w:rPr>
              <w:t>2</w:t>
            </w:r>
            <w:r>
              <w:rPr>
                <w:rFonts w:hint="eastAsia" w:ascii="Times New Roman" w:hAnsi="Times New Roman" w:eastAsia="宋体" w:cs="Times New Roman"/>
                <w:b/>
                <w:bCs/>
                <w:color w:val="000000"/>
                <w:kern w:val="0"/>
                <w:sz w:val="24"/>
                <w:lang w:val="en-GB"/>
              </w:rPr>
              <w:t xml:space="preserve">  </w:t>
            </w:r>
            <w:r>
              <w:rPr>
                <w:rFonts w:hint="eastAsia" w:cs="Times New Roman"/>
                <w:b/>
                <w:bCs/>
                <w:color w:val="000000"/>
                <w:kern w:val="0"/>
                <w:sz w:val="24"/>
                <w:lang w:val="en-US" w:eastAsia="zh-CN"/>
              </w:rPr>
              <w:t>改</w:t>
            </w:r>
            <w:r>
              <w:rPr>
                <w:rFonts w:hint="eastAsia" w:ascii="Times New Roman" w:hAnsi="Times New Roman" w:eastAsia="宋体" w:cs="Times New Roman"/>
                <w:b/>
                <w:bCs/>
                <w:color w:val="000000"/>
                <w:kern w:val="0"/>
                <w:sz w:val="24"/>
                <w:lang w:val="en-US" w:eastAsia="zh-CN"/>
              </w:rPr>
              <w:t>扩建项目</w:t>
            </w:r>
            <w:r>
              <w:rPr>
                <w:rFonts w:hint="eastAsia" w:ascii="Times New Roman" w:hAnsi="Times New Roman" w:eastAsia="宋体" w:cs="Times New Roman"/>
                <w:b/>
                <w:bCs/>
                <w:color w:val="000000"/>
                <w:kern w:val="0"/>
                <w:sz w:val="24"/>
                <w:lang w:val="en-GB" w:eastAsia="zh-CN"/>
              </w:rPr>
              <w:t>储存</w:t>
            </w:r>
            <w:r>
              <w:rPr>
                <w:rFonts w:hint="eastAsia" w:ascii="Times New Roman" w:hAnsi="Times New Roman" w:eastAsia="宋体" w:cs="Times New Roman"/>
                <w:b/>
                <w:bCs/>
                <w:color w:val="000000"/>
                <w:kern w:val="0"/>
                <w:sz w:val="24"/>
                <w:lang w:val="en-GB"/>
              </w:rPr>
              <w:t>方案一览表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585"/>
              <w:gridCol w:w="615"/>
              <w:gridCol w:w="780"/>
              <w:gridCol w:w="825"/>
              <w:gridCol w:w="945"/>
              <w:gridCol w:w="930"/>
              <w:gridCol w:w="960"/>
              <w:gridCol w:w="540"/>
              <w:gridCol w:w="611"/>
            </w:tblGrid>
            <w:tr w14:paraId="2EA0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21C30916">
                  <w:pPr>
                    <w:spacing w:line="240" w:lineRule="exact"/>
                    <w:jc w:val="center"/>
                    <w:rPr>
                      <w:color w:val="auto"/>
                      <w:szCs w:val="21"/>
                    </w:rPr>
                  </w:pPr>
                  <w:r>
                    <w:rPr>
                      <w:color w:val="auto"/>
                      <w:szCs w:val="21"/>
                    </w:rPr>
                    <w:t>序号</w:t>
                  </w:r>
                </w:p>
              </w:tc>
              <w:tc>
                <w:tcPr>
                  <w:tcW w:w="1585" w:type="dxa"/>
                  <w:noWrap w:val="0"/>
                  <w:vAlign w:val="center"/>
                </w:tcPr>
                <w:p w14:paraId="16E415F4">
                  <w:pPr>
                    <w:spacing w:line="240" w:lineRule="exact"/>
                    <w:jc w:val="center"/>
                    <w:rPr>
                      <w:color w:val="auto"/>
                      <w:szCs w:val="21"/>
                    </w:rPr>
                  </w:pPr>
                  <w:r>
                    <w:rPr>
                      <w:color w:val="auto"/>
                      <w:szCs w:val="21"/>
                    </w:rPr>
                    <w:t>名称</w:t>
                  </w:r>
                </w:p>
              </w:tc>
              <w:tc>
                <w:tcPr>
                  <w:tcW w:w="615" w:type="dxa"/>
                  <w:noWrap w:val="0"/>
                  <w:vAlign w:val="center"/>
                </w:tcPr>
                <w:p w14:paraId="5DDA13CB">
                  <w:pPr>
                    <w:spacing w:line="240" w:lineRule="exact"/>
                    <w:jc w:val="center"/>
                    <w:rPr>
                      <w:rFonts w:hint="eastAsia" w:eastAsia="宋体"/>
                      <w:color w:val="auto"/>
                      <w:szCs w:val="21"/>
                      <w:lang w:val="en-US" w:eastAsia="zh-CN"/>
                    </w:rPr>
                  </w:pPr>
                  <w:r>
                    <w:rPr>
                      <w:rFonts w:hint="eastAsia"/>
                      <w:color w:val="auto"/>
                      <w:szCs w:val="21"/>
                      <w:lang w:val="en-US" w:eastAsia="zh-CN"/>
                    </w:rPr>
                    <w:t>状态</w:t>
                  </w:r>
                </w:p>
              </w:tc>
              <w:tc>
                <w:tcPr>
                  <w:tcW w:w="780" w:type="dxa"/>
                  <w:noWrap w:val="0"/>
                  <w:vAlign w:val="center"/>
                </w:tcPr>
                <w:p w14:paraId="48B35F79">
                  <w:pPr>
                    <w:spacing w:line="240" w:lineRule="exact"/>
                    <w:jc w:val="center"/>
                    <w:rPr>
                      <w:color w:val="auto"/>
                      <w:szCs w:val="21"/>
                    </w:rPr>
                  </w:pPr>
                  <w:r>
                    <w:rPr>
                      <w:rFonts w:hint="eastAsia"/>
                      <w:color w:val="auto"/>
                      <w:szCs w:val="21"/>
                      <w:lang w:eastAsia="zh-CN"/>
                    </w:rPr>
                    <w:t>周转</w:t>
                  </w:r>
                  <w:r>
                    <w:rPr>
                      <w:color w:val="auto"/>
                      <w:szCs w:val="21"/>
                    </w:rPr>
                    <w:t>量</w:t>
                  </w:r>
                  <w:r>
                    <w:rPr>
                      <w:rFonts w:hint="eastAsia"/>
                      <w:color w:val="auto"/>
                      <w:szCs w:val="21"/>
                    </w:rPr>
                    <w:t>t/a</w:t>
                  </w:r>
                </w:p>
              </w:tc>
              <w:tc>
                <w:tcPr>
                  <w:tcW w:w="825" w:type="dxa"/>
                  <w:noWrap w:val="0"/>
                  <w:vAlign w:val="center"/>
                </w:tcPr>
                <w:p w14:paraId="7FB5C912">
                  <w:pPr>
                    <w:spacing w:line="240" w:lineRule="exact"/>
                    <w:jc w:val="center"/>
                    <w:rPr>
                      <w:rFonts w:hint="default"/>
                      <w:color w:val="auto"/>
                      <w:szCs w:val="21"/>
                      <w:lang w:val="en-US" w:eastAsia="zh-CN"/>
                    </w:rPr>
                  </w:pPr>
                  <w:r>
                    <w:rPr>
                      <w:rFonts w:hint="eastAsia"/>
                      <w:color w:val="auto"/>
                      <w:szCs w:val="21"/>
                      <w:lang w:eastAsia="zh-CN"/>
                    </w:rPr>
                    <w:t>最大储存量</w:t>
                  </w:r>
                  <w:r>
                    <w:rPr>
                      <w:rFonts w:hint="eastAsia"/>
                      <w:color w:val="auto"/>
                      <w:szCs w:val="21"/>
                      <w:lang w:val="en-US" w:eastAsia="zh-CN"/>
                    </w:rPr>
                    <w:t>t</w:t>
                  </w:r>
                </w:p>
              </w:tc>
              <w:tc>
                <w:tcPr>
                  <w:tcW w:w="945" w:type="dxa"/>
                  <w:noWrap w:val="0"/>
                  <w:vAlign w:val="center"/>
                </w:tcPr>
                <w:p w14:paraId="4D4F8B62">
                  <w:pPr>
                    <w:spacing w:line="240" w:lineRule="exact"/>
                    <w:jc w:val="center"/>
                    <w:rPr>
                      <w:rFonts w:hint="default"/>
                      <w:color w:val="auto"/>
                      <w:szCs w:val="21"/>
                      <w:lang w:val="en-US" w:eastAsia="zh-CN"/>
                    </w:rPr>
                  </w:pPr>
                  <w:r>
                    <w:rPr>
                      <w:rFonts w:hint="eastAsia"/>
                      <w:color w:val="auto"/>
                      <w:szCs w:val="21"/>
                      <w:lang w:val="en-US" w:eastAsia="zh-CN"/>
                    </w:rPr>
                    <w:t>包装形式</w:t>
                  </w:r>
                </w:p>
              </w:tc>
              <w:tc>
                <w:tcPr>
                  <w:tcW w:w="930" w:type="dxa"/>
                  <w:noWrap w:val="0"/>
                  <w:vAlign w:val="center"/>
                </w:tcPr>
                <w:p w14:paraId="3529ABBB">
                  <w:pPr>
                    <w:spacing w:line="240" w:lineRule="exact"/>
                    <w:jc w:val="center"/>
                    <w:rPr>
                      <w:rFonts w:hint="eastAsia"/>
                      <w:color w:val="auto"/>
                      <w:szCs w:val="21"/>
                      <w:u w:val="none"/>
                      <w:lang w:val="en-US" w:eastAsia="zh-CN"/>
                    </w:rPr>
                  </w:pPr>
                  <w:r>
                    <w:rPr>
                      <w:rFonts w:hint="eastAsia"/>
                      <w:color w:val="auto"/>
                      <w:szCs w:val="21"/>
                      <w:u w:val="none"/>
                      <w:lang w:val="en-US" w:eastAsia="zh-CN"/>
                    </w:rPr>
                    <w:t>火灾危险性</w:t>
                  </w:r>
                </w:p>
              </w:tc>
              <w:tc>
                <w:tcPr>
                  <w:tcW w:w="960" w:type="dxa"/>
                  <w:noWrap w:val="0"/>
                  <w:vAlign w:val="center"/>
                </w:tcPr>
                <w:p w14:paraId="24F46FAC">
                  <w:pPr>
                    <w:spacing w:line="240" w:lineRule="exact"/>
                    <w:jc w:val="center"/>
                    <w:rPr>
                      <w:rFonts w:hint="default"/>
                      <w:color w:val="auto"/>
                      <w:szCs w:val="21"/>
                      <w:u w:val="none"/>
                      <w:lang w:val="en-US" w:eastAsia="zh-CN"/>
                    </w:rPr>
                  </w:pPr>
                  <w:r>
                    <w:rPr>
                      <w:rFonts w:hint="eastAsia"/>
                      <w:color w:val="auto"/>
                      <w:szCs w:val="21"/>
                      <w:u w:val="none"/>
                      <w:lang w:val="en-US" w:eastAsia="zh-CN"/>
                    </w:rPr>
                    <w:t>储存位置</w:t>
                  </w:r>
                </w:p>
              </w:tc>
              <w:tc>
                <w:tcPr>
                  <w:tcW w:w="540" w:type="dxa"/>
                  <w:noWrap w:val="0"/>
                  <w:vAlign w:val="center"/>
                </w:tcPr>
                <w:p w14:paraId="565B77B0">
                  <w:pPr>
                    <w:spacing w:line="240" w:lineRule="exact"/>
                    <w:jc w:val="center"/>
                    <w:rPr>
                      <w:rFonts w:hint="eastAsia" w:eastAsia="宋体"/>
                      <w:color w:val="auto"/>
                      <w:szCs w:val="21"/>
                      <w:lang w:eastAsia="zh-CN"/>
                    </w:rPr>
                  </w:pPr>
                  <w:r>
                    <w:rPr>
                      <w:rFonts w:hint="eastAsia"/>
                      <w:color w:val="auto"/>
                      <w:szCs w:val="21"/>
                      <w:lang w:eastAsia="zh-CN"/>
                    </w:rPr>
                    <w:t>来源</w:t>
                  </w:r>
                </w:p>
              </w:tc>
              <w:tc>
                <w:tcPr>
                  <w:tcW w:w="611" w:type="dxa"/>
                  <w:noWrap w:val="0"/>
                  <w:vAlign w:val="center"/>
                </w:tcPr>
                <w:p w14:paraId="1B979923">
                  <w:pPr>
                    <w:spacing w:line="240" w:lineRule="exact"/>
                    <w:jc w:val="center"/>
                    <w:rPr>
                      <w:rFonts w:hint="eastAsia"/>
                      <w:color w:val="auto"/>
                      <w:szCs w:val="21"/>
                      <w:lang w:eastAsia="zh-CN"/>
                    </w:rPr>
                  </w:pPr>
                  <w:r>
                    <w:rPr>
                      <w:rFonts w:hint="eastAsia"/>
                      <w:color w:val="auto"/>
                      <w:szCs w:val="21"/>
                      <w:lang w:eastAsia="zh-CN"/>
                    </w:rPr>
                    <w:t>去向</w:t>
                  </w:r>
                </w:p>
              </w:tc>
            </w:tr>
            <w:tr w14:paraId="004D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7495374">
                  <w:pPr>
                    <w:tabs>
                      <w:tab w:val="left" w:pos="3225"/>
                    </w:tabs>
                    <w:spacing w:line="240" w:lineRule="exact"/>
                    <w:jc w:val="center"/>
                    <w:rPr>
                      <w:rFonts w:hint="default"/>
                      <w:color w:val="auto"/>
                      <w:szCs w:val="21"/>
                      <w:lang w:val="en-US" w:eastAsia="zh-CN"/>
                    </w:rPr>
                  </w:pPr>
                  <w:r>
                    <w:rPr>
                      <w:rFonts w:hint="eastAsia"/>
                      <w:color w:val="auto"/>
                      <w:szCs w:val="21"/>
                      <w:lang w:val="en-US" w:eastAsia="zh-CN"/>
                    </w:rPr>
                    <w:t>1</w:t>
                  </w:r>
                </w:p>
              </w:tc>
              <w:tc>
                <w:tcPr>
                  <w:tcW w:w="1585" w:type="dxa"/>
                  <w:noWrap w:val="0"/>
                  <w:vAlign w:val="center"/>
                </w:tcPr>
                <w:p w14:paraId="4FD5532F">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氢氧化钾</w:t>
                  </w:r>
                </w:p>
              </w:tc>
              <w:tc>
                <w:tcPr>
                  <w:tcW w:w="615" w:type="dxa"/>
                  <w:noWrap w:val="0"/>
                  <w:vAlign w:val="center"/>
                </w:tcPr>
                <w:p w14:paraId="61E14EAF">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1C61870F">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53F34988">
                  <w:pPr>
                    <w:tabs>
                      <w:tab w:val="left" w:pos="3225"/>
                    </w:tabs>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02D11F60">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5FAAFB50">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20B20680">
                  <w:pPr>
                    <w:tabs>
                      <w:tab w:val="left" w:pos="3225"/>
                    </w:tabs>
                    <w:spacing w:line="240" w:lineRule="exact"/>
                    <w:jc w:val="center"/>
                    <w:rPr>
                      <w:rFonts w:hint="eastAsia"/>
                      <w:color w:val="0000FF"/>
                      <w:szCs w:val="21"/>
                      <w:lang w:val="en-US" w:eastAsia="zh-CN"/>
                    </w:rPr>
                  </w:pPr>
                  <w:r>
                    <w:rPr>
                      <w:rFonts w:hint="eastAsia"/>
                      <w:color w:val="auto"/>
                      <w:szCs w:val="21"/>
                      <w:u w:val="none"/>
                      <w:lang w:val="en-US" w:eastAsia="zh-CN"/>
                    </w:rPr>
                    <w:t>2号仓库危险化学品隔间A（A1碱储间）</w:t>
                  </w:r>
                </w:p>
              </w:tc>
              <w:tc>
                <w:tcPr>
                  <w:tcW w:w="540" w:type="dxa"/>
                  <w:vMerge w:val="restart"/>
                  <w:noWrap w:val="0"/>
                  <w:vAlign w:val="center"/>
                </w:tcPr>
                <w:p w14:paraId="3223F5E4">
                  <w:pPr>
                    <w:tabs>
                      <w:tab w:val="left" w:pos="3225"/>
                    </w:tabs>
                    <w:spacing w:line="240" w:lineRule="exact"/>
                    <w:jc w:val="center"/>
                    <w:rPr>
                      <w:rFonts w:hint="default"/>
                      <w:color w:val="000000"/>
                      <w:szCs w:val="21"/>
                      <w:u w:val="none"/>
                      <w:lang w:val="en-US" w:eastAsia="zh-CN"/>
                    </w:rPr>
                  </w:pPr>
                  <w:r>
                    <w:rPr>
                      <w:rFonts w:hint="eastAsia"/>
                      <w:color w:val="000000"/>
                      <w:szCs w:val="21"/>
                      <w:u w:val="none"/>
                      <w:lang w:val="en-US" w:eastAsia="zh-CN"/>
                    </w:rPr>
                    <w:t>全国各地</w:t>
                  </w:r>
                </w:p>
              </w:tc>
              <w:tc>
                <w:tcPr>
                  <w:tcW w:w="611" w:type="dxa"/>
                  <w:vMerge w:val="restart"/>
                  <w:noWrap w:val="0"/>
                  <w:vAlign w:val="center"/>
                </w:tcPr>
                <w:p w14:paraId="099AAB1F">
                  <w:pPr>
                    <w:tabs>
                      <w:tab w:val="left" w:pos="3225"/>
                    </w:tabs>
                    <w:spacing w:line="240" w:lineRule="exact"/>
                    <w:jc w:val="center"/>
                    <w:rPr>
                      <w:rFonts w:hint="default"/>
                      <w:color w:val="000000"/>
                      <w:szCs w:val="21"/>
                      <w:lang w:val="en-US" w:eastAsia="zh-CN"/>
                    </w:rPr>
                  </w:pPr>
                  <w:r>
                    <w:rPr>
                      <w:rFonts w:hint="eastAsia"/>
                      <w:color w:val="000000"/>
                      <w:szCs w:val="21"/>
                      <w:lang w:val="en-US" w:eastAsia="zh-CN"/>
                    </w:rPr>
                    <w:t>全国各地</w:t>
                  </w:r>
                </w:p>
              </w:tc>
            </w:tr>
            <w:tr w14:paraId="6876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531374F">
                  <w:pPr>
                    <w:tabs>
                      <w:tab w:val="left" w:pos="3225"/>
                    </w:tabs>
                    <w:spacing w:line="240" w:lineRule="exact"/>
                    <w:jc w:val="center"/>
                    <w:rPr>
                      <w:rFonts w:hint="default"/>
                      <w:color w:val="auto"/>
                      <w:szCs w:val="21"/>
                      <w:lang w:val="en-US" w:eastAsia="zh-CN"/>
                    </w:rPr>
                  </w:pPr>
                  <w:r>
                    <w:rPr>
                      <w:rFonts w:hint="eastAsia"/>
                      <w:color w:val="auto"/>
                      <w:szCs w:val="21"/>
                      <w:lang w:val="en-US" w:eastAsia="zh-CN"/>
                    </w:rPr>
                    <w:t>2</w:t>
                  </w:r>
                </w:p>
              </w:tc>
              <w:tc>
                <w:tcPr>
                  <w:tcW w:w="1585" w:type="dxa"/>
                  <w:noWrap w:val="0"/>
                  <w:vAlign w:val="center"/>
                </w:tcPr>
                <w:p w14:paraId="4D71B52B">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氢氧化钾溶液[含量≥30%]</w:t>
                  </w:r>
                </w:p>
              </w:tc>
              <w:tc>
                <w:tcPr>
                  <w:tcW w:w="615" w:type="dxa"/>
                  <w:noWrap w:val="0"/>
                  <w:vAlign w:val="center"/>
                </w:tcPr>
                <w:p w14:paraId="5921A835">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46C37ADB">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77C46AA5">
                  <w:pPr>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1387C0B8">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3A967810">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F1668A3">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6E803FD9">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15D02395">
                  <w:pPr>
                    <w:tabs>
                      <w:tab w:val="left" w:pos="3225"/>
                    </w:tabs>
                    <w:spacing w:line="240" w:lineRule="exact"/>
                    <w:jc w:val="center"/>
                    <w:rPr>
                      <w:rFonts w:hint="eastAsia"/>
                      <w:color w:val="0000FF"/>
                      <w:szCs w:val="21"/>
                      <w:lang w:eastAsia="zh-CN"/>
                    </w:rPr>
                  </w:pPr>
                </w:p>
              </w:tc>
            </w:tr>
            <w:tr w14:paraId="58A6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A18B816">
                  <w:pPr>
                    <w:tabs>
                      <w:tab w:val="left" w:pos="3225"/>
                    </w:tabs>
                    <w:spacing w:line="240" w:lineRule="exact"/>
                    <w:jc w:val="center"/>
                    <w:rPr>
                      <w:rFonts w:hint="default"/>
                      <w:color w:val="auto"/>
                      <w:szCs w:val="21"/>
                      <w:lang w:val="en-US" w:eastAsia="zh-CN"/>
                    </w:rPr>
                  </w:pPr>
                  <w:r>
                    <w:rPr>
                      <w:rFonts w:hint="eastAsia"/>
                      <w:color w:val="auto"/>
                      <w:szCs w:val="21"/>
                      <w:lang w:val="en-US" w:eastAsia="zh-CN"/>
                    </w:rPr>
                    <w:t>3</w:t>
                  </w:r>
                </w:p>
              </w:tc>
              <w:tc>
                <w:tcPr>
                  <w:tcW w:w="1585" w:type="dxa"/>
                  <w:noWrap w:val="0"/>
                  <w:vAlign w:val="center"/>
                </w:tcPr>
                <w:p w14:paraId="32DD87DC">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氢氧化锂</w:t>
                  </w:r>
                </w:p>
              </w:tc>
              <w:tc>
                <w:tcPr>
                  <w:tcW w:w="615" w:type="dxa"/>
                  <w:noWrap w:val="0"/>
                  <w:vAlign w:val="center"/>
                </w:tcPr>
                <w:p w14:paraId="72179AA1">
                  <w:pPr>
                    <w:spacing w:line="240" w:lineRule="auto"/>
                    <w:jc w:val="center"/>
                    <w:rPr>
                      <w:rFonts w:hint="default"/>
                      <w:color w:val="auto"/>
                      <w:szCs w:val="21"/>
                      <w:lang w:val="en-US" w:eastAsia="zh-CN"/>
                    </w:rPr>
                  </w:pPr>
                  <w:r>
                    <w:rPr>
                      <w:rFonts w:hint="eastAsia"/>
                      <w:color w:val="auto"/>
                      <w:szCs w:val="21"/>
                      <w:lang w:val="en-US" w:eastAsia="zh-CN"/>
                    </w:rPr>
                    <w:t>固</w:t>
                  </w:r>
                </w:p>
              </w:tc>
              <w:tc>
                <w:tcPr>
                  <w:tcW w:w="780" w:type="dxa"/>
                  <w:noWrap w:val="0"/>
                  <w:vAlign w:val="center"/>
                </w:tcPr>
                <w:p w14:paraId="10AD458B">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7DD52352">
                  <w:pPr>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58F03872">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0B2365C9">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22793DF">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0DF91EB6">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80F32C6">
                  <w:pPr>
                    <w:tabs>
                      <w:tab w:val="left" w:pos="3225"/>
                    </w:tabs>
                    <w:spacing w:line="240" w:lineRule="exact"/>
                    <w:jc w:val="center"/>
                    <w:rPr>
                      <w:rFonts w:hint="eastAsia"/>
                      <w:color w:val="0000FF"/>
                      <w:szCs w:val="21"/>
                      <w:lang w:eastAsia="zh-CN"/>
                    </w:rPr>
                  </w:pPr>
                </w:p>
              </w:tc>
            </w:tr>
            <w:tr w14:paraId="47A3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1AA5B87C">
                  <w:pPr>
                    <w:tabs>
                      <w:tab w:val="left" w:pos="3225"/>
                    </w:tabs>
                    <w:spacing w:line="240" w:lineRule="exact"/>
                    <w:jc w:val="center"/>
                    <w:rPr>
                      <w:rFonts w:hint="default"/>
                      <w:color w:val="auto"/>
                      <w:szCs w:val="21"/>
                      <w:lang w:val="en-US" w:eastAsia="zh-CN"/>
                    </w:rPr>
                  </w:pPr>
                  <w:r>
                    <w:rPr>
                      <w:rFonts w:hint="eastAsia"/>
                      <w:color w:val="auto"/>
                      <w:szCs w:val="21"/>
                      <w:lang w:val="en-US" w:eastAsia="zh-CN"/>
                    </w:rPr>
                    <w:t>4</w:t>
                  </w:r>
                </w:p>
              </w:tc>
              <w:tc>
                <w:tcPr>
                  <w:tcW w:w="1585" w:type="dxa"/>
                  <w:noWrap w:val="0"/>
                  <w:vAlign w:val="center"/>
                </w:tcPr>
                <w:p w14:paraId="018A7CAA">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氢氧化锂溶液</w:t>
                  </w:r>
                </w:p>
              </w:tc>
              <w:tc>
                <w:tcPr>
                  <w:tcW w:w="615" w:type="dxa"/>
                  <w:noWrap w:val="0"/>
                  <w:vAlign w:val="center"/>
                </w:tcPr>
                <w:p w14:paraId="79941C82">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030E4631">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5053C81D">
                  <w:pPr>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60761598">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60304D1D">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655FF679">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6E374135">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A3038D9">
                  <w:pPr>
                    <w:tabs>
                      <w:tab w:val="left" w:pos="3225"/>
                    </w:tabs>
                    <w:spacing w:line="240" w:lineRule="exact"/>
                    <w:jc w:val="center"/>
                    <w:rPr>
                      <w:rFonts w:hint="eastAsia"/>
                      <w:color w:val="0000FF"/>
                      <w:szCs w:val="21"/>
                      <w:lang w:eastAsia="zh-CN"/>
                    </w:rPr>
                  </w:pPr>
                </w:p>
              </w:tc>
            </w:tr>
            <w:tr w14:paraId="3652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2B80AFF6">
                  <w:pPr>
                    <w:tabs>
                      <w:tab w:val="left" w:pos="3225"/>
                    </w:tabs>
                    <w:spacing w:line="240" w:lineRule="exact"/>
                    <w:jc w:val="center"/>
                    <w:rPr>
                      <w:rFonts w:hint="default"/>
                      <w:color w:val="auto"/>
                      <w:szCs w:val="21"/>
                      <w:lang w:val="en-US" w:eastAsia="zh-CN"/>
                    </w:rPr>
                  </w:pPr>
                  <w:r>
                    <w:rPr>
                      <w:rFonts w:hint="eastAsia"/>
                      <w:color w:val="auto"/>
                      <w:szCs w:val="21"/>
                      <w:lang w:val="en-US" w:eastAsia="zh-CN"/>
                    </w:rPr>
                    <w:t>5</w:t>
                  </w:r>
                </w:p>
              </w:tc>
              <w:tc>
                <w:tcPr>
                  <w:tcW w:w="1585" w:type="dxa"/>
                  <w:noWrap w:val="0"/>
                  <w:vAlign w:val="center"/>
                </w:tcPr>
                <w:p w14:paraId="089A4B3D">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氢氧化钠</w:t>
                  </w:r>
                </w:p>
              </w:tc>
              <w:tc>
                <w:tcPr>
                  <w:tcW w:w="615" w:type="dxa"/>
                  <w:noWrap w:val="0"/>
                  <w:vAlign w:val="center"/>
                </w:tcPr>
                <w:p w14:paraId="175E0704">
                  <w:pPr>
                    <w:spacing w:line="240" w:lineRule="auto"/>
                    <w:jc w:val="center"/>
                    <w:rPr>
                      <w:rFonts w:hint="default"/>
                      <w:color w:val="auto"/>
                      <w:szCs w:val="21"/>
                      <w:lang w:val="en-US" w:eastAsia="zh-CN"/>
                    </w:rPr>
                  </w:pPr>
                  <w:r>
                    <w:rPr>
                      <w:rFonts w:hint="eastAsia"/>
                      <w:color w:val="auto"/>
                      <w:szCs w:val="21"/>
                      <w:lang w:val="en-US" w:eastAsia="zh-CN"/>
                    </w:rPr>
                    <w:t>固</w:t>
                  </w:r>
                </w:p>
              </w:tc>
              <w:tc>
                <w:tcPr>
                  <w:tcW w:w="780" w:type="dxa"/>
                  <w:noWrap w:val="0"/>
                  <w:vAlign w:val="center"/>
                </w:tcPr>
                <w:p w14:paraId="767D18FB">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4396D7E7">
                  <w:pPr>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49BE5465">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5CB6B1A5">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2983973F">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25C700CD">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4107342">
                  <w:pPr>
                    <w:tabs>
                      <w:tab w:val="left" w:pos="3225"/>
                    </w:tabs>
                    <w:spacing w:line="240" w:lineRule="exact"/>
                    <w:jc w:val="center"/>
                    <w:rPr>
                      <w:rFonts w:hint="eastAsia"/>
                      <w:color w:val="0000FF"/>
                      <w:szCs w:val="21"/>
                      <w:lang w:eastAsia="zh-CN"/>
                    </w:rPr>
                  </w:pPr>
                </w:p>
              </w:tc>
            </w:tr>
            <w:tr w14:paraId="2646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77A3548">
                  <w:pPr>
                    <w:tabs>
                      <w:tab w:val="left" w:pos="3225"/>
                    </w:tabs>
                    <w:spacing w:line="240" w:lineRule="exact"/>
                    <w:jc w:val="center"/>
                    <w:rPr>
                      <w:rFonts w:hint="default"/>
                      <w:color w:val="auto"/>
                      <w:szCs w:val="21"/>
                      <w:lang w:val="en-US" w:eastAsia="zh-CN"/>
                    </w:rPr>
                  </w:pPr>
                  <w:r>
                    <w:rPr>
                      <w:rFonts w:hint="eastAsia"/>
                      <w:color w:val="auto"/>
                      <w:szCs w:val="21"/>
                      <w:lang w:val="en-US" w:eastAsia="zh-CN"/>
                    </w:rPr>
                    <w:t>6</w:t>
                  </w:r>
                </w:p>
              </w:tc>
              <w:tc>
                <w:tcPr>
                  <w:tcW w:w="1585" w:type="dxa"/>
                  <w:noWrap w:val="0"/>
                  <w:vAlign w:val="center"/>
                </w:tcPr>
                <w:p w14:paraId="743FF4A2">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氢氧化钠溶液[含量≥30%]</w:t>
                  </w:r>
                </w:p>
              </w:tc>
              <w:tc>
                <w:tcPr>
                  <w:tcW w:w="615" w:type="dxa"/>
                  <w:noWrap w:val="0"/>
                  <w:vAlign w:val="center"/>
                </w:tcPr>
                <w:p w14:paraId="06C998AE">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15BAC873">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15648D90">
                  <w:pPr>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4277C349">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225092C0">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6969283D">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243E9654">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3C82DF0">
                  <w:pPr>
                    <w:tabs>
                      <w:tab w:val="left" w:pos="3225"/>
                    </w:tabs>
                    <w:spacing w:line="240" w:lineRule="exact"/>
                    <w:jc w:val="center"/>
                    <w:rPr>
                      <w:rFonts w:hint="eastAsia"/>
                      <w:color w:val="0000FF"/>
                      <w:szCs w:val="21"/>
                      <w:lang w:eastAsia="zh-CN"/>
                    </w:rPr>
                  </w:pPr>
                </w:p>
              </w:tc>
            </w:tr>
            <w:tr w14:paraId="4CCF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1FB88881">
                  <w:pPr>
                    <w:tabs>
                      <w:tab w:val="left" w:pos="3225"/>
                    </w:tabs>
                    <w:spacing w:line="240" w:lineRule="exact"/>
                    <w:jc w:val="center"/>
                    <w:rPr>
                      <w:rFonts w:hint="default"/>
                      <w:color w:val="auto"/>
                      <w:szCs w:val="21"/>
                      <w:lang w:val="en-US" w:eastAsia="zh-CN"/>
                    </w:rPr>
                  </w:pPr>
                  <w:r>
                    <w:rPr>
                      <w:rFonts w:hint="eastAsia"/>
                      <w:color w:val="auto"/>
                      <w:szCs w:val="21"/>
                      <w:lang w:val="en-US" w:eastAsia="zh-CN"/>
                    </w:rPr>
                    <w:t>7</w:t>
                  </w:r>
                </w:p>
              </w:tc>
              <w:tc>
                <w:tcPr>
                  <w:tcW w:w="1585" w:type="dxa"/>
                  <w:noWrap w:val="0"/>
                  <w:vAlign w:val="center"/>
                </w:tcPr>
                <w:p w14:paraId="5241D275">
                  <w:pPr>
                    <w:tabs>
                      <w:tab w:val="left" w:pos="3225"/>
                    </w:tabs>
                    <w:spacing w:line="240" w:lineRule="auto"/>
                    <w:jc w:val="center"/>
                    <w:rPr>
                      <w:rFonts w:hint="eastAsia"/>
                      <w:color w:val="auto"/>
                      <w:szCs w:val="21"/>
                      <w:lang w:val="en-US" w:eastAsia="zh-CN"/>
                    </w:rPr>
                  </w:pPr>
                  <w:r>
                    <w:rPr>
                      <w:rFonts w:hint="eastAsia"/>
                      <w:color w:val="auto"/>
                      <w:szCs w:val="21"/>
                      <w:lang w:val="en-US" w:eastAsia="zh-CN"/>
                    </w:rPr>
                    <w:t>盐酸</w:t>
                  </w:r>
                </w:p>
              </w:tc>
              <w:tc>
                <w:tcPr>
                  <w:tcW w:w="615" w:type="dxa"/>
                  <w:noWrap w:val="0"/>
                  <w:vAlign w:val="center"/>
                </w:tcPr>
                <w:p w14:paraId="716D8C7E">
                  <w:pPr>
                    <w:spacing w:line="240" w:lineRule="auto"/>
                    <w:jc w:val="center"/>
                    <w:rPr>
                      <w:rFonts w:hint="default"/>
                      <w:color w:val="auto"/>
                      <w:szCs w:val="21"/>
                      <w:lang w:val="en-US" w:eastAsia="zh-CN"/>
                    </w:rPr>
                  </w:pPr>
                  <w:r>
                    <w:rPr>
                      <w:rFonts w:hint="eastAsia"/>
                      <w:color w:val="auto"/>
                      <w:szCs w:val="21"/>
                      <w:lang w:val="en-US" w:eastAsia="zh-CN"/>
                    </w:rPr>
                    <w:t>液</w:t>
                  </w:r>
                </w:p>
              </w:tc>
              <w:tc>
                <w:tcPr>
                  <w:tcW w:w="780" w:type="dxa"/>
                  <w:noWrap w:val="0"/>
                  <w:vAlign w:val="center"/>
                </w:tcPr>
                <w:p w14:paraId="12E36CCD">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02438636">
                  <w:pPr>
                    <w:tabs>
                      <w:tab w:val="left" w:pos="3225"/>
                    </w:tabs>
                    <w:spacing w:line="240" w:lineRule="auto"/>
                    <w:jc w:val="center"/>
                    <w:rPr>
                      <w:rFonts w:hint="default"/>
                      <w:color w:val="auto"/>
                      <w:szCs w:val="21"/>
                      <w:lang w:val="en-US" w:eastAsia="zh-CN"/>
                    </w:rPr>
                  </w:pPr>
                  <w:r>
                    <w:rPr>
                      <w:rFonts w:hint="eastAsia"/>
                      <w:color w:val="auto"/>
                      <w:szCs w:val="21"/>
                      <w:lang w:val="en-US" w:eastAsia="zh-CN"/>
                    </w:rPr>
                    <w:t>300</w:t>
                  </w:r>
                </w:p>
              </w:tc>
              <w:tc>
                <w:tcPr>
                  <w:tcW w:w="945" w:type="dxa"/>
                  <w:noWrap w:val="0"/>
                  <w:vAlign w:val="center"/>
                </w:tcPr>
                <w:p w14:paraId="7E1E1853">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322277BB">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3832EE2D">
                  <w:pPr>
                    <w:tabs>
                      <w:tab w:val="left" w:pos="3225"/>
                    </w:tabs>
                    <w:spacing w:line="240" w:lineRule="exact"/>
                    <w:jc w:val="center"/>
                    <w:rPr>
                      <w:rFonts w:hint="eastAsia"/>
                      <w:color w:val="0000FF"/>
                      <w:szCs w:val="21"/>
                      <w:lang w:val="en-US" w:eastAsia="zh-CN"/>
                    </w:rPr>
                  </w:pPr>
                  <w:r>
                    <w:rPr>
                      <w:rFonts w:hint="eastAsia"/>
                      <w:color w:val="auto"/>
                      <w:szCs w:val="21"/>
                      <w:u w:val="none"/>
                      <w:lang w:val="en-US" w:eastAsia="zh-CN"/>
                    </w:rPr>
                    <w:t>2号仓库危险化学品隔间A（A2酸储间）</w:t>
                  </w:r>
                </w:p>
              </w:tc>
              <w:tc>
                <w:tcPr>
                  <w:tcW w:w="540" w:type="dxa"/>
                  <w:vMerge w:val="continue"/>
                  <w:noWrap w:val="0"/>
                  <w:vAlign w:val="center"/>
                </w:tcPr>
                <w:p w14:paraId="083CFA1A">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65A97768">
                  <w:pPr>
                    <w:tabs>
                      <w:tab w:val="left" w:pos="3225"/>
                    </w:tabs>
                    <w:spacing w:line="240" w:lineRule="exact"/>
                    <w:jc w:val="center"/>
                    <w:rPr>
                      <w:rFonts w:hint="eastAsia"/>
                      <w:color w:val="0000FF"/>
                      <w:szCs w:val="21"/>
                      <w:lang w:eastAsia="zh-CN"/>
                    </w:rPr>
                  </w:pPr>
                </w:p>
              </w:tc>
            </w:tr>
            <w:tr w14:paraId="20FB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490DDB7">
                  <w:pPr>
                    <w:tabs>
                      <w:tab w:val="left" w:pos="3225"/>
                    </w:tabs>
                    <w:spacing w:line="240" w:lineRule="exact"/>
                    <w:jc w:val="center"/>
                    <w:rPr>
                      <w:rFonts w:hint="default"/>
                      <w:color w:val="auto"/>
                      <w:szCs w:val="21"/>
                      <w:lang w:val="en-US" w:eastAsia="zh-CN"/>
                    </w:rPr>
                  </w:pPr>
                  <w:r>
                    <w:rPr>
                      <w:rFonts w:hint="eastAsia"/>
                      <w:color w:val="auto"/>
                      <w:szCs w:val="21"/>
                      <w:lang w:val="en-US" w:eastAsia="zh-CN"/>
                    </w:rPr>
                    <w:t>8</w:t>
                  </w:r>
                </w:p>
              </w:tc>
              <w:tc>
                <w:tcPr>
                  <w:tcW w:w="1585" w:type="dxa"/>
                  <w:noWrap w:val="0"/>
                  <w:vAlign w:val="center"/>
                </w:tcPr>
                <w:p w14:paraId="3B07E0A0">
                  <w:pPr>
                    <w:tabs>
                      <w:tab w:val="left" w:pos="3225"/>
                    </w:tabs>
                    <w:spacing w:line="240" w:lineRule="auto"/>
                    <w:jc w:val="center"/>
                    <w:rPr>
                      <w:rFonts w:hint="eastAsia"/>
                      <w:color w:val="auto"/>
                      <w:szCs w:val="21"/>
                      <w:lang w:val="en-US" w:eastAsia="zh-CN"/>
                    </w:rPr>
                  </w:pPr>
                  <w:r>
                    <w:rPr>
                      <w:rFonts w:hint="eastAsia"/>
                      <w:color w:val="auto"/>
                      <w:szCs w:val="21"/>
                      <w:lang w:val="en-US" w:eastAsia="zh-CN"/>
                    </w:rPr>
                    <w:t>正磷酸</w:t>
                  </w:r>
                </w:p>
              </w:tc>
              <w:tc>
                <w:tcPr>
                  <w:tcW w:w="615" w:type="dxa"/>
                  <w:noWrap w:val="0"/>
                  <w:vAlign w:val="center"/>
                </w:tcPr>
                <w:p w14:paraId="0AE7D09F">
                  <w:pPr>
                    <w:spacing w:line="240" w:lineRule="auto"/>
                    <w:jc w:val="center"/>
                    <w:rPr>
                      <w:rFonts w:hint="default"/>
                      <w:color w:val="auto"/>
                      <w:szCs w:val="21"/>
                      <w:lang w:val="en-US" w:eastAsia="zh-CN"/>
                    </w:rPr>
                  </w:pPr>
                  <w:r>
                    <w:rPr>
                      <w:rFonts w:hint="eastAsia"/>
                      <w:color w:val="auto"/>
                      <w:szCs w:val="21"/>
                      <w:lang w:val="en-US" w:eastAsia="zh-CN"/>
                    </w:rPr>
                    <w:t>液</w:t>
                  </w:r>
                </w:p>
              </w:tc>
              <w:tc>
                <w:tcPr>
                  <w:tcW w:w="780" w:type="dxa"/>
                  <w:noWrap w:val="0"/>
                  <w:vAlign w:val="center"/>
                </w:tcPr>
                <w:p w14:paraId="5A07AA2A">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4FDAFB9B">
                  <w:pPr>
                    <w:tabs>
                      <w:tab w:val="left" w:pos="3225"/>
                    </w:tabs>
                    <w:spacing w:line="240" w:lineRule="auto"/>
                    <w:jc w:val="center"/>
                    <w:rPr>
                      <w:rFonts w:hint="default"/>
                      <w:color w:val="auto"/>
                      <w:szCs w:val="21"/>
                      <w:lang w:val="en-US" w:eastAsia="zh-CN"/>
                    </w:rPr>
                  </w:pPr>
                  <w:r>
                    <w:rPr>
                      <w:rFonts w:hint="eastAsia"/>
                      <w:color w:val="auto"/>
                      <w:szCs w:val="21"/>
                      <w:lang w:val="en-US" w:eastAsia="zh-CN"/>
                    </w:rPr>
                    <w:t>300</w:t>
                  </w:r>
                </w:p>
              </w:tc>
              <w:tc>
                <w:tcPr>
                  <w:tcW w:w="945" w:type="dxa"/>
                  <w:noWrap w:val="0"/>
                  <w:vAlign w:val="center"/>
                </w:tcPr>
                <w:p w14:paraId="6EFEF65C">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037C0BB6">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47015809">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295BD7B2">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6037E14F">
                  <w:pPr>
                    <w:tabs>
                      <w:tab w:val="left" w:pos="3225"/>
                    </w:tabs>
                    <w:spacing w:line="240" w:lineRule="exact"/>
                    <w:jc w:val="center"/>
                    <w:rPr>
                      <w:rFonts w:hint="eastAsia"/>
                      <w:color w:val="0000FF"/>
                      <w:szCs w:val="21"/>
                      <w:lang w:eastAsia="zh-CN"/>
                    </w:rPr>
                  </w:pPr>
                </w:p>
              </w:tc>
            </w:tr>
            <w:tr w14:paraId="6341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0D54F39">
                  <w:pPr>
                    <w:tabs>
                      <w:tab w:val="left" w:pos="3225"/>
                    </w:tabs>
                    <w:spacing w:line="240" w:lineRule="exact"/>
                    <w:jc w:val="center"/>
                    <w:rPr>
                      <w:rFonts w:hint="default"/>
                      <w:color w:val="auto"/>
                      <w:szCs w:val="21"/>
                      <w:lang w:val="en-US" w:eastAsia="zh-CN"/>
                    </w:rPr>
                  </w:pPr>
                  <w:r>
                    <w:rPr>
                      <w:rFonts w:hint="eastAsia"/>
                      <w:color w:val="auto"/>
                      <w:szCs w:val="21"/>
                      <w:lang w:val="en-US" w:eastAsia="zh-CN"/>
                    </w:rPr>
                    <w:t>9</w:t>
                  </w:r>
                </w:p>
              </w:tc>
              <w:tc>
                <w:tcPr>
                  <w:tcW w:w="1585" w:type="dxa"/>
                  <w:noWrap w:val="0"/>
                  <w:vAlign w:val="center"/>
                </w:tcPr>
                <w:p w14:paraId="2F5A4609">
                  <w:pPr>
                    <w:tabs>
                      <w:tab w:val="left" w:pos="3225"/>
                    </w:tabs>
                    <w:spacing w:line="240" w:lineRule="auto"/>
                    <w:jc w:val="center"/>
                    <w:rPr>
                      <w:rFonts w:hint="eastAsia"/>
                      <w:color w:val="auto"/>
                      <w:szCs w:val="21"/>
                      <w:lang w:val="en-US" w:eastAsia="zh-CN"/>
                    </w:rPr>
                  </w:pPr>
                  <w:r>
                    <w:rPr>
                      <w:rFonts w:hint="eastAsia"/>
                      <w:color w:val="auto"/>
                      <w:szCs w:val="21"/>
                      <w:lang w:val="en-US" w:eastAsia="zh-CN"/>
                    </w:rPr>
                    <w:t>多聚磷酸</w:t>
                  </w:r>
                </w:p>
              </w:tc>
              <w:tc>
                <w:tcPr>
                  <w:tcW w:w="615" w:type="dxa"/>
                  <w:noWrap w:val="0"/>
                  <w:vAlign w:val="center"/>
                </w:tcPr>
                <w:p w14:paraId="72D1806D">
                  <w:pPr>
                    <w:spacing w:line="240" w:lineRule="auto"/>
                    <w:jc w:val="center"/>
                    <w:rPr>
                      <w:rFonts w:hint="default"/>
                      <w:color w:val="auto"/>
                      <w:szCs w:val="21"/>
                      <w:lang w:val="en-US" w:eastAsia="zh-CN"/>
                    </w:rPr>
                  </w:pPr>
                  <w:r>
                    <w:rPr>
                      <w:rFonts w:hint="eastAsia"/>
                      <w:color w:val="auto"/>
                      <w:szCs w:val="21"/>
                      <w:lang w:val="en-US" w:eastAsia="zh-CN"/>
                    </w:rPr>
                    <w:t>液</w:t>
                  </w:r>
                </w:p>
              </w:tc>
              <w:tc>
                <w:tcPr>
                  <w:tcW w:w="780" w:type="dxa"/>
                  <w:noWrap w:val="0"/>
                  <w:vAlign w:val="center"/>
                </w:tcPr>
                <w:p w14:paraId="3D551DAB">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07DF7D5B">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5306B57A">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071BFA4C">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5CF3BF91">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7CC1D5E7">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1FF63B54">
                  <w:pPr>
                    <w:tabs>
                      <w:tab w:val="left" w:pos="3225"/>
                    </w:tabs>
                    <w:spacing w:line="240" w:lineRule="exact"/>
                    <w:jc w:val="center"/>
                    <w:rPr>
                      <w:rFonts w:hint="eastAsia"/>
                      <w:color w:val="0000FF"/>
                      <w:szCs w:val="21"/>
                      <w:lang w:eastAsia="zh-CN"/>
                    </w:rPr>
                  </w:pPr>
                </w:p>
              </w:tc>
            </w:tr>
            <w:tr w14:paraId="3F1B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E833494">
                  <w:pPr>
                    <w:tabs>
                      <w:tab w:val="left" w:pos="3225"/>
                    </w:tabs>
                    <w:spacing w:line="240" w:lineRule="exact"/>
                    <w:jc w:val="center"/>
                    <w:rPr>
                      <w:rFonts w:hint="default"/>
                      <w:color w:val="auto"/>
                      <w:szCs w:val="21"/>
                      <w:lang w:val="en-US" w:eastAsia="zh-CN"/>
                    </w:rPr>
                  </w:pPr>
                  <w:r>
                    <w:rPr>
                      <w:rFonts w:hint="eastAsia"/>
                      <w:color w:val="auto"/>
                      <w:szCs w:val="21"/>
                      <w:lang w:val="en-US" w:eastAsia="zh-CN"/>
                    </w:rPr>
                    <w:t>10</w:t>
                  </w:r>
                </w:p>
              </w:tc>
              <w:tc>
                <w:tcPr>
                  <w:tcW w:w="1585" w:type="dxa"/>
                  <w:noWrap w:val="0"/>
                  <w:vAlign w:val="center"/>
                </w:tcPr>
                <w:p w14:paraId="6091C162">
                  <w:pPr>
                    <w:tabs>
                      <w:tab w:val="left" w:pos="3225"/>
                    </w:tabs>
                    <w:spacing w:line="240" w:lineRule="auto"/>
                    <w:jc w:val="center"/>
                    <w:rPr>
                      <w:rFonts w:hint="eastAsia"/>
                      <w:color w:val="auto"/>
                      <w:szCs w:val="21"/>
                      <w:lang w:val="en-US" w:eastAsia="zh-CN"/>
                    </w:rPr>
                  </w:pPr>
                  <w:r>
                    <w:rPr>
                      <w:rFonts w:hint="eastAsia"/>
                      <w:color w:val="auto"/>
                      <w:szCs w:val="21"/>
                      <w:lang w:val="en-US" w:eastAsia="zh-CN"/>
                    </w:rPr>
                    <w:t>硫酸镍</w:t>
                  </w:r>
                </w:p>
              </w:tc>
              <w:tc>
                <w:tcPr>
                  <w:tcW w:w="615" w:type="dxa"/>
                  <w:noWrap w:val="0"/>
                  <w:vAlign w:val="center"/>
                </w:tcPr>
                <w:p w14:paraId="52D89841">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14E352B5">
                  <w:pPr>
                    <w:spacing w:line="240" w:lineRule="auto"/>
                    <w:jc w:val="center"/>
                    <w:rPr>
                      <w:rFonts w:hint="eastAsia"/>
                      <w:color w:val="auto"/>
                      <w:szCs w:val="21"/>
                      <w:lang w:val="en-US" w:eastAsia="zh-CN"/>
                    </w:rPr>
                  </w:pPr>
                  <w:r>
                    <w:rPr>
                      <w:rFonts w:hint="eastAsia"/>
                      <w:color w:val="auto"/>
                      <w:szCs w:val="21"/>
                      <w:lang w:val="en-US" w:eastAsia="zh-CN"/>
                    </w:rPr>
                    <w:t>1000</w:t>
                  </w:r>
                </w:p>
              </w:tc>
              <w:tc>
                <w:tcPr>
                  <w:tcW w:w="825" w:type="dxa"/>
                  <w:noWrap w:val="0"/>
                  <w:vAlign w:val="center"/>
                </w:tcPr>
                <w:p w14:paraId="1F46B876">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2757B207">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614957D0">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755B779F">
                  <w:pPr>
                    <w:tabs>
                      <w:tab w:val="left" w:pos="3225"/>
                    </w:tabs>
                    <w:spacing w:line="240" w:lineRule="exact"/>
                    <w:jc w:val="center"/>
                    <w:rPr>
                      <w:rFonts w:hint="eastAsia"/>
                      <w:color w:val="0000FF"/>
                      <w:szCs w:val="21"/>
                      <w:lang w:val="en-US" w:eastAsia="zh-CN"/>
                    </w:rPr>
                  </w:pPr>
                  <w:r>
                    <w:rPr>
                      <w:rFonts w:hint="eastAsia"/>
                      <w:color w:val="auto"/>
                      <w:szCs w:val="21"/>
                      <w:u w:val="none"/>
                      <w:lang w:val="en-US" w:eastAsia="zh-CN"/>
                    </w:rPr>
                    <w:t>2号仓库危险化学品隔间A（A3毒害品储间）</w:t>
                  </w:r>
                </w:p>
              </w:tc>
              <w:tc>
                <w:tcPr>
                  <w:tcW w:w="540" w:type="dxa"/>
                  <w:vMerge w:val="continue"/>
                  <w:noWrap w:val="0"/>
                  <w:vAlign w:val="center"/>
                </w:tcPr>
                <w:p w14:paraId="7AAFA83F">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09E72721">
                  <w:pPr>
                    <w:tabs>
                      <w:tab w:val="left" w:pos="3225"/>
                    </w:tabs>
                    <w:spacing w:line="240" w:lineRule="exact"/>
                    <w:jc w:val="center"/>
                    <w:rPr>
                      <w:rFonts w:hint="eastAsia"/>
                      <w:color w:val="0000FF"/>
                      <w:szCs w:val="21"/>
                      <w:lang w:eastAsia="zh-CN"/>
                    </w:rPr>
                  </w:pPr>
                </w:p>
              </w:tc>
            </w:tr>
            <w:tr w14:paraId="41A8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D201540">
                  <w:pPr>
                    <w:tabs>
                      <w:tab w:val="left" w:pos="3225"/>
                    </w:tabs>
                    <w:spacing w:line="240" w:lineRule="exact"/>
                    <w:jc w:val="center"/>
                    <w:rPr>
                      <w:rFonts w:hint="default"/>
                      <w:color w:val="auto"/>
                      <w:szCs w:val="21"/>
                      <w:lang w:val="en-US" w:eastAsia="zh-CN"/>
                    </w:rPr>
                  </w:pPr>
                  <w:r>
                    <w:rPr>
                      <w:rFonts w:hint="eastAsia"/>
                      <w:color w:val="auto"/>
                      <w:szCs w:val="21"/>
                      <w:lang w:val="en-US" w:eastAsia="zh-CN"/>
                    </w:rPr>
                    <w:t>11</w:t>
                  </w:r>
                </w:p>
              </w:tc>
              <w:tc>
                <w:tcPr>
                  <w:tcW w:w="1585" w:type="dxa"/>
                  <w:noWrap w:val="0"/>
                  <w:vAlign w:val="center"/>
                </w:tcPr>
                <w:p w14:paraId="631EBB88">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氟硅酸钾</w:t>
                  </w:r>
                </w:p>
              </w:tc>
              <w:tc>
                <w:tcPr>
                  <w:tcW w:w="615" w:type="dxa"/>
                  <w:noWrap w:val="0"/>
                  <w:vAlign w:val="center"/>
                </w:tcPr>
                <w:p w14:paraId="6E811558">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22F4ED82">
                  <w:pPr>
                    <w:spacing w:line="240" w:lineRule="auto"/>
                    <w:jc w:val="center"/>
                    <w:rPr>
                      <w:rFonts w:hint="eastAsia"/>
                      <w:color w:val="auto"/>
                      <w:szCs w:val="21"/>
                      <w:lang w:val="en-US" w:eastAsia="zh-CN"/>
                    </w:rPr>
                  </w:pPr>
                  <w:r>
                    <w:rPr>
                      <w:rFonts w:hint="eastAsia"/>
                      <w:color w:val="auto"/>
                      <w:szCs w:val="21"/>
                      <w:lang w:val="en-US" w:eastAsia="zh-CN"/>
                    </w:rPr>
                    <w:t>1000</w:t>
                  </w:r>
                </w:p>
              </w:tc>
              <w:tc>
                <w:tcPr>
                  <w:tcW w:w="825" w:type="dxa"/>
                  <w:noWrap w:val="0"/>
                  <w:vAlign w:val="center"/>
                </w:tcPr>
                <w:p w14:paraId="5F81E0A2">
                  <w:pPr>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0004230D">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2A599156">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5F6B7C75">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3EA73C3A">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CF5AF62">
                  <w:pPr>
                    <w:tabs>
                      <w:tab w:val="left" w:pos="3225"/>
                    </w:tabs>
                    <w:spacing w:line="240" w:lineRule="exact"/>
                    <w:jc w:val="center"/>
                    <w:rPr>
                      <w:rFonts w:hint="eastAsia"/>
                      <w:color w:val="0000FF"/>
                      <w:szCs w:val="21"/>
                      <w:lang w:eastAsia="zh-CN"/>
                    </w:rPr>
                  </w:pPr>
                </w:p>
              </w:tc>
            </w:tr>
            <w:tr w14:paraId="1C5B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1CB45380">
                  <w:pPr>
                    <w:tabs>
                      <w:tab w:val="left" w:pos="3225"/>
                    </w:tabs>
                    <w:spacing w:line="240" w:lineRule="exact"/>
                    <w:jc w:val="center"/>
                    <w:rPr>
                      <w:rFonts w:hint="default"/>
                      <w:color w:val="auto"/>
                      <w:szCs w:val="21"/>
                      <w:lang w:val="en-US" w:eastAsia="zh-CN"/>
                    </w:rPr>
                  </w:pPr>
                  <w:r>
                    <w:rPr>
                      <w:rFonts w:hint="eastAsia"/>
                      <w:color w:val="auto"/>
                      <w:szCs w:val="21"/>
                      <w:lang w:val="en-US" w:eastAsia="zh-CN"/>
                    </w:rPr>
                    <w:t>12</w:t>
                  </w:r>
                </w:p>
              </w:tc>
              <w:tc>
                <w:tcPr>
                  <w:tcW w:w="1585" w:type="dxa"/>
                  <w:noWrap w:val="0"/>
                  <w:vAlign w:val="center"/>
                </w:tcPr>
                <w:p w14:paraId="6FE5B989">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氟硅酸钠</w:t>
                  </w:r>
                </w:p>
              </w:tc>
              <w:tc>
                <w:tcPr>
                  <w:tcW w:w="615" w:type="dxa"/>
                  <w:noWrap w:val="0"/>
                  <w:vAlign w:val="center"/>
                </w:tcPr>
                <w:p w14:paraId="535D9338">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466983B1">
                  <w:pPr>
                    <w:spacing w:line="240" w:lineRule="auto"/>
                    <w:jc w:val="center"/>
                    <w:rPr>
                      <w:rFonts w:hint="eastAsia"/>
                      <w:color w:val="auto"/>
                      <w:szCs w:val="21"/>
                      <w:lang w:val="en-US" w:eastAsia="zh-CN"/>
                    </w:rPr>
                  </w:pPr>
                  <w:r>
                    <w:rPr>
                      <w:rFonts w:hint="eastAsia"/>
                      <w:color w:val="auto"/>
                      <w:szCs w:val="21"/>
                      <w:lang w:val="en-US" w:eastAsia="zh-CN"/>
                    </w:rPr>
                    <w:t>1000</w:t>
                  </w:r>
                </w:p>
              </w:tc>
              <w:tc>
                <w:tcPr>
                  <w:tcW w:w="825" w:type="dxa"/>
                  <w:noWrap w:val="0"/>
                  <w:vAlign w:val="center"/>
                </w:tcPr>
                <w:p w14:paraId="5F725B6B">
                  <w:pPr>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792D4846">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5AF03284">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750896D">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286F25B6">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6D0CD1F4">
                  <w:pPr>
                    <w:tabs>
                      <w:tab w:val="left" w:pos="3225"/>
                    </w:tabs>
                    <w:spacing w:line="240" w:lineRule="exact"/>
                    <w:jc w:val="center"/>
                    <w:rPr>
                      <w:rFonts w:hint="eastAsia"/>
                      <w:color w:val="0000FF"/>
                      <w:szCs w:val="21"/>
                      <w:lang w:eastAsia="zh-CN"/>
                    </w:rPr>
                  </w:pPr>
                </w:p>
              </w:tc>
            </w:tr>
            <w:tr w14:paraId="2522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3191989">
                  <w:pPr>
                    <w:tabs>
                      <w:tab w:val="left" w:pos="3225"/>
                    </w:tabs>
                    <w:spacing w:line="240" w:lineRule="exact"/>
                    <w:jc w:val="center"/>
                    <w:rPr>
                      <w:rFonts w:hint="default"/>
                      <w:color w:val="auto"/>
                      <w:szCs w:val="21"/>
                      <w:lang w:val="en-US" w:eastAsia="zh-CN"/>
                    </w:rPr>
                  </w:pPr>
                  <w:r>
                    <w:rPr>
                      <w:rFonts w:hint="eastAsia"/>
                      <w:color w:val="auto"/>
                      <w:szCs w:val="21"/>
                      <w:lang w:val="en-US" w:eastAsia="zh-CN"/>
                    </w:rPr>
                    <w:t>13</w:t>
                  </w:r>
                </w:p>
              </w:tc>
              <w:tc>
                <w:tcPr>
                  <w:tcW w:w="1585" w:type="dxa"/>
                  <w:noWrap w:val="0"/>
                  <w:vAlign w:val="center"/>
                </w:tcPr>
                <w:p w14:paraId="081DFB39">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氟化铵</w:t>
                  </w:r>
                </w:p>
              </w:tc>
              <w:tc>
                <w:tcPr>
                  <w:tcW w:w="615" w:type="dxa"/>
                  <w:noWrap w:val="0"/>
                  <w:vAlign w:val="center"/>
                </w:tcPr>
                <w:p w14:paraId="7E25501C">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512B23F9">
                  <w:pPr>
                    <w:spacing w:line="240" w:lineRule="auto"/>
                    <w:jc w:val="center"/>
                    <w:rPr>
                      <w:rFonts w:hint="eastAsia"/>
                      <w:color w:val="auto"/>
                      <w:szCs w:val="21"/>
                      <w:lang w:val="en-US" w:eastAsia="zh-CN"/>
                    </w:rPr>
                  </w:pPr>
                  <w:r>
                    <w:rPr>
                      <w:rFonts w:hint="eastAsia"/>
                      <w:color w:val="auto"/>
                      <w:szCs w:val="21"/>
                      <w:lang w:val="en-US" w:eastAsia="zh-CN"/>
                    </w:rPr>
                    <w:t>1000</w:t>
                  </w:r>
                </w:p>
              </w:tc>
              <w:tc>
                <w:tcPr>
                  <w:tcW w:w="825" w:type="dxa"/>
                  <w:noWrap w:val="0"/>
                  <w:vAlign w:val="center"/>
                </w:tcPr>
                <w:p w14:paraId="55039A0B">
                  <w:pPr>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66055E8F">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5D819569">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4A51EFB3">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5C18B3DB">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0A8D908D">
                  <w:pPr>
                    <w:tabs>
                      <w:tab w:val="left" w:pos="3225"/>
                    </w:tabs>
                    <w:spacing w:line="240" w:lineRule="exact"/>
                    <w:jc w:val="center"/>
                    <w:rPr>
                      <w:rFonts w:hint="eastAsia"/>
                      <w:color w:val="0000FF"/>
                      <w:szCs w:val="21"/>
                      <w:lang w:eastAsia="zh-CN"/>
                    </w:rPr>
                  </w:pPr>
                </w:p>
              </w:tc>
            </w:tr>
            <w:tr w14:paraId="05F4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27097113">
                  <w:pPr>
                    <w:tabs>
                      <w:tab w:val="left" w:pos="3225"/>
                    </w:tabs>
                    <w:spacing w:line="240" w:lineRule="exact"/>
                    <w:jc w:val="center"/>
                    <w:rPr>
                      <w:rFonts w:hint="default"/>
                      <w:color w:val="auto"/>
                      <w:szCs w:val="21"/>
                      <w:lang w:val="en-US" w:eastAsia="zh-CN"/>
                    </w:rPr>
                  </w:pPr>
                  <w:r>
                    <w:rPr>
                      <w:rFonts w:hint="eastAsia"/>
                      <w:color w:val="auto"/>
                      <w:szCs w:val="21"/>
                      <w:lang w:val="en-US" w:eastAsia="zh-CN"/>
                    </w:rPr>
                    <w:t>14</w:t>
                  </w:r>
                </w:p>
              </w:tc>
              <w:tc>
                <w:tcPr>
                  <w:tcW w:w="1585" w:type="dxa"/>
                  <w:noWrap w:val="0"/>
                  <w:vAlign w:val="center"/>
                </w:tcPr>
                <w:p w14:paraId="47EEAECD">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氟化钡</w:t>
                  </w:r>
                </w:p>
              </w:tc>
              <w:tc>
                <w:tcPr>
                  <w:tcW w:w="615" w:type="dxa"/>
                  <w:noWrap w:val="0"/>
                  <w:vAlign w:val="center"/>
                </w:tcPr>
                <w:p w14:paraId="7BC6A62B">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006B2349">
                  <w:pPr>
                    <w:spacing w:line="240" w:lineRule="auto"/>
                    <w:jc w:val="center"/>
                    <w:rPr>
                      <w:rFonts w:hint="eastAsia"/>
                      <w:color w:val="auto"/>
                      <w:szCs w:val="21"/>
                      <w:lang w:val="en-US" w:eastAsia="zh-CN"/>
                    </w:rPr>
                  </w:pPr>
                  <w:r>
                    <w:rPr>
                      <w:rFonts w:hint="eastAsia"/>
                      <w:color w:val="auto"/>
                      <w:szCs w:val="21"/>
                      <w:lang w:val="en-US" w:eastAsia="zh-CN"/>
                    </w:rPr>
                    <w:t>1000</w:t>
                  </w:r>
                </w:p>
              </w:tc>
              <w:tc>
                <w:tcPr>
                  <w:tcW w:w="825" w:type="dxa"/>
                  <w:noWrap w:val="0"/>
                  <w:vAlign w:val="center"/>
                </w:tcPr>
                <w:p w14:paraId="12614AA6">
                  <w:pPr>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6C4AA0DE">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398DCB3C">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5817B7DD">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7CEE7F1D">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0EC25CE5">
                  <w:pPr>
                    <w:tabs>
                      <w:tab w:val="left" w:pos="3225"/>
                    </w:tabs>
                    <w:spacing w:line="240" w:lineRule="exact"/>
                    <w:jc w:val="center"/>
                    <w:rPr>
                      <w:rFonts w:hint="eastAsia"/>
                      <w:color w:val="0000FF"/>
                      <w:szCs w:val="21"/>
                      <w:lang w:eastAsia="zh-CN"/>
                    </w:rPr>
                  </w:pPr>
                </w:p>
              </w:tc>
            </w:tr>
            <w:tr w14:paraId="7B98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DA92ABE">
                  <w:pPr>
                    <w:tabs>
                      <w:tab w:val="left" w:pos="3225"/>
                    </w:tabs>
                    <w:spacing w:line="240" w:lineRule="exact"/>
                    <w:jc w:val="center"/>
                    <w:rPr>
                      <w:rFonts w:hint="default"/>
                      <w:color w:val="auto"/>
                      <w:szCs w:val="21"/>
                      <w:lang w:val="en-US" w:eastAsia="zh-CN"/>
                    </w:rPr>
                  </w:pPr>
                  <w:r>
                    <w:rPr>
                      <w:rFonts w:hint="eastAsia"/>
                      <w:color w:val="auto"/>
                      <w:szCs w:val="21"/>
                      <w:lang w:val="en-US" w:eastAsia="zh-CN"/>
                    </w:rPr>
                    <w:t>15</w:t>
                  </w:r>
                </w:p>
              </w:tc>
              <w:tc>
                <w:tcPr>
                  <w:tcW w:w="1585" w:type="dxa"/>
                  <w:noWrap w:val="0"/>
                  <w:vAlign w:val="center"/>
                </w:tcPr>
                <w:p w14:paraId="7368AB92">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氟化钾</w:t>
                  </w:r>
                </w:p>
              </w:tc>
              <w:tc>
                <w:tcPr>
                  <w:tcW w:w="615" w:type="dxa"/>
                  <w:noWrap w:val="0"/>
                  <w:vAlign w:val="center"/>
                </w:tcPr>
                <w:p w14:paraId="279F379F">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4287A24D">
                  <w:pPr>
                    <w:spacing w:line="240" w:lineRule="auto"/>
                    <w:jc w:val="center"/>
                    <w:rPr>
                      <w:rFonts w:hint="eastAsia"/>
                      <w:color w:val="auto"/>
                      <w:szCs w:val="21"/>
                      <w:lang w:val="en-US" w:eastAsia="zh-CN"/>
                    </w:rPr>
                  </w:pPr>
                  <w:r>
                    <w:rPr>
                      <w:rFonts w:hint="eastAsia"/>
                      <w:color w:val="auto"/>
                      <w:szCs w:val="21"/>
                      <w:lang w:val="en-US" w:eastAsia="zh-CN"/>
                    </w:rPr>
                    <w:t>1000</w:t>
                  </w:r>
                </w:p>
              </w:tc>
              <w:tc>
                <w:tcPr>
                  <w:tcW w:w="825" w:type="dxa"/>
                  <w:noWrap w:val="0"/>
                  <w:vAlign w:val="center"/>
                </w:tcPr>
                <w:p w14:paraId="3D7555DF">
                  <w:pPr>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63F4E4EF">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421931AF">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53EAB99">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00786833">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59FEAFA">
                  <w:pPr>
                    <w:tabs>
                      <w:tab w:val="left" w:pos="3225"/>
                    </w:tabs>
                    <w:spacing w:line="240" w:lineRule="exact"/>
                    <w:jc w:val="center"/>
                    <w:rPr>
                      <w:rFonts w:hint="eastAsia"/>
                      <w:color w:val="0000FF"/>
                      <w:szCs w:val="21"/>
                      <w:lang w:eastAsia="zh-CN"/>
                    </w:rPr>
                  </w:pPr>
                </w:p>
              </w:tc>
            </w:tr>
            <w:tr w14:paraId="7B7E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05D6A78">
                  <w:pPr>
                    <w:tabs>
                      <w:tab w:val="left" w:pos="3225"/>
                    </w:tabs>
                    <w:spacing w:line="240" w:lineRule="exact"/>
                    <w:jc w:val="center"/>
                    <w:rPr>
                      <w:rFonts w:hint="default"/>
                      <w:color w:val="auto"/>
                      <w:szCs w:val="21"/>
                      <w:lang w:val="en-US" w:eastAsia="zh-CN"/>
                    </w:rPr>
                  </w:pPr>
                  <w:r>
                    <w:rPr>
                      <w:rFonts w:hint="eastAsia"/>
                      <w:color w:val="auto"/>
                      <w:szCs w:val="21"/>
                      <w:lang w:val="en-US" w:eastAsia="zh-CN"/>
                    </w:rPr>
                    <w:t>16</w:t>
                  </w:r>
                </w:p>
              </w:tc>
              <w:tc>
                <w:tcPr>
                  <w:tcW w:w="1585" w:type="dxa"/>
                  <w:noWrap w:val="0"/>
                  <w:vAlign w:val="center"/>
                </w:tcPr>
                <w:p w14:paraId="04DF4106">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氟化钠</w:t>
                  </w:r>
                </w:p>
              </w:tc>
              <w:tc>
                <w:tcPr>
                  <w:tcW w:w="615" w:type="dxa"/>
                  <w:noWrap w:val="0"/>
                  <w:vAlign w:val="center"/>
                </w:tcPr>
                <w:p w14:paraId="054F174A">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065A26DF">
                  <w:pPr>
                    <w:spacing w:line="240" w:lineRule="auto"/>
                    <w:jc w:val="center"/>
                    <w:rPr>
                      <w:rFonts w:hint="eastAsia"/>
                      <w:color w:val="auto"/>
                      <w:szCs w:val="21"/>
                      <w:lang w:val="en-US" w:eastAsia="zh-CN"/>
                    </w:rPr>
                  </w:pPr>
                  <w:r>
                    <w:rPr>
                      <w:rFonts w:hint="eastAsia"/>
                      <w:color w:val="auto"/>
                      <w:szCs w:val="21"/>
                      <w:lang w:val="en-US" w:eastAsia="zh-CN"/>
                    </w:rPr>
                    <w:t>1000</w:t>
                  </w:r>
                </w:p>
              </w:tc>
              <w:tc>
                <w:tcPr>
                  <w:tcW w:w="825" w:type="dxa"/>
                  <w:noWrap w:val="0"/>
                  <w:vAlign w:val="center"/>
                </w:tcPr>
                <w:p w14:paraId="204D4937">
                  <w:pPr>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2434D224">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45ABE00A">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4238D566">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79688975">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574DC7F">
                  <w:pPr>
                    <w:tabs>
                      <w:tab w:val="left" w:pos="3225"/>
                    </w:tabs>
                    <w:spacing w:line="240" w:lineRule="exact"/>
                    <w:jc w:val="center"/>
                    <w:rPr>
                      <w:rFonts w:hint="eastAsia"/>
                      <w:color w:val="0000FF"/>
                      <w:szCs w:val="21"/>
                      <w:lang w:eastAsia="zh-CN"/>
                    </w:rPr>
                  </w:pPr>
                </w:p>
              </w:tc>
            </w:tr>
            <w:tr w14:paraId="080D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5B16A32">
                  <w:pPr>
                    <w:tabs>
                      <w:tab w:val="left" w:pos="3225"/>
                    </w:tabs>
                    <w:spacing w:line="240" w:lineRule="exact"/>
                    <w:jc w:val="center"/>
                    <w:rPr>
                      <w:rFonts w:hint="default"/>
                      <w:color w:val="auto"/>
                      <w:szCs w:val="21"/>
                      <w:lang w:val="en-US" w:eastAsia="zh-CN"/>
                    </w:rPr>
                  </w:pPr>
                  <w:r>
                    <w:rPr>
                      <w:rFonts w:hint="eastAsia"/>
                      <w:color w:val="auto"/>
                      <w:szCs w:val="21"/>
                      <w:lang w:val="en-US" w:eastAsia="zh-CN"/>
                    </w:rPr>
                    <w:t>17</w:t>
                  </w:r>
                </w:p>
              </w:tc>
              <w:tc>
                <w:tcPr>
                  <w:tcW w:w="1585" w:type="dxa"/>
                  <w:noWrap w:val="0"/>
                  <w:vAlign w:val="center"/>
                </w:tcPr>
                <w:p w14:paraId="24A5E402">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氟化氢铵</w:t>
                  </w:r>
                </w:p>
              </w:tc>
              <w:tc>
                <w:tcPr>
                  <w:tcW w:w="615" w:type="dxa"/>
                  <w:noWrap w:val="0"/>
                  <w:vAlign w:val="center"/>
                </w:tcPr>
                <w:p w14:paraId="1EDA0B09">
                  <w:pPr>
                    <w:spacing w:line="240" w:lineRule="auto"/>
                    <w:jc w:val="center"/>
                    <w:rPr>
                      <w:rFonts w:hint="default"/>
                      <w:color w:val="auto"/>
                      <w:szCs w:val="21"/>
                      <w:lang w:val="en-US" w:eastAsia="zh-CN"/>
                    </w:rPr>
                  </w:pPr>
                  <w:r>
                    <w:rPr>
                      <w:rFonts w:hint="eastAsia"/>
                      <w:color w:val="auto"/>
                      <w:szCs w:val="21"/>
                      <w:lang w:val="en-US" w:eastAsia="zh-CN"/>
                    </w:rPr>
                    <w:t>固</w:t>
                  </w:r>
                </w:p>
              </w:tc>
              <w:tc>
                <w:tcPr>
                  <w:tcW w:w="780" w:type="dxa"/>
                  <w:noWrap w:val="0"/>
                  <w:vAlign w:val="center"/>
                </w:tcPr>
                <w:p w14:paraId="62F4D28E">
                  <w:pPr>
                    <w:spacing w:line="240" w:lineRule="auto"/>
                    <w:jc w:val="center"/>
                    <w:rPr>
                      <w:rFonts w:hint="eastAsia"/>
                      <w:color w:val="auto"/>
                      <w:szCs w:val="21"/>
                      <w:lang w:val="en-US" w:eastAsia="zh-CN"/>
                    </w:rPr>
                  </w:pPr>
                  <w:r>
                    <w:rPr>
                      <w:rFonts w:hint="eastAsia"/>
                      <w:color w:val="auto"/>
                      <w:szCs w:val="21"/>
                      <w:lang w:val="en-US" w:eastAsia="zh-CN"/>
                    </w:rPr>
                    <w:t>1000</w:t>
                  </w:r>
                </w:p>
              </w:tc>
              <w:tc>
                <w:tcPr>
                  <w:tcW w:w="825" w:type="dxa"/>
                  <w:noWrap w:val="0"/>
                  <w:vAlign w:val="center"/>
                </w:tcPr>
                <w:p w14:paraId="56395770">
                  <w:pPr>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09099A0C">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54FCD936">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65FCD92D">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4CFD42E0">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662956BD">
                  <w:pPr>
                    <w:tabs>
                      <w:tab w:val="left" w:pos="3225"/>
                    </w:tabs>
                    <w:spacing w:line="240" w:lineRule="exact"/>
                    <w:jc w:val="center"/>
                    <w:rPr>
                      <w:rFonts w:hint="eastAsia"/>
                      <w:color w:val="0000FF"/>
                      <w:szCs w:val="21"/>
                      <w:lang w:eastAsia="zh-CN"/>
                    </w:rPr>
                  </w:pPr>
                </w:p>
              </w:tc>
            </w:tr>
            <w:tr w14:paraId="1C7E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8D03A43">
                  <w:pPr>
                    <w:tabs>
                      <w:tab w:val="left" w:pos="3225"/>
                    </w:tabs>
                    <w:spacing w:line="240" w:lineRule="exact"/>
                    <w:jc w:val="center"/>
                    <w:rPr>
                      <w:rFonts w:hint="default"/>
                      <w:color w:val="auto"/>
                      <w:szCs w:val="21"/>
                      <w:lang w:val="en-US" w:eastAsia="zh-CN"/>
                    </w:rPr>
                  </w:pPr>
                  <w:r>
                    <w:rPr>
                      <w:rFonts w:hint="eastAsia"/>
                      <w:color w:val="auto"/>
                      <w:szCs w:val="21"/>
                      <w:lang w:val="en-US" w:eastAsia="zh-CN"/>
                    </w:rPr>
                    <w:t>18</w:t>
                  </w:r>
                </w:p>
              </w:tc>
              <w:tc>
                <w:tcPr>
                  <w:tcW w:w="1585" w:type="dxa"/>
                  <w:noWrap w:val="0"/>
                  <w:vAlign w:val="center"/>
                </w:tcPr>
                <w:p w14:paraId="25B70A27">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氟化锌</w:t>
                  </w:r>
                </w:p>
              </w:tc>
              <w:tc>
                <w:tcPr>
                  <w:tcW w:w="615" w:type="dxa"/>
                  <w:noWrap w:val="0"/>
                  <w:vAlign w:val="center"/>
                </w:tcPr>
                <w:p w14:paraId="3EEEF09F">
                  <w:pPr>
                    <w:spacing w:line="240" w:lineRule="auto"/>
                    <w:jc w:val="center"/>
                    <w:rPr>
                      <w:rFonts w:hint="default"/>
                      <w:color w:val="auto"/>
                      <w:szCs w:val="21"/>
                      <w:lang w:val="en-US" w:eastAsia="zh-CN"/>
                    </w:rPr>
                  </w:pPr>
                  <w:r>
                    <w:rPr>
                      <w:rFonts w:hint="eastAsia"/>
                      <w:color w:val="auto"/>
                      <w:szCs w:val="21"/>
                      <w:lang w:val="en-US" w:eastAsia="zh-CN"/>
                    </w:rPr>
                    <w:t>固</w:t>
                  </w:r>
                </w:p>
              </w:tc>
              <w:tc>
                <w:tcPr>
                  <w:tcW w:w="780" w:type="dxa"/>
                  <w:noWrap w:val="0"/>
                  <w:vAlign w:val="center"/>
                </w:tcPr>
                <w:p w14:paraId="4F620153">
                  <w:pPr>
                    <w:spacing w:line="240" w:lineRule="auto"/>
                    <w:jc w:val="center"/>
                    <w:rPr>
                      <w:rFonts w:hint="eastAsia"/>
                      <w:color w:val="auto"/>
                      <w:szCs w:val="21"/>
                      <w:lang w:val="en-US" w:eastAsia="zh-CN"/>
                    </w:rPr>
                  </w:pPr>
                  <w:r>
                    <w:rPr>
                      <w:rFonts w:hint="eastAsia"/>
                      <w:color w:val="auto"/>
                      <w:szCs w:val="21"/>
                      <w:lang w:val="en-US" w:eastAsia="zh-CN"/>
                    </w:rPr>
                    <w:t>1000</w:t>
                  </w:r>
                </w:p>
              </w:tc>
              <w:tc>
                <w:tcPr>
                  <w:tcW w:w="825" w:type="dxa"/>
                  <w:noWrap w:val="0"/>
                  <w:vAlign w:val="center"/>
                </w:tcPr>
                <w:p w14:paraId="4E0E0009">
                  <w:pPr>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3ED28A12">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11AFAE97">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AB7BB43">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20E0ABA1">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7FF666C">
                  <w:pPr>
                    <w:tabs>
                      <w:tab w:val="left" w:pos="3225"/>
                    </w:tabs>
                    <w:spacing w:line="240" w:lineRule="exact"/>
                    <w:jc w:val="center"/>
                    <w:rPr>
                      <w:rFonts w:hint="eastAsia"/>
                      <w:color w:val="0000FF"/>
                      <w:szCs w:val="21"/>
                      <w:lang w:eastAsia="zh-CN"/>
                    </w:rPr>
                  </w:pPr>
                </w:p>
              </w:tc>
            </w:tr>
            <w:tr w14:paraId="7E6B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D5048DA">
                  <w:pPr>
                    <w:tabs>
                      <w:tab w:val="left" w:pos="3225"/>
                    </w:tabs>
                    <w:spacing w:line="240" w:lineRule="exact"/>
                    <w:jc w:val="center"/>
                    <w:rPr>
                      <w:rFonts w:hint="default"/>
                      <w:color w:val="auto"/>
                      <w:szCs w:val="21"/>
                      <w:lang w:val="en-US" w:eastAsia="zh-CN"/>
                    </w:rPr>
                  </w:pPr>
                  <w:r>
                    <w:rPr>
                      <w:rFonts w:hint="eastAsia"/>
                      <w:color w:val="auto"/>
                      <w:szCs w:val="21"/>
                      <w:lang w:val="en-US" w:eastAsia="zh-CN"/>
                    </w:rPr>
                    <w:t>19</w:t>
                  </w:r>
                </w:p>
              </w:tc>
              <w:tc>
                <w:tcPr>
                  <w:tcW w:w="1585" w:type="dxa"/>
                  <w:noWrap w:val="0"/>
                  <w:vAlign w:val="center"/>
                </w:tcPr>
                <w:p w14:paraId="223C8515">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氟硅酸锌</w:t>
                  </w:r>
                </w:p>
              </w:tc>
              <w:tc>
                <w:tcPr>
                  <w:tcW w:w="615" w:type="dxa"/>
                  <w:noWrap w:val="0"/>
                  <w:vAlign w:val="center"/>
                </w:tcPr>
                <w:p w14:paraId="46AEDA38">
                  <w:pPr>
                    <w:spacing w:line="240" w:lineRule="auto"/>
                    <w:jc w:val="center"/>
                    <w:rPr>
                      <w:rFonts w:hint="default"/>
                      <w:color w:val="auto"/>
                      <w:szCs w:val="21"/>
                      <w:lang w:val="en-US" w:eastAsia="zh-CN"/>
                    </w:rPr>
                  </w:pPr>
                  <w:r>
                    <w:rPr>
                      <w:rFonts w:hint="eastAsia"/>
                      <w:color w:val="auto"/>
                      <w:szCs w:val="21"/>
                      <w:lang w:val="en-US" w:eastAsia="zh-CN"/>
                    </w:rPr>
                    <w:t>固</w:t>
                  </w:r>
                </w:p>
              </w:tc>
              <w:tc>
                <w:tcPr>
                  <w:tcW w:w="780" w:type="dxa"/>
                  <w:noWrap w:val="0"/>
                  <w:vAlign w:val="center"/>
                </w:tcPr>
                <w:p w14:paraId="18960D98">
                  <w:pPr>
                    <w:spacing w:line="240" w:lineRule="auto"/>
                    <w:jc w:val="center"/>
                    <w:rPr>
                      <w:rFonts w:hint="eastAsia"/>
                      <w:color w:val="auto"/>
                      <w:szCs w:val="21"/>
                      <w:lang w:val="en-US" w:eastAsia="zh-CN"/>
                    </w:rPr>
                  </w:pPr>
                  <w:r>
                    <w:rPr>
                      <w:rFonts w:hint="eastAsia"/>
                      <w:color w:val="auto"/>
                      <w:szCs w:val="21"/>
                      <w:lang w:val="en-US" w:eastAsia="zh-CN"/>
                    </w:rPr>
                    <w:t>1000</w:t>
                  </w:r>
                </w:p>
              </w:tc>
              <w:tc>
                <w:tcPr>
                  <w:tcW w:w="825" w:type="dxa"/>
                  <w:noWrap w:val="0"/>
                  <w:vAlign w:val="center"/>
                </w:tcPr>
                <w:p w14:paraId="25A4D999">
                  <w:pPr>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0DE15AD2">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2E27C5B0">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8F188A6">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12BCFF6C">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76CA4BB">
                  <w:pPr>
                    <w:tabs>
                      <w:tab w:val="left" w:pos="3225"/>
                    </w:tabs>
                    <w:spacing w:line="240" w:lineRule="exact"/>
                    <w:jc w:val="center"/>
                    <w:rPr>
                      <w:rFonts w:hint="eastAsia"/>
                      <w:color w:val="0000FF"/>
                      <w:szCs w:val="21"/>
                      <w:lang w:eastAsia="zh-CN"/>
                    </w:rPr>
                  </w:pPr>
                </w:p>
              </w:tc>
            </w:tr>
            <w:tr w14:paraId="5776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D8F5448">
                  <w:pPr>
                    <w:tabs>
                      <w:tab w:val="left" w:pos="3225"/>
                    </w:tabs>
                    <w:spacing w:line="240" w:lineRule="exact"/>
                    <w:jc w:val="center"/>
                    <w:rPr>
                      <w:rFonts w:hint="default"/>
                      <w:color w:val="auto"/>
                      <w:szCs w:val="21"/>
                      <w:lang w:val="en-US" w:eastAsia="zh-CN"/>
                    </w:rPr>
                  </w:pPr>
                  <w:r>
                    <w:rPr>
                      <w:rFonts w:hint="eastAsia"/>
                      <w:color w:val="auto"/>
                      <w:szCs w:val="21"/>
                      <w:lang w:val="en-US" w:eastAsia="zh-CN"/>
                    </w:rPr>
                    <w:t>20</w:t>
                  </w:r>
                </w:p>
              </w:tc>
              <w:tc>
                <w:tcPr>
                  <w:tcW w:w="1585" w:type="dxa"/>
                  <w:noWrap w:val="0"/>
                  <w:vAlign w:val="center"/>
                </w:tcPr>
                <w:p w14:paraId="532E350F">
                  <w:pPr>
                    <w:tabs>
                      <w:tab w:val="left" w:pos="3225"/>
                    </w:tabs>
                    <w:spacing w:line="240" w:lineRule="auto"/>
                    <w:jc w:val="center"/>
                    <w:rPr>
                      <w:rFonts w:hint="default"/>
                      <w:color w:val="auto"/>
                      <w:szCs w:val="21"/>
                      <w:lang w:val="en-US" w:eastAsia="zh-CN"/>
                    </w:rPr>
                  </w:pPr>
                  <w:r>
                    <w:rPr>
                      <w:rFonts w:hint="eastAsia"/>
                      <w:color w:val="auto"/>
                      <w:szCs w:val="21"/>
                      <w:lang w:val="en-US" w:eastAsia="zh-CN"/>
                    </w:rPr>
                    <w:t>二水氯化钡</w:t>
                  </w:r>
                </w:p>
              </w:tc>
              <w:tc>
                <w:tcPr>
                  <w:tcW w:w="615" w:type="dxa"/>
                  <w:noWrap w:val="0"/>
                  <w:vAlign w:val="center"/>
                </w:tcPr>
                <w:p w14:paraId="581DFA93">
                  <w:pPr>
                    <w:spacing w:line="240" w:lineRule="auto"/>
                    <w:jc w:val="center"/>
                    <w:rPr>
                      <w:rFonts w:hint="default"/>
                      <w:color w:val="auto"/>
                      <w:szCs w:val="21"/>
                      <w:lang w:val="en-US" w:eastAsia="zh-CN"/>
                    </w:rPr>
                  </w:pPr>
                  <w:r>
                    <w:rPr>
                      <w:rFonts w:hint="eastAsia"/>
                      <w:color w:val="auto"/>
                      <w:szCs w:val="21"/>
                      <w:lang w:val="en-US" w:eastAsia="zh-CN"/>
                    </w:rPr>
                    <w:t>液</w:t>
                  </w:r>
                </w:p>
              </w:tc>
              <w:tc>
                <w:tcPr>
                  <w:tcW w:w="780" w:type="dxa"/>
                  <w:noWrap w:val="0"/>
                  <w:vAlign w:val="center"/>
                </w:tcPr>
                <w:p w14:paraId="5169CF59">
                  <w:pPr>
                    <w:spacing w:line="240" w:lineRule="auto"/>
                    <w:jc w:val="center"/>
                    <w:rPr>
                      <w:rFonts w:hint="eastAsia"/>
                      <w:color w:val="auto"/>
                      <w:szCs w:val="21"/>
                      <w:lang w:val="en-US" w:eastAsia="zh-CN"/>
                    </w:rPr>
                  </w:pPr>
                  <w:r>
                    <w:rPr>
                      <w:rFonts w:hint="eastAsia"/>
                      <w:color w:val="auto"/>
                      <w:szCs w:val="21"/>
                      <w:lang w:val="en-US" w:eastAsia="zh-CN"/>
                    </w:rPr>
                    <w:t>1000</w:t>
                  </w:r>
                </w:p>
              </w:tc>
              <w:tc>
                <w:tcPr>
                  <w:tcW w:w="825" w:type="dxa"/>
                  <w:noWrap w:val="0"/>
                  <w:vAlign w:val="center"/>
                </w:tcPr>
                <w:p w14:paraId="03C60C04">
                  <w:pPr>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48ADD916">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472DBA3D">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1DC75D89">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51A3B969">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5BF493C">
                  <w:pPr>
                    <w:tabs>
                      <w:tab w:val="left" w:pos="3225"/>
                    </w:tabs>
                    <w:spacing w:line="240" w:lineRule="exact"/>
                    <w:jc w:val="center"/>
                    <w:rPr>
                      <w:rFonts w:hint="eastAsia"/>
                      <w:color w:val="0000FF"/>
                      <w:szCs w:val="21"/>
                      <w:lang w:eastAsia="zh-CN"/>
                    </w:rPr>
                  </w:pPr>
                </w:p>
              </w:tc>
            </w:tr>
            <w:tr w14:paraId="38D0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64C8975">
                  <w:pPr>
                    <w:tabs>
                      <w:tab w:val="left" w:pos="3225"/>
                    </w:tabs>
                    <w:spacing w:line="240" w:lineRule="exact"/>
                    <w:jc w:val="center"/>
                    <w:rPr>
                      <w:rFonts w:hint="default"/>
                      <w:color w:val="auto"/>
                      <w:szCs w:val="21"/>
                      <w:lang w:val="en-US" w:eastAsia="zh-CN"/>
                    </w:rPr>
                  </w:pPr>
                  <w:r>
                    <w:rPr>
                      <w:rFonts w:hint="eastAsia"/>
                      <w:color w:val="auto"/>
                      <w:szCs w:val="21"/>
                      <w:lang w:val="en-US" w:eastAsia="zh-CN"/>
                    </w:rPr>
                    <w:t>21</w:t>
                  </w:r>
                </w:p>
              </w:tc>
              <w:tc>
                <w:tcPr>
                  <w:tcW w:w="1585" w:type="dxa"/>
                  <w:noWrap w:val="0"/>
                  <w:vAlign w:val="center"/>
                </w:tcPr>
                <w:p w14:paraId="15998B5F">
                  <w:pPr>
                    <w:tabs>
                      <w:tab w:val="left" w:pos="3225"/>
                    </w:tabs>
                    <w:spacing w:line="240" w:lineRule="auto"/>
                    <w:jc w:val="center"/>
                    <w:rPr>
                      <w:rFonts w:hint="eastAsia"/>
                      <w:color w:val="auto"/>
                      <w:szCs w:val="21"/>
                      <w:lang w:val="en-US" w:eastAsia="zh-CN"/>
                    </w:rPr>
                  </w:pPr>
                  <w:r>
                    <w:rPr>
                      <w:rFonts w:hint="eastAsia"/>
                      <w:color w:val="auto"/>
                      <w:szCs w:val="21"/>
                      <w:lang w:val="en-US" w:eastAsia="zh-CN"/>
                    </w:rPr>
                    <w:t>石棉[含：阳起石石棉、铁石棉、透闪石石棉、直闪石石棉、青石棉]</w:t>
                  </w:r>
                </w:p>
              </w:tc>
              <w:tc>
                <w:tcPr>
                  <w:tcW w:w="615" w:type="dxa"/>
                  <w:noWrap w:val="0"/>
                  <w:vAlign w:val="center"/>
                </w:tcPr>
                <w:p w14:paraId="0D2061C7">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688B13A5">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70B1A0EC">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13EAE1FF">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416930D2">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15989AC9">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6E722F55">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3E2C2CE">
                  <w:pPr>
                    <w:tabs>
                      <w:tab w:val="left" w:pos="3225"/>
                    </w:tabs>
                    <w:spacing w:line="240" w:lineRule="exact"/>
                    <w:jc w:val="center"/>
                    <w:rPr>
                      <w:rFonts w:hint="eastAsia"/>
                      <w:color w:val="0000FF"/>
                      <w:szCs w:val="21"/>
                      <w:lang w:eastAsia="zh-CN"/>
                    </w:rPr>
                  </w:pPr>
                </w:p>
              </w:tc>
            </w:tr>
            <w:tr w14:paraId="0F6F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B0EA58C">
                  <w:pPr>
                    <w:tabs>
                      <w:tab w:val="left" w:pos="3225"/>
                    </w:tabs>
                    <w:spacing w:line="240" w:lineRule="exact"/>
                    <w:jc w:val="center"/>
                    <w:rPr>
                      <w:rFonts w:hint="default"/>
                      <w:color w:val="auto"/>
                      <w:szCs w:val="21"/>
                      <w:lang w:val="en-US" w:eastAsia="zh-CN"/>
                    </w:rPr>
                  </w:pPr>
                  <w:r>
                    <w:rPr>
                      <w:rFonts w:hint="eastAsia"/>
                      <w:color w:val="auto"/>
                      <w:szCs w:val="21"/>
                      <w:lang w:val="en-US" w:eastAsia="zh-CN"/>
                    </w:rPr>
                    <w:t>22</w:t>
                  </w:r>
                </w:p>
              </w:tc>
              <w:tc>
                <w:tcPr>
                  <w:tcW w:w="1585" w:type="dxa"/>
                  <w:noWrap w:val="0"/>
                  <w:vAlign w:val="center"/>
                </w:tcPr>
                <w:p w14:paraId="41745EDB">
                  <w:pPr>
                    <w:tabs>
                      <w:tab w:val="left" w:pos="3225"/>
                    </w:tabs>
                    <w:spacing w:line="240" w:lineRule="auto"/>
                    <w:jc w:val="center"/>
                    <w:rPr>
                      <w:rFonts w:hint="default"/>
                      <w:color w:val="auto"/>
                      <w:szCs w:val="21"/>
                      <w:lang w:val="en-US" w:eastAsia="zh-CN"/>
                    </w:rPr>
                  </w:pPr>
                  <w:r>
                    <w:rPr>
                      <w:rFonts w:hint="eastAsia"/>
                      <w:color w:val="auto"/>
                      <w:szCs w:val="21"/>
                      <w:lang w:val="en-US" w:eastAsia="zh-CN"/>
                    </w:rPr>
                    <w:t>氢氧化钾</w:t>
                  </w:r>
                </w:p>
              </w:tc>
              <w:tc>
                <w:tcPr>
                  <w:tcW w:w="615" w:type="dxa"/>
                  <w:noWrap w:val="0"/>
                  <w:vAlign w:val="center"/>
                </w:tcPr>
                <w:p w14:paraId="10C02A00">
                  <w:pPr>
                    <w:spacing w:line="240" w:lineRule="auto"/>
                    <w:jc w:val="center"/>
                    <w:rPr>
                      <w:rFonts w:hint="eastAsia"/>
                      <w:color w:val="auto"/>
                      <w:szCs w:val="21"/>
                      <w:lang w:eastAsia="zh-CN"/>
                    </w:rPr>
                  </w:pPr>
                  <w:r>
                    <w:rPr>
                      <w:rFonts w:hint="eastAsia"/>
                      <w:color w:val="auto"/>
                      <w:szCs w:val="21"/>
                      <w:lang w:val="en-US" w:eastAsia="zh-CN"/>
                    </w:rPr>
                    <w:t>固</w:t>
                  </w:r>
                </w:p>
              </w:tc>
              <w:tc>
                <w:tcPr>
                  <w:tcW w:w="780" w:type="dxa"/>
                  <w:noWrap w:val="0"/>
                  <w:vAlign w:val="center"/>
                </w:tcPr>
                <w:p w14:paraId="0AD953AC">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724ACCB1">
                  <w:pPr>
                    <w:tabs>
                      <w:tab w:val="left" w:pos="3225"/>
                    </w:tabs>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2528D994">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4708D861">
                  <w:pPr>
                    <w:spacing w:line="240" w:lineRule="auto"/>
                    <w:jc w:val="center"/>
                    <w:rPr>
                      <w:rFonts w:hint="eastAsia"/>
                      <w:color w:val="auto"/>
                      <w:szCs w:val="21"/>
                      <w:u w:val="single"/>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544C54FB">
                  <w:pPr>
                    <w:tabs>
                      <w:tab w:val="left" w:pos="3225"/>
                    </w:tabs>
                    <w:spacing w:line="240" w:lineRule="exact"/>
                    <w:jc w:val="center"/>
                    <w:rPr>
                      <w:rFonts w:hint="eastAsia"/>
                      <w:color w:val="0000FF"/>
                      <w:szCs w:val="21"/>
                      <w:lang w:val="en-US" w:eastAsia="zh-CN"/>
                    </w:rPr>
                  </w:pPr>
                  <w:r>
                    <w:rPr>
                      <w:rFonts w:hint="eastAsia"/>
                      <w:color w:val="auto"/>
                      <w:szCs w:val="21"/>
                      <w:u w:val="none"/>
                      <w:lang w:val="en-US" w:eastAsia="zh-CN"/>
                    </w:rPr>
                    <w:t>2号仓库危险化学品隔间B（B1碱储间）</w:t>
                  </w:r>
                </w:p>
              </w:tc>
              <w:tc>
                <w:tcPr>
                  <w:tcW w:w="540" w:type="dxa"/>
                  <w:vMerge w:val="continue"/>
                  <w:noWrap w:val="0"/>
                  <w:vAlign w:val="center"/>
                </w:tcPr>
                <w:p w14:paraId="7F5BF9FF">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2826F39">
                  <w:pPr>
                    <w:tabs>
                      <w:tab w:val="left" w:pos="3225"/>
                    </w:tabs>
                    <w:spacing w:line="240" w:lineRule="exact"/>
                    <w:jc w:val="center"/>
                    <w:rPr>
                      <w:rFonts w:hint="eastAsia"/>
                      <w:color w:val="0000FF"/>
                      <w:szCs w:val="21"/>
                      <w:lang w:eastAsia="zh-CN"/>
                    </w:rPr>
                  </w:pPr>
                </w:p>
              </w:tc>
            </w:tr>
            <w:tr w14:paraId="5FD2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002C056">
                  <w:pPr>
                    <w:tabs>
                      <w:tab w:val="left" w:pos="3225"/>
                    </w:tabs>
                    <w:spacing w:line="240" w:lineRule="exact"/>
                    <w:jc w:val="center"/>
                    <w:rPr>
                      <w:rFonts w:hint="default"/>
                      <w:color w:val="auto"/>
                      <w:szCs w:val="21"/>
                      <w:lang w:val="en-US" w:eastAsia="zh-CN"/>
                    </w:rPr>
                  </w:pPr>
                  <w:r>
                    <w:rPr>
                      <w:rFonts w:hint="eastAsia"/>
                      <w:color w:val="auto"/>
                      <w:szCs w:val="21"/>
                      <w:lang w:val="en-US" w:eastAsia="zh-CN"/>
                    </w:rPr>
                    <w:t>23</w:t>
                  </w:r>
                </w:p>
              </w:tc>
              <w:tc>
                <w:tcPr>
                  <w:tcW w:w="1585" w:type="dxa"/>
                  <w:noWrap w:val="0"/>
                  <w:vAlign w:val="center"/>
                </w:tcPr>
                <w:p w14:paraId="4BDB0ABB">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氢氧化钾溶液[含量≥30%]</w:t>
                  </w:r>
                </w:p>
              </w:tc>
              <w:tc>
                <w:tcPr>
                  <w:tcW w:w="615" w:type="dxa"/>
                  <w:noWrap w:val="0"/>
                  <w:vAlign w:val="center"/>
                </w:tcPr>
                <w:p w14:paraId="1CC39AAB">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71C8E77F">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46442481">
                  <w:pPr>
                    <w:spacing w:line="240" w:lineRule="auto"/>
                    <w:jc w:val="center"/>
                    <w:rPr>
                      <w:rFonts w:hint="eastAsia"/>
                      <w:color w:val="auto"/>
                      <w:szCs w:val="21"/>
                      <w:lang w:val="en-US" w:eastAsia="zh-CN"/>
                    </w:rPr>
                  </w:pPr>
                  <w:r>
                    <w:rPr>
                      <w:rFonts w:hint="eastAsia"/>
                      <w:color w:val="auto"/>
                      <w:szCs w:val="21"/>
                      <w:lang w:val="en-US" w:eastAsia="zh-CN"/>
                    </w:rPr>
                    <w:t>150</w:t>
                  </w:r>
                </w:p>
              </w:tc>
              <w:tc>
                <w:tcPr>
                  <w:tcW w:w="945" w:type="dxa"/>
                  <w:noWrap w:val="0"/>
                  <w:vAlign w:val="center"/>
                </w:tcPr>
                <w:p w14:paraId="73A18AAE">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407A62EB">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6607E18">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33186027">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1B9269B">
                  <w:pPr>
                    <w:tabs>
                      <w:tab w:val="left" w:pos="3225"/>
                    </w:tabs>
                    <w:spacing w:line="240" w:lineRule="exact"/>
                    <w:jc w:val="center"/>
                    <w:rPr>
                      <w:rFonts w:hint="eastAsia"/>
                      <w:color w:val="0000FF"/>
                      <w:szCs w:val="21"/>
                      <w:lang w:eastAsia="zh-CN"/>
                    </w:rPr>
                  </w:pPr>
                </w:p>
              </w:tc>
            </w:tr>
            <w:tr w14:paraId="0BEA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B1A2A69">
                  <w:pPr>
                    <w:tabs>
                      <w:tab w:val="left" w:pos="3225"/>
                    </w:tabs>
                    <w:spacing w:line="240" w:lineRule="exact"/>
                    <w:jc w:val="center"/>
                    <w:rPr>
                      <w:rFonts w:hint="default"/>
                      <w:color w:val="auto"/>
                      <w:szCs w:val="21"/>
                      <w:lang w:val="en-US" w:eastAsia="zh-CN"/>
                    </w:rPr>
                  </w:pPr>
                  <w:r>
                    <w:rPr>
                      <w:rFonts w:hint="eastAsia"/>
                      <w:color w:val="auto"/>
                      <w:szCs w:val="21"/>
                      <w:lang w:val="en-US" w:eastAsia="zh-CN"/>
                    </w:rPr>
                    <w:t>24</w:t>
                  </w:r>
                </w:p>
              </w:tc>
              <w:tc>
                <w:tcPr>
                  <w:tcW w:w="1585" w:type="dxa"/>
                  <w:noWrap w:val="0"/>
                  <w:vAlign w:val="center"/>
                </w:tcPr>
                <w:p w14:paraId="1CF4006A">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氢氧化锂</w:t>
                  </w:r>
                </w:p>
              </w:tc>
              <w:tc>
                <w:tcPr>
                  <w:tcW w:w="615" w:type="dxa"/>
                  <w:noWrap w:val="0"/>
                  <w:vAlign w:val="center"/>
                </w:tcPr>
                <w:p w14:paraId="5AEFAAEB">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3AA0D1A0">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5D723DDC">
                  <w:pPr>
                    <w:spacing w:line="240" w:lineRule="auto"/>
                    <w:jc w:val="center"/>
                    <w:rPr>
                      <w:rFonts w:hint="eastAsia"/>
                      <w:color w:val="auto"/>
                      <w:szCs w:val="21"/>
                      <w:lang w:val="en-US" w:eastAsia="zh-CN"/>
                    </w:rPr>
                  </w:pPr>
                  <w:r>
                    <w:rPr>
                      <w:rFonts w:hint="eastAsia"/>
                      <w:color w:val="auto"/>
                      <w:szCs w:val="21"/>
                      <w:lang w:val="en-US" w:eastAsia="zh-CN"/>
                    </w:rPr>
                    <w:t>150</w:t>
                  </w:r>
                </w:p>
              </w:tc>
              <w:tc>
                <w:tcPr>
                  <w:tcW w:w="945" w:type="dxa"/>
                  <w:noWrap w:val="0"/>
                  <w:vAlign w:val="center"/>
                </w:tcPr>
                <w:p w14:paraId="67F7246E">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3B57A742">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F076DBF">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4366F8C7">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43F630BF">
                  <w:pPr>
                    <w:tabs>
                      <w:tab w:val="left" w:pos="3225"/>
                    </w:tabs>
                    <w:spacing w:line="240" w:lineRule="exact"/>
                    <w:jc w:val="center"/>
                    <w:rPr>
                      <w:rFonts w:hint="eastAsia"/>
                      <w:color w:val="0000FF"/>
                      <w:szCs w:val="21"/>
                      <w:lang w:eastAsia="zh-CN"/>
                    </w:rPr>
                  </w:pPr>
                </w:p>
              </w:tc>
            </w:tr>
            <w:tr w14:paraId="6F06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C2CEA6F">
                  <w:pPr>
                    <w:tabs>
                      <w:tab w:val="left" w:pos="3225"/>
                    </w:tabs>
                    <w:spacing w:line="240" w:lineRule="exact"/>
                    <w:jc w:val="center"/>
                    <w:rPr>
                      <w:rFonts w:hint="default"/>
                      <w:color w:val="auto"/>
                      <w:szCs w:val="21"/>
                      <w:lang w:val="en-US" w:eastAsia="zh-CN"/>
                    </w:rPr>
                  </w:pPr>
                  <w:r>
                    <w:rPr>
                      <w:rFonts w:hint="eastAsia"/>
                      <w:color w:val="auto"/>
                      <w:szCs w:val="21"/>
                      <w:lang w:val="en-US" w:eastAsia="zh-CN"/>
                    </w:rPr>
                    <w:t>25</w:t>
                  </w:r>
                </w:p>
              </w:tc>
              <w:tc>
                <w:tcPr>
                  <w:tcW w:w="1585" w:type="dxa"/>
                  <w:noWrap w:val="0"/>
                  <w:vAlign w:val="center"/>
                </w:tcPr>
                <w:p w14:paraId="2902F38F">
                  <w:pPr>
                    <w:tabs>
                      <w:tab w:val="left" w:pos="3225"/>
                    </w:tabs>
                    <w:spacing w:line="240" w:lineRule="auto"/>
                    <w:jc w:val="center"/>
                    <w:rPr>
                      <w:rFonts w:hint="default"/>
                      <w:color w:val="auto"/>
                      <w:szCs w:val="21"/>
                      <w:lang w:val="en-US" w:eastAsia="zh-CN"/>
                    </w:rPr>
                  </w:pPr>
                  <w:r>
                    <w:rPr>
                      <w:rFonts w:hint="eastAsia"/>
                      <w:color w:val="auto"/>
                      <w:szCs w:val="21"/>
                      <w:lang w:val="en-US" w:eastAsia="zh-CN"/>
                    </w:rPr>
                    <w:t>氢氧化锂溶液</w:t>
                  </w:r>
                </w:p>
              </w:tc>
              <w:tc>
                <w:tcPr>
                  <w:tcW w:w="615" w:type="dxa"/>
                  <w:noWrap w:val="0"/>
                  <w:vAlign w:val="center"/>
                </w:tcPr>
                <w:p w14:paraId="335756B6">
                  <w:pPr>
                    <w:spacing w:line="240" w:lineRule="auto"/>
                    <w:jc w:val="center"/>
                    <w:rPr>
                      <w:rFonts w:hint="eastAsia"/>
                      <w:color w:val="auto"/>
                      <w:szCs w:val="21"/>
                      <w:lang w:eastAsia="zh-CN"/>
                    </w:rPr>
                  </w:pPr>
                  <w:r>
                    <w:rPr>
                      <w:rFonts w:hint="eastAsia"/>
                      <w:color w:val="auto"/>
                      <w:szCs w:val="21"/>
                      <w:lang w:val="en-US" w:eastAsia="zh-CN"/>
                    </w:rPr>
                    <w:t>液</w:t>
                  </w:r>
                </w:p>
              </w:tc>
              <w:tc>
                <w:tcPr>
                  <w:tcW w:w="780" w:type="dxa"/>
                  <w:noWrap w:val="0"/>
                  <w:vAlign w:val="center"/>
                </w:tcPr>
                <w:p w14:paraId="03CE3235">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5E355A70">
                  <w:pPr>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54CB6171">
                  <w:pPr>
                    <w:spacing w:line="240" w:lineRule="auto"/>
                    <w:jc w:val="center"/>
                    <w:rPr>
                      <w:rFonts w:hint="default"/>
                      <w:color w:val="auto"/>
                      <w:szCs w:val="21"/>
                      <w:lang w:val="en-US" w:eastAsia="zh-CN"/>
                    </w:rPr>
                  </w:pPr>
                  <w:r>
                    <w:rPr>
                      <w:rFonts w:hint="eastAsia"/>
                      <w:color w:val="auto"/>
                      <w:szCs w:val="21"/>
                      <w:lang w:val="en-US" w:eastAsia="zh-CN"/>
                    </w:rPr>
                    <w:t>桶装</w:t>
                  </w:r>
                </w:p>
              </w:tc>
              <w:tc>
                <w:tcPr>
                  <w:tcW w:w="930" w:type="dxa"/>
                  <w:noWrap w:val="0"/>
                  <w:vAlign w:val="center"/>
                </w:tcPr>
                <w:p w14:paraId="2625584F">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25B92D05">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3C06F8AF">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AD8B975">
                  <w:pPr>
                    <w:tabs>
                      <w:tab w:val="left" w:pos="3225"/>
                    </w:tabs>
                    <w:spacing w:line="240" w:lineRule="exact"/>
                    <w:jc w:val="center"/>
                    <w:rPr>
                      <w:rFonts w:hint="eastAsia"/>
                      <w:color w:val="0000FF"/>
                      <w:szCs w:val="21"/>
                      <w:lang w:eastAsia="zh-CN"/>
                    </w:rPr>
                  </w:pPr>
                </w:p>
              </w:tc>
            </w:tr>
            <w:tr w14:paraId="4524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04B3DE0">
                  <w:pPr>
                    <w:tabs>
                      <w:tab w:val="left" w:pos="3225"/>
                    </w:tabs>
                    <w:spacing w:line="240" w:lineRule="exact"/>
                    <w:jc w:val="center"/>
                    <w:rPr>
                      <w:rFonts w:hint="default"/>
                      <w:color w:val="auto"/>
                      <w:szCs w:val="21"/>
                      <w:lang w:val="en-US" w:eastAsia="zh-CN"/>
                    </w:rPr>
                  </w:pPr>
                  <w:r>
                    <w:rPr>
                      <w:rFonts w:hint="eastAsia"/>
                      <w:color w:val="auto"/>
                      <w:szCs w:val="21"/>
                      <w:lang w:val="en-US" w:eastAsia="zh-CN"/>
                    </w:rPr>
                    <w:t>26</w:t>
                  </w:r>
                </w:p>
              </w:tc>
              <w:tc>
                <w:tcPr>
                  <w:tcW w:w="1585" w:type="dxa"/>
                  <w:noWrap w:val="0"/>
                  <w:vAlign w:val="center"/>
                </w:tcPr>
                <w:p w14:paraId="6A17A2CA">
                  <w:pPr>
                    <w:tabs>
                      <w:tab w:val="left" w:pos="3225"/>
                    </w:tabs>
                    <w:spacing w:line="240" w:lineRule="auto"/>
                    <w:jc w:val="center"/>
                    <w:rPr>
                      <w:rFonts w:hint="default"/>
                      <w:color w:val="auto"/>
                      <w:szCs w:val="21"/>
                      <w:lang w:val="en-US" w:eastAsia="zh-CN"/>
                    </w:rPr>
                  </w:pPr>
                  <w:r>
                    <w:rPr>
                      <w:rFonts w:hint="eastAsia"/>
                      <w:color w:val="auto"/>
                      <w:szCs w:val="21"/>
                      <w:lang w:val="en-US" w:eastAsia="zh-CN"/>
                    </w:rPr>
                    <w:t>氢氧化钠</w:t>
                  </w:r>
                </w:p>
              </w:tc>
              <w:tc>
                <w:tcPr>
                  <w:tcW w:w="615" w:type="dxa"/>
                  <w:noWrap w:val="0"/>
                  <w:vAlign w:val="center"/>
                </w:tcPr>
                <w:p w14:paraId="1F950B09">
                  <w:pPr>
                    <w:spacing w:line="240" w:lineRule="auto"/>
                    <w:jc w:val="center"/>
                    <w:rPr>
                      <w:rFonts w:hint="eastAsia"/>
                      <w:color w:val="auto"/>
                      <w:szCs w:val="21"/>
                      <w:lang w:eastAsia="zh-CN"/>
                    </w:rPr>
                  </w:pPr>
                  <w:r>
                    <w:rPr>
                      <w:rFonts w:hint="eastAsia"/>
                      <w:color w:val="auto"/>
                      <w:szCs w:val="21"/>
                      <w:lang w:val="en-US" w:eastAsia="zh-CN"/>
                    </w:rPr>
                    <w:t>固</w:t>
                  </w:r>
                </w:p>
              </w:tc>
              <w:tc>
                <w:tcPr>
                  <w:tcW w:w="780" w:type="dxa"/>
                  <w:noWrap w:val="0"/>
                  <w:vAlign w:val="center"/>
                </w:tcPr>
                <w:p w14:paraId="03E7307D">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0C1FE8A4">
                  <w:pPr>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535B79B1">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72372E5B">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1BDD0A99">
                  <w:pPr>
                    <w:tabs>
                      <w:tab w:val="left" w:pos="3225"/>
                    </w:tabs>
                    <w:spacing w:line="240" w:lineRule="exact"/>
                    <w:jc w:val="center"/>
                    <w:rPr>
                      <w:rFonts w:hint="eastAsia"/>
                      <w:color w:val="0000FF"/>
                      <w:szCs w:val="21"/>
                      <w:lang w:val="en-US" w:eastAsia="zh-CN"/>
                    </w:rPr>
                  </w:pPr>
                </w:p>
              </w:tc>
              <w:tc>
                <w:tcPr>
                  <w:tcW w:w="540" w:type="dxa"/>
                  <w:vMerge w:val="continue"/>
                  <w:noWrap w:val="0"/>
                  <w:vAlign w:val="center"/>
                </w:tcPr>
                <w:p w14:paraId="01D6DC71">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CE01DA5">
                  <w:pPr>
                    <w:tabs>
                      <w:tab w:val="left" w:pos="3225"/>
                    </w:tabs>
                    <w:spacing w:line="240" w:lineRule="exact"/>
                    <w:jc w:val="center"/>
                    <w:rPr>
                      <w:rFonts w:hint="eastAsia"/>
                      <w:color w:val="0000FF"/>
                      <w:szCs w:val="21"/>
                      <w:lang w:eastAsia="zh-CN"/>
                    </w:rPr>
                  </w:pPr>
                </w:p>
              </w:tc>
            </w:tr>
            <w:tr w14:paraId="3C4A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FB43601">
                  <w:pPr>
                    <w:tabs>
                      <w:tab w:val="left" w:pos="3225"/>
                    </w:tabs>
                    <w:spacing w:line="240" w:lineRule="exact"/>
                    <w:jc w:val="center"/>
                    <w:rPr>
                      <w:rFonts w:hint="default"/>
                      <w:color w:val="auto"/>
                      <w:szCs w:val="21"/>
                      <w:lang w:val="en-US" w:eastAsia="zh-CN"/>
                    </w:rPr>
                  </w:pPr>
                  <w:r>
                    <w:rPr>
                      <w:rFonts w:hint="eastAsia"/>
                      <w:color w:val="auto"/>
                      <w:szCs w:val="21"/>
                      <w:lang w:val="en-US" w:eastAsia="zh-CN"/>
                    </w:rPr>
                    <w:t>27</w:t>
                  </w:r>
                </w:p>
              </w:tc>
              <w:tc>
                <w:tcPr>
                  <w:tcW w:w="1585" w:type="dxa"/>
                  <w:noWrap w:val="0"/>
                  <w:vAlign w:val="center"/>
                </w:tcPr>
                <w:p w14:paraId="438AEF4A">
                  <w:pPr>
                    <w:tabs>
                      <w:tab w:val="left" w:pos="3225"/>
                    </w:tabs>
                    <w:spacing w:line="240" w:lineRule="auto"/>
                    <w:jc w:val="center"/>
                    <w:rPr>
                      <w:rFonts w:hint="default"/>
                      <w:color w:val="auto"/>
                      <w:szCs w:val="21"/>
                      <w:lang w:val="en-US" w:eastAsia="zh-CN"/>
                    </w:rPr>
                  </w:pPr>
                  <w:r>
                    <w:rPr>
                      <w:rFonts w:hint="eastAsia"/>
                      <w:color w:val="auto"/>
                      <w:szCs w:val="21"/>
                      <w:lang w:val="en-US" w:eastAsia="zh-CN"/>
                    </w:rPr>
                    <w:t>氢氧化钠溶液[含量≥30%]</w:t>
                  </w:r>
                </w:p>
              </w:tc>
              <w:tc>
                <w:tcPr>
                  <w:tcW w:w="615" w:type="dxa"/>
                  <w:noWrap w:val="0"/>
                  <w:vAlign w:val="center"/>
                </w:tcPr>
                <w:p w14:paraId="1054DB1E">
                  <w:pPr>
                    <w:spacing w:line="240" w:lineRule="auto"/>
                    <w:jc w:val="center"/>
                    <w:rPr>
                      <w:rFonts w:hint="default"/>
                      <w:color w:val="auto"/>
                      <w:szCs w:val="21"/>
                      <w:lang w:val="en-US" w:eastAsia="zh-CN"/>
                    </w:rPr>
                  </w:pPr>
                  <w:r>
                    <w:rPr>
                      <w:rFonts w:hint="eastAsia"/>
                      <w:color w:val="auto"/>
                      <w:szCs w:val="21"/>
                      <w:lang w:val="en-US" w:eastAsia="zh-CN"/>
                    </w:rPr>
                    <w:t>液</w:t>
                  </w:r>
                </w:p>
              </w:tc>
              <w:tc>
                <w:tcPr>
                  <w:tcW w:w="780" w:type="dxa"/>
                  <w:noWrap w:val="0"/>
                  <w:vAlign w:val="center"/>
                </w:tcPr>
                <w:p w14:paraId="74EEE2C2">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315031F9">
                  <w:pPr>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1BF72396">
                  <w:pPr>
                    <w:spacing w:line="240" w:lineRule="auto"/>
                    <w:jc w:val="center"/>
                    <w:rPr>
                      <w:rFonts w:hint="default"/>
                      <w:color w:val="auto"/>
                      <w:szCs w:val="21"/>
                      <w:lang w:val="en-US" w:eastAsia="zh-CN"/>
                    </w:rPr>
                  </w:pPr>
                  <w:r>
                    <w:rPr>
                      <w:rFonts w:hint="eastAsia"/>
                      <w:color w:val="auto"/>
                      <w:szCs w:val="21"/>
                      <w:lang w:val="en-US" w:eastAsia="zh-CN"/>
                    </w:rPr>
                    <w:t>桶装</w:t>
                  </w:r>
                </w:p>
              </w:tc>
              <w:tc>
                <w:tcPr>
                  <w:tcW w:w="930" w:type="dxa"/>
                  <w:noWrap w:val="0"/>
                  <w:vAlign w:val="center"/>
                </w:tcPr>
                <w:p w14:paraId="5490070A">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6A6A56F9">
                  <w:pPr>
                    <w:tabs>
                      <w:tab w:val="left" w:pos="3225"/>
                    </w:tabs>
                    <w:spacing w:line="240" w:lineRule="exact"/>
                    <w:jc w:val="center"/>
                    <w:rPr>
                      <w:rFonts w:hint="default"/>
                      <w:color w:val="0000FF"/>
                      <w:szCs w:val="21"/>
                      <w:lang w:val="en-US" w:eastAsia="zh-CN"/>
                    </w:rPr>
                  </w:pPr>
                </w:p>
              </w:tc>
              <w:tc>
                <w:tcPr>
                  <w:tcW w:w="540" w:type="dxa"/>
                  <w:vMerge w:val="continue"/>
                  <w:noWrap w:val="0"/>
                  <w:vAlign w:val="center"/>
                </w:tcPr>
                <w:p w14:paraId="55C7B85E">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1409C5F0">
                  <w:pPr>
                    <w:tabs>
                      <w:tab w:val="left" w:pos="3225"/>
                    </w:tabs>
                    <w:spacing w:line="240" w:lineRule="exact"/>
                    <w:jc w:val="center"/>
                    <w:rPr>
                      <w:rFonts w:hint="default"/>
                      <w:color w:val="0000FF"/>
                      <w:szCs w:val="21"/>
                      <w:lang w:val="en-US" w:eastAsia="zh-CN"/>
                    </w:rPr>
                  </w:pPr>
                </w:p>
              </w:tc>
            </w:tr>
            <w:tr w14:paraId="06D8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685024F">
                  <w:pPr>
                    <w:tabs>
                      <w:tab w:val="left" w:pos="3225"/>
                    </w:tabs>
                    <w:spacing w:line="240" w:lineRule="exact"/>
                    <w:jc w:val="center"/>
                    <w:rPr>
                      <w:rFonts w:hint="default"/>
                      <w:color w:val="auto"/>
                      <w:szCs w:val="21"/>
                      <w:lang w:val="en-US" w:eastAsia="zh-CN"/>
                    </w:rPr>
                  </w:pPr>
                  <w:r>
                    <w:rPr>
                      <w:rFonts w:hint="eastAsia"/>
                      <w:color w:val="auto"/>
                      <w:szCs w:val="21"/>
                      <w:lang w:val="en-US" w:eastAsia="zh-CN"/>
                    </w:rPr>
                    <w:t>28</w:t>
                  </w:r>
                </w:p>
              </w:tc>
              <w:tc>
                <w:tcPr>
                  <w:tcW w:w="1585" w:type="dxa"/>
                  <w:noWrap w:val="0"/>
                  <w:vAlign w:val="center"/>
                </w:tcPr>
                <w:p w14:paraId="381277DA">
                  <w:pPr>
                    <w:tabs>
                      <w:tab w:val="left" w:pos="3225"/>
                    </w:tabs>
                    <w:spacing w:line="240" w:lineRule="auto"/>
                    <w:jc w:val="center"/>
                    <w:rPr>
                      <w:rFonts w:hint="default"/>
                      <w:color w:val="auto"/>
                      <w:szCs w:val="21"/>
                      <w:lang w:val="en-US" w:eastAsia="zh-CN"/>
                    </w:rPr>
                  </w:pPr>
                  <w:r>
                    <w:rPr>
                      <w:rFonts w:hint="eastAsia"/>
                      <w:color w:val="auto"/>
                      <w:szCs w:val="21"/>
                      <w:lang w:val="en-US" w:eastAsia="zh-CN"/>
                    </w:rPr>
                    <w:t>盐酸</w:t>
                  </w:r>
                </w:p>
              </w:tc>
              <w:tc>
                <w:tcPr>
                  <w:tcW w:w="615" w:type="dxa"/>
                  <w:noWrap w:val="0"/>
                  <w:vAlign w:val="center"/>
                </w:tcPr>
                <w:p w14:paraId="36B2E0FE">
                  <w:pPr>
                    <w:spacing w:line="240" w:lineRule="auto"/>
                    <w:jc w:val="center"/>
                    <w:rPr>
                      <w:rFonts w:hint="default"/>
                      <w:color w:val="auto"/>
                      <w:szCs w:val="21"/>
                      <w:lang w:val="en-US" w:eastAsia="zh-CN"/>
                    </w:rPr>
                  </w:pPr>
                  <w:r>
                    <w:rPr>
                      <w:rFonts w:hint="eastAsia"/>
                      <w:color w:val="auto"/>
                      <w:szCs w:val="21"/>
                      <w:lang w:val="en-US" w:eastAsia="zh-CN"/>
                    </w:rPr>
                    <w:t>液</w:t>
                  </w:r>
                </w:p>
              </w:tc>
              <w:tc>
                <w:tcPr>
                  <w:tcW w:w="780" w:type="dxa"/>
                  <w:noWrap w:val="0"/>
                  <w:vAlign w:val="center"/>
                </w:tcPr>
                <w:p w14:paraId="0A10B019">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2442D07E">
                  <w:pPr>
                    <w:tabs>
                      <w:tab w:val="left" w:pos="3225"/>
                    </w:tabs>
                    <w:spacing w:line="240" w:lineRule="auto"/>
                    <w:jc w:val="center"/>
                    <w:rPr>
                      <w:rFonts w:hint="default"/>
                      <w:color w:val="auto"/>
                      <w:szCs w:val="21"/>
                      <w:lang w:val="en-US" w:eastAsia="zh-CN"/>
                    </w:rPr>
                  </w:pPr>
                  <w:r>
                    <w:rPr>
                      <w:rFonts w:hint="eastAsia"/>
                      <w:color w:val="auto"/>
                      <w:szCs w:val="21"/>
                      <w:lang w:val="en-US" w:eastAsia="zh-CN"/>
                    </w:rPr>
                    <w:t>300</w:t>
                  </w:r>
                </w:p>
              </w:tc>
              <w:tc>
                <w:tcPr>
                  <w:tcW w:w="945" w:type="dxa"/>
                  <w:noWrap w:val="0"/>
                  <w:vAlign w:val="center"/>
                </w:tcPr>
                <w:p w14:paraId="6877F0AB">
                  <w:pPr>
                    <w:spacing w:line="240" w:lineRule="auto"/>
                    <w:jc w:val="center"/>
                    <w:rPr>
                      <w:rFonts w:hint="default"/>
                      <w:color w:val="auto"/>
                      <w:szCs w:val="21"/>
                      <w:lang w:val="en-US" w:eastAsia="zh-CN"/>
                    </w:rPr>
                  </w:pPr>
                  <w:r>
                    <w:rPr>
                      <w:rFonts w:hint="eastAsia"/>
                      <w:color w:val="auto"/>
                      <w:szCs w:val="21"/>
                      <w:lang w:val="en-US" w:eastAsia="zh-CN"/>
                    </w:rPr>
                    <w:t>桶装</w:t>
                  </w:r>
                </w:p>
              </w:tc>
              <w:tc>
                <w:tcPr>
                  <w:tcW w:w="930" w:type="dxa"/>
                  <w:noWrap w:val="0"/>
                  <w:vAlign w:val="center"/>
                </w:tcPr>
                <w:p w14:paraId="152BA897">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46CF3E4E">
                  <w:pPr>
                    <w:tabs>
                      <w:tab w:val="left" w:pos="3225"/>
                    </w:tabs>
                    <w:spacing w:line="240" w:lineRule="exact"/>
                    <w:jc w:val="center"/>
                    <w:rPr>
                      <w:rFonts w:hint="eastAsia"/>
                      <w:color w:val="0000FF"/>
                      <w:szCs w:val="21"/>
                      <w:lang w:val="en-US" w:eastAsia="zh-CN"/>
                    </w:rPr>
                  </w:pPr>
                  <w:r>
                    <w:rPr>
                      <w:rFonts w:hint="eastAsia"/>
                      <w:color w:val="auto"/>
                      <w:szCs w:val="21"/>
                      <w:u w:val="none"/>
                      <w:lang w:val="en-US" w:eastAsia="zh-CN"/>
                    </w:rPr>
                    <w:t>2号仓库危险化学品隔间B（B2酸储间）</w:t>
                  </w:r>
                </w:p>
              </w:tc>
              <w:tc>
                <w:tcPr>
                  <w:tcW w:w="540" w:type="dxa"/>
                  <w:vMerge w:val="continue"/>
                  <w:noWrap w:val="0"/>
                  <w:vAlign w:val="center"/>
                </w:tcPr>
                <w:p w14:paraId="28A5A334">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13B43763">
                  <w:pPr>
                    <w:tabs>
                      <w:tab w:val="left" w:pos="3225"/>
                    </w:tabs>
                    <w:spacing w:line="240" w:lineRule="exact"/>
                    <w:jc w:val="center"/>
                    <w:rPr>
                      <w:rFonts w:hint="eastAsia"/>
                      <w:color w:val="0000FF"/>
                      <w:szCs w:val="21"/>
                      <w:lang w:eastAsia="zh-CN"/>
                    </w:rPr>
                  </w:pPr>
                </w:p>
              </w:tc>
            </w:tr>
            <w:tr w14:paraId="4CFB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267D2B36">
                  <w:pPr>
                    <w:tabs>
                      <w:tab w:val="left" w:pos="3225"/>
                    </w:tabs>
                    <w:spacing w:line="240" w:lineRule="exact"/>
                    <w:jc w:val="center"/>
                    <w:rPr>
                      <w:rFonts w:hint="default"/>
                      <w:color w:val="auto"/>
                      <w:szCs w:val="21"/>
                      <w:lang w:val="en-US" w:eastAsia="zh-CN"/>
                    </w:rPr>
                  </w:pPr>
                  <w:r>
                    <w:rPr>
                      <w:rFonts w:hint="eastAsia"/>
                      <w:color w:val="auto"/>
                      <w:szCs w:val="21"/>
                      <w:lang w:val="en-US" w:eastAsia="zh-CN"/>
                    </w:rPr>
                    <w:t>29</w:t>
                  </w:r>
                </w:p>
              </w:tc>
              <w:tc>
                <w:tcPr>
                  <w:tcW w:w="1585" w:type="dxa"/>
                  <w:noWrap w:val="0"/>
                  <w:vAlign w:val="center"/>
                </w:tcPr>
                <w:p w14:paraId="5BAFE8DB">
                  <w:pPr>
                    <w:tabs>
                      <w:tab w:val="left" w:pos="3225"/>
                    </w:tabs>
                    <w:spacing w:line="240" w:lineRule="auto"/>
                    <w:jc w:val="center"/>
                    <w:rPr>
                      <w:rFonts w:hint="default"/>
                      <w:color w:val="auto"/>
                      <w:szCs w:val="21"/>
                      <w:lang w:val="en-US" w:eastAsia="zh-CN"/>
                    </w:rPr>
                  </w:pPr>
                  <w:r>
                    <w:rPr>
                      <w:rFonts w:hint="eastAsia"/>
                      <w:color w:val="auto"/>
                      <w:szCs w:val="21"/>
                      <w:lang w:val="en-US" w:eastAsia="zh-CN"/>
                    </w:rPr>
                    <w:t>正磷酸</w:t>
                  </w:r>
                </w:p>
              </w:tc>
              <w:tc>
                <w:tcPr>
                  <w:tcW w:w="615" w:type="dxa"/>
                  <w:noWrap w:val="0"/>
                  <w:vAlign w:val="center"/>
                </w:tcPr>
                <w:p w14:paraId="20A76292">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746F3852">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7F1059CF">
                  <w:pPr>
                    <w:tabs>
                      <w:tab w:val="left" w:pos="3225"/>
                    </w:tabs>
                    <w:spacing w:line="240" w:lineRule="auto"/>
                    <w:jc w:val="center"/>
                    <w:rPr>
                      <w:rFonts w:hint="default"/>
                      <w:color w:val="auto"/>
                      <w:szCs w:val="21"/>
                      <w:lang w:val="en-US" w:eastAsia="zh-CN"/>
                    </w:rPr>
                  </w:pPr>
                  <w:r>
                    <w:rPr>
                      <w:rFonts w:hint="eastAsia"/>
                      <w:color w:val="auto"/>
                      <w:szCs w:val="21"/>
                      <w:lang w:val="en-US" w:eastAsia="zh-CN"/>
                    </w:rPr>
                    <w:t>300</w:t>
                  </w:r>
                </w:p>
              </w:tc>
              <w:tc>
                <w:tcPr>
                  <w:tcW w:w="945" w:type="dxa"/>
                  <w:noWrap w:val="0"/>
                  <w:vAlign w:val="center"/>
                </w:tcPr>
                <w:p w14:paraId="7709003A">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5D7C07AE">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40DE79E">
                  <w:pPr>
                    <w:spacing w:line="240" w:lineRule="exact"/>
                    <w:jc w:val="center"/>
                    <w:rPr>
                      <w:rFonts w:hint="eastAsia"/>
                      <w:color w:val="0000FF"/>
                      <w:szCs w:val="21"/>
                      <w:lang w:val="en-US" w:eastAsia="zh-CN"/>
                    </w:rPr>
                  </w:pPr>
                </w:p>
              </w:tc>
              <w:tc>
                <w:tcPr>
                  <w:tcW w:w="540" w:type="dxa"/>
                  <w:vMerge w:val="continue"/>
                  <w:noWrap w:val="0"/>
                  <w:vAlign w:val="center"/>
                </w:tcPr>
                <w:p w14:paraId="5066DC7F">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A7D998D">
                  <w:pPr>
                    <w:tabs>
                      <w:tab w:val="left" w:pos="3225"/>
                    </w:tabs>
                    <w:spacing w:line="240" w:lineRule="exact"/>
                    <w:jc w:val="center"/>
                    <w:rPr>
                      <w:rFonts w:hint="eastAsia"/>
                      <w:color w:val="0000FF"/>
                      <w:szCs w:val="21"/>
                      <w:lang w:eastAsia="zh-CN"/>
                    </w:rPr>
                  </w:pPr>
                </w:p>
              </w:tc>
            </w:tr>
            <w:tr w14:paraId="4963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271C9A4">
                  <w:pPr>
                    <w:tabs>
                      <w:tab w:val="left" w:pos="3225"/>
                    </w:tabs>
                    <w:spacing w:line="240" w:lineRule="exact"/>
                    <w:jc w:val="center"/>
                    <w:rPr>
                      <w:rFonts w:hint="default"/>
                      <w:color w:val="auto"/>
                      <w:szCs w:val="21"/>
                      <w:lang w:val="en-US" w:eastAsia="zh-CN"/>
                    </w:rPr>
                  </w:pPr>
                  <w:r>
                    <w:rPr>
                      <w:rFonts w:hint="eastAsia"/>
                      <w:color w:val="auto"/>
                      <w:szCs w:val="21"/>
                      <w:lang w:val="en-US" w:eastAsia="zh-CN"/>
                    </w:rPr>
                    <w:t>30</w:t>
                  </w:r>
                </w:p>
              </w:tc>
              <w:tc>
                <w:tcPr>
                  <w:tcW w:w="1585" w:type="dxa"/>
                  <w:noWrap w:val="0"/>
                  <w:vAlign w:val="center"/>
                </w:tcPr>
                <w:p w14:paraId="4C33A597">
                  <w:pPr>
                    <w:tabs>
                      <w:tab w:val="left" w:pos="3225"/>
                    </w:tabs>
                    <w:spacing w:line="240" w:lineRule="auto"/>
                    <w:jc w:val="center"/>
                    <w:rPr>
                      <w:rFonts w:hint="default"/>
                      <w:color w:val="auto"/>
                      <w:szCs w:val="21"/>
                      <w:lang w:val="en-US" w:eastAsia="zh-CN"/>
                    </w:rPr>
                  </w:pPr>
                  <w:r>
                    <w:rPr>
                      <w:rFonts w:hint="eastAsia"/>
                      <w:color w:val="auto"/>
                      <w:szCs w:val="21"/>
                      <w:lang w:val="en-US" w:eastAsia="zh-CN"/>
                    </w:rPr>
                    <w:t>多聚磷酸</w:t>
                  </w:r>
                </w:p>
              </w:tc>
              <w:tc>
                <w:tcPr>
                  <w:tcW w:w="615" w:type="dxa"/>
                  <w:noWrap w:val="0"/>
                  <w:vAlign w:val="center"/>
                </w:tcPr>
                <w:p w14:paraId="08E94942">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1B1E829B">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4A312A9F">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4A30F05A">
                  <w:pPr>
                    <w:spacing w:line="240" w:lineRule="auto"/>
                    <w:jc w:val="center"/>
                    <w:rPr>
                      <w:rFonts w:hint="default"/>
                      <w:color w:val="auto"/>
                      <w:szCs w:val="21"/>
                      <w:lang w:val="en-US" w:eastAsia="zh-CN"/>
                    </w:rPr>
                  </w:pPr>
                  <w:r>
                    <w:rPr>
                      <w:rFonts w:hint="eastAsia"/>
                      <w:color w:val="auto"/>
                      <w:szCs w:val="21"/>
                      <w:lang w:val="en-US" w:eastAsia="zh-CN"/>
                    </w:rPr>
                    <w:t>桶装</w:t>
                  </w:r>
                </w:p>
              </w:tc>
              <w:tc>
                <w:tcPr>
                  <w:tcW w:w="930" w:type="dxa"/>
                  <w:noWrap w:val="0"/>
                  <w:vAlign w:val="center"/>
                </w:tcPr>
                <w:p w14:paraId="14228C86">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9F78FE8">
                  <w:pPr>
                    <w:spacing w:line="240" w:lineRule="exact"/>
                    <w:jc w:val="center"/>
                    <w:rPr>
                      <w:rFonts w:hint="eastAsia"/>
                      <w:color w:val="0000FF"/>
                      <w:szCs w:val="21"/>
                      <w:lang w:val="en-US" w:eastAsia="zh-CN"/>
                    </w:rPr>
                  </w:pPr>
                </w:p>
              </w:tc>
              <w:tc>
                <w:tcPr>
                  <w:tcW w:w="540" w:type="dxa"/>
                  <w:vMerge w:val="continue"/>
                  <w:noWrap w:val="0"/>
                  <w:vAlign w:val="center"/>
                </w:tcPr>
                <w:p w14:paraId="7277DA4C">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A11F927">
                  <w:pPr>
                    <w:tabs>
                      <w:tab w:val="left" w:pos="3225"/>
                    </w:tabs>
                    <w:spacing w:line="240" w:lineRule="exact"/>
                    <w:jc w:val="center"/>
                    <w:rPr>
                      <w:rFonts w:hint="eastAsia"/>
                      <w:color w:val="0000FF"/>
                      <w:szCs w:val="21"/>
                      <w:lang w:eastAsia="zh-CN"/>
                    </w:rPr>
                  </w:pPr>
                </w:p>
              </w:tc>
            </w:tr>
            <w:tr w14:paraId="6BA7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E3F88EB">
                  <w:pPr>
                    <w:tabs>
                      <w:tab w:val="left" w:pos="3225"/>
                    </w:tabs>
                    <w:spacing w:line="240" w:lineRule="exact"/>
                    <w:jc w:val="center"/>
                    <w:rPr>
                      <w:rFonts w:hint="default"/>
                      <w:color w:val="auto"/>
                      <w:szCs w:val="21"/>
                      <w:lang w:val="en-US" w:eastAsia="zh-CN"/>
                    </w:rPr>
                  </w:pPr>
                  <w:r>
                    <w:rPr>
                      <w:rFonts w:hint="eastAsia"/>
                      <w:color w:val="auto"/>
                      <w:szCs w:val="21"/>
                      <w:lang w:val="en-US" w:eastAsia="zh-CN"/>
                    </w:rPr>
                    <w:t>31</w:t>
                  </w:r>
                </w:p>
              </w:tc>
              <w:tc>
                <w:tcPr>
                  <w:tcW w:w="1585" w:type="dxa"/>
                  <w:noWrap w:val="0"/>
                  <w:vAlign w:val="center"/>
                </w:tcPr>
                <w:p w14:paraId="0092E723">
                  <w:pPr>
                    <w:tabs>
                      <w:tab w:val="left" w:pos="3225"/>
                    </w:tabs>
                    <w:spacing w:line="240" w:lineRule="auto"/>
                    <w:jc w:val="center"/>
                    <w:rPr>
                      <w:rFonts w:hint="default"/>
                      <w:color w:val="auto"/>
                      <w:szCs w:val="21"/>
                      <w:lang w:val="en-US" w:eastAsia="zh-CN"/>
                    </w:rPr>
                  </w:pPr>
                  <w:r>
                    <w:rPr>
                      <w:rFonts w:hint="eastAsia"/>
                      <w:color w:val="auto"/>
                      <w:szCs w:val="21"/>
                      <w:lang w:val="en-US" w:eastAsia="zh-CN"/>
                    </w:rPr>
                    <w:t>硫酸镍</w:t>
                  </w:r>
                </w:p>
              </w:tc>
              <w:tc>
                <w:tcPr>
                  <w:tcW w:w="615" w:type="dxa"/>
                  <w:noWrap w:val="0"/>
                  <w:vAlign w:val="center"/>
                </w:tcPr>
                <w:p w14:paraId="4DB7F73D">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42AA2023">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6BF172E1">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0E2804E4">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207B2094">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7F67BF24">
                  <w:pPr>
                    <w:tabs>
                      <w:tab w:val="left" w:pos="3225"/>
                    </w:tabs>
                    <w:spacing w:line="240" w:lineRule="exact"/>
                    <w:jc w:val="center"/>
                    <w:rPr>
                      <w:rFonts w:hint="eastAsia"/>
                      <w:color w:val="0000FF"/>
                      <w:szCs w:val="21"/>
                      <w:lang w:val="en-US" w:eastAsia="zh-CN"/>
                    </w:rPr>
                  </w:pPr>
                  <w:r>
                    <w:rPr>
                      <w:rFonts w:hint="eastAsia"/>
                      <w:color w:val="auto"/>
                      <w:szCs w:val="21"/>
                      <w:u w:val="none"/>
                      <w:lang w:val="en-US" w:eastAsia="zh-CN"/>
                    </w:rPr>
                    <w:t>2号仓库危险化学品隔间B（B3毒害品储间）</w:t>
                  </w:r>
                </w:p>
              </w:tc>
              <w:tc>
                <w:tcPr>
                  <w:tcW w:w="540" w:type="dxa"/>
                  <w:vMerge w:val="continue"/>
                  <w:noWrap w:val="0"/>
                  <w:vAlign w:val="center"/>
                </w:tcPr>
                <w:p w14:paraId="0FCD3C54">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1516C6F6">
                  <w:pPr>
                    <w:tabs>
                      <w:tab w:val="left" w:pos="3225"/>
                    </w:tabs>
                    <w:spacing w:line="240" w:lineRule="exact"/>
                    <w:jc w:val="center"/>
                    <w:rPr>
                      <w:rFonts w:hint="eastAsia"/>
                      <w:color w:val="0000FF"/>
                      <w:szCs w:val="21"/>
                      <w:lang w:eastAsia="zh-CN"/>
                    </w:rPr>
                  </w:pPr>
                </w:p>
              </w:tc>
            </w:tr>
            <w:tr w14:paraId="4822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53CA471">
                  <w:pPr>
                    <w:tabs>
                      <w:tab w:val="left" w:pos="3225"/>
                    </w:tabs>
                    <w:spacing w:line="240" w:lineRule="exact"/>
                    <w:jc w:val="center"/>
                    <w:rPr>
                      <w:rFonts w:hint="default"/>
                      <w:color w:val="auto"/>
                      <w:szCs w:val="21"/>
                      <w:lang w:val="en-US" w:eastAsia="zh-CN"/>
                    </w:rPr>
                  </w:pPr>
                  <w:r>
                    <w:rPr>
                      <w:rFonts w:hint="eastAsia"/>
                      <w:color w:val="auto"/>
                      <w:szCs w:val="21"/>
                      <w:lang w:val="en-US" w:eastAsia="zh-CN"/>
                    </w:rPr>
                    <w:t>32</w:t>
                  </w:r>
                </w:p>
              </w:tc>
              <w:tc>
                <w:tcPr>
                  <w:tcW w:w="1585" w:type="dxa"/>
                  <w:noWrap w:val="0"/>
                  <w:vAlign w:val="center"/>
                </w:tcPr>
                <w:p w14:paraId="043737E1">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氟硅酸钾</w:t>
                  </w:r>
                </w:p>
              </w:tc>
              <w:tc>
                <w:tcPr>
                  <w:tcW w:w="615" w:type="dxa"/>
                  <w:noWrap w:val="0"/>
                  <w:vAlign w:val="center"/>
                </w:tcPr>
                <w:p w14:paraId="74993B17">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27746781">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4043F09D">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5D006487">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40037B66">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9FFF253">
                  <w:pPr>
                    <w:spacing w:line="240" w:lineRule="exact"/>
                    <w:jc w:val="center"/>
                    <w:rPr>
                      <w:rFonts w:hint="eastAsia"/>
                      <w:color w:val="0000FF"/>
                      <w:szCs w:val="21"/>
                      <w:lang w:val="en-US" w:eastAsia="zh-CN"/>
                    </w:rPr>
                  </w:pPr>
                </w:p>
              </w:tc>
              <w:tc>
                <w:tcPr>
                  <w:tcW w:w="540" w:type="dxa"/>
                  <w:vMerge w:val="continue"/>
                  <w:noWrap w:val="0"/>
                  <w:vAlign w:val="center"/>
                </w:tcPr>
                <w:p w14:paraId="66DE64F1">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9188657">
                  <w:pPr>
                    <w:tabs>
                      <w:tab w:val="left" w:pos="3225"/>
                    </w:tabs>
                    <w:spacing w:line="240" w:lineRule="exact"/>
                    <w:jc w:val="center"/>
                    <w:rPr>
                      <w:rFonts w:hint="eastAsia"/>
                      <w:color w:val="0000FF"/>
                      <w:szCs w:val="21"/>
                      <w:lang w:eastAsia="zh-CN"/>
                    </w:rPr>
                  </w:pPr>
                </w:p>
              </w:tc>
            </w:tr>
            <w:tr w14:paraId="0A01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15210EC4">
                  <w:pPr>
                    <w:tabs>
                      <w:tab w:val="left" w:pos="3225"/>
                    </w:tabs>
                    <w:spacing w:line="240" w:lineRule="exact"/>
                    <w:jc w:val="center"/>
                    <w:rPr>
                      <w:rFonts w:hint="default"/>
                      <w:color w:val="auto"/>
                      <w:szCs w:val="21"/>
                      <w:lang w:val="en-US" w:eastAsia="zh-CN"/>
                    </w:rPr>
                  </w:pPr>
                  <w:r>
                    <w:rPr>
                      <w:rFonts w:hint="eastAsia"/>
                      <w:color w:val="auto"/>
                      <w:szCs w:val="21"/>
                      <w:lang w:val="en-US" w:eastAsia="zh-CN"/>
                    </w:rPr>
                    <w:t>33</w:t>
                  </w:r>
                </w:p>
              </w:tc>
              <w:tc>
                <w:tcPr>
                  <w:tcW w:w="1585" w:type="dxa"/>
                  <w:noWrap w:val="0"/>
                  <w:vAlign w:val="center"/>
                </w:tcPr>
                <w:p w14:paraId="4D42BBD4">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氟硅酸钠</w:t>
                  </w:r>
                </w:p>
              </w:tc>
              <w:tc>
                <w:tcPr>
                  <w:tcW w:w="615" w:type="dxa"/>
                  <w:noWrap w:val="0"/>
                  <w:vAlign w:val="center"/>
                </w:tcPr>
                <w:p w14:paraId="41C2B317">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08102281">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24ACF3FC">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554EA5E1">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57BC51E6">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294695BF">
                  <w:pPr>
                    <w:spacing w:line="240" w:lineRule="exact"/>
                    <w:jc w:val="center"/>
                    <w:rPr>
                      <w:rFonts w:hint="eastAsia"/>
                      <w:color w:val="0000FF"/>
                      <w:szCs w:val="21"/>
                      <w:lang w:val="en-US" w:eastAsia="zh-CN"/>
                    </w:rPr>
                  </w:pPr>
                </w:p>
              </w:tc>
              <w:tc>
                <w:tcPr>
                  <w:tcW w:w="540" w:type="dxa"/>
                  <w:vMerge w:val="continue"/>
                  <w:noWrap w:val="0"/>
                  <w:vAlign w:val="center"/>
                </w:tcPr>
                <w:p w14:paraId="4B0EF648">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484362FA">
                  <w:pPr>
                    <w:tabs>
                      <w:tab w:val="left" w:pos="3225"/>
                    </w:tabs>
                    <w:spacing w:line="240" w:lineRule="exact"/>
                    <w:jc w:val="center"/>
                    <w:rPr>
                      <w:rFonts w:hint="eastAsia"/>
                      <w:color w:val="0000FF"/>
                      <w:szCs w:val="21"/>
                      <w:lang w:eastAsia="zh-CN"/>
                    </w:rPr>
                  </w:pPr>
                </w:p>
              </w:tc>
            </w:tr>
            <w:tr w14:paraId="30BF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6FF47E0">
                  <w:pPr>
                    <w:tabs>
                      <w:tab w:val="left" w:pos="3225"/>
                    </w:tabs>
                    <w:spacing w:line="240" w:lineRule="exact"/>
                    <w:jc w:val="center"/>
                    <w:rPr>
                      <w:rFonts w:hint="default"/>
                      <w:color w:val="auto"/>
                      <w:szCs w:val="21"/>
                      <w:lang w:val="en-US" w:eastAsia="zh-CN"/>
                    </w:rPr>
                  </w:pPr>
                  <w:r>
                    <w:rPr>
                      <w:rFonts w:hint="eastAsia"/>
                      <w:color w:val="auto"/>
                      <w:szCs w:val="21"/>
                      <w:lang w:val="en-US" w:eastAsia="zh-CN"/>
                    </w:rPr>
                    <w:t>34</w:t>
                  </w:r>
                </w:p>
              </w:tc>
              <w:tc>
                <w:tcPr>
                  <w:tcW w:w="1585" w:type="dxa"/>
                  <w:noWrap w:val="0"/>
                  <w:vAlign w:val="center"/>
                </w:tcPr>
                <w:p w14:paraId="348FC89E">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氟化铵</w:t>
                  </w:r>
                </w:p>
              </w:tc>
              <w:tc>
                <w:tcPr>
                  <w:tcW w:w="615" w:type="dxa"/>
                  <w:noWrap w:val="0"/>
                  <w:vAlign w:val="center"/>
                </w:tcPr>
                <w:p w14:paraId="18047D51">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30E9B750">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68A71DF3">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461E582B">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3977D673">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329B98F">
                  <w:pPr>
                    <w:spacing w:line="240" w:lineRule="exact"/>
                    <w:jc w:val="center"/>
                    <w:rPr>
                      <w:rFonts w:hint="eastAsia"/>
                      <w:color w:val="0000FF"/>
                      <w:szCs w:val="21"/>
                      <w:lang w:val="en-US" w:eastAsia="zh-CN"/>
                    </w:rPr>
                  </w:pPr>
                </w:p>
              </w:tc>
              <w:tc>
                <w:tcPr>
                  <w:tcW w:w="540" w:type="dxa"/>
                  <w:vMerge w:val="continue"/>
                  <w:noWrap w:val="0"/>
                  <w:vAlign w:val="center"/>
                </w:tcPr>
                <w:p w14:paraId="2A94051F">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7D163FD">
                  <w:pPr>
                    <w:tabs>
                      <w:tab w:val="left" w:pos="3225"/>
                    </w:tabs>
                    <w:spacing w:line="240" w:lineRule="exact"/>
                    <w:jc w:val="center"/>
                    <w:rPr>
                      <w:rFonts w:hint="eastAsia"/>
                      <w:color w:val="0000FF"/>
                      <w:szCs w:val="21"/>
                      <w:lang w:eastAsia="zh-CN"/>
                    </w:rPr>
                  </w:pPr>
                </w:p>
              </w:tc>
            </w:tr>
            <w:tr w14:paraId="6A0C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209BC971">
                  <w:pPr>
                    <w:tabs>
                      <w:tab w:val="left" w:pos="3225"/>
                    </w:tabs>
                    <w:spacing w:line="240" w:lineRule="exact"/>
                    <w:jc w:val="center"/>
                    <w:rPr>
                      <w:rFonts w:hint="default"/>
                      <w:color w:val="auto"/>
                      <w:szCs w:val="21"/>
                      <w:lang w:val="en-US" w:eastAsia="zh-CN"/>
                    </w:rPr>
                  </w:pPr>
                  <w:r>
                    <w:rPr>
                      <w:rFonts w:hint="eastAsia"/>
                      <w:color w:val="auto"/>
                      <w:szCs w:val="21"/>
                      <w:lang w:val="en-US" w:eastAsia="zh-CN"/>
                    </w:rPr>
                    <w:t>35</w:t>
                  </w:r>
                </w:p>
              </w:tc>
              <w:tc>
                <w:tcPr>
                  <w:tcW w:w="1585" w:type="dxa"/>
                  <w:noWrap w:val="0"/>
                  <w:vAlign w:val="center"/>
                </w:tcPr>
                <w:p w14:paraId="3E118857">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氟化钡</w:t>
                  </w:r>
                </w:p>
              </w:tc>
              <w:tc>
                <w:tcPr>
                  <w:tcW w:w="615" w:type="dxa"/>
                  <w:noWrap w:val="0"/>
                  <w:vAlign w:val="center"/>
                </w:tcPr>
                <w:p w14:paraId="38164FD7">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7B649B3A">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59FFEB04">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08B29D0D">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24110FBC">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5F058E5A">
                  <w:pPr>
                    <w:spacing w:line="240" w:lineRule="exact"/>
                    <w:jc w:val="center"/>
                    <w:rPr>
                      <w:rFonts w:hint="eastAsia"/>
                      <w:color w:val="0000FF"/>
                      <w:szCs w:val="21"/>
                      <w:lang w:val="en-US" w:eastAsia="zh-CN"/>
                    </w:rPr>
                  </w:pPr>
                </w:p>
              </w:tc>
              <w:tc>
                <w:tcPr>
                  <w:tcW w:w="540" w:type="dxa"/>
                  <w:vMerge w:val="continue"/>
                  <w:noWrap w:val="0"/>
                  <w:vAlign w:val="center"/>
                </w:tcPr>
                <w:p w14:paraId="68F6153D">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4AD141B5">
                  <w:pPr>
                    <w:tabs>
                      <w:tab w:val="left" w:pos="3225"/>
                    </w:tabs>
                    <w:spacing w:line="240" w:lineRule="exact"/>
                    <w:jc w:val="center"/>
                    <w:rPr>
                      <w:rFonts w:hint="eastAsia"/>
                      <w:color w:val="0000FF"/>
                      <w:szCs w:val="21"/>
                      <w:lang w:eastAsia="zh-CN"/>
                    </w:rPr>
                  </w:pPr>
                </w:p>
              </w:tc>
            </w:tr>
            <w:tr w14:paraId="300E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E2EC05A">
                  <w:pPr>
                    <w:tabs>
                      <w:tab w:val="left" w:pos="3225"/>
                    </w:tabs>
                    <w:spacing w:line="240" w:lineRule="exact"/>
                    <w:jc w:val="center"/>
                    <w:rPr>
                      <w:rFonts w:hint="default"/>
                      <w:color w:val="auto"/>
                      <w:szCs w:val="21"/>
                      <w:lang w:val="en-US" w:eastAsia="zh-CN"/>
                    </w:rPr>
                  </w:pPr>
                  <w:r>
                    <w:rPr>
                      <w:rFonts w:hint="eastAsia"/>
                      <w:color w:val="auto"/>
                      <w:szCs w:val="21"/>
                      <w:lang w:val="en-US" w:eastAsia="zh-CN"/>
                    </w:rPr>
                    <w:t>36</w:t>
                  </w:r>
                </w:p>
              </w:tc>
              <w:tc>
                <w:tcPr>
                  <w:tcW w:w="1585" w:type="dxa"/>
                  <w:noWrap w:val="0"/>
                  <w:vAlign w:val="center"/>
                </w:tcPr>
                <w:p w14:paraId="169294E6">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氟化钾</w:t>
                  </w:r>
                </w:p>
              </w:tc>
              <w:tc>
                <w:tcPr>
                  <w:tcW w:w="615" w:type="dxa"/>
                  <w:noWrap w:val="0"/>
                  <w:vAlign w:val="center"/>
                </w:tcPr>
                <w:p w14:paraId="09D465C1">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761514D0">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1C858BC5">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485C66BA">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04536ABC">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4498934">
                  <w:pPr>
                    <w:spacing w:line="240" w:lineRule="exact"/>
                    <w:jc w:val="center"/>
                    <w:rPr>
                      <w:rFonts w:hint="eastAsia"/>
                      <w:color w:val="0000FF"/>
                      <w:szCs w:val="21"/>
                      <w:lang w:val="en-US" w:eastAsia="zh-CN"/>
                    </w:rPr>
                  </w:pPr>
                </w:p>
              </w:tc>
              <w:tc>
                <w:tcPr>
                  <w:tcW w:w="540" w:type="dxa"/>
                  <w:vMerge w:val="continue"/>
                  <w:noWrap w:val="0"/>
                  <w:vAlign w:val="center"/>
                </w:tcPr>
                <w:p w14:paraId="7782BE10">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61CD5DB1">
                  <w:pPr>
                    <w:tabs>
                      <w:tab w:val="left" w:pos="3225"/>
                    </w:tabs>
                    <w:spacing w:line="240" w:lineRule="exact"/>
                    <w:jc w:val="center"/>
                    <w:rPr>
                      <w:rFonts w:hint="eastAsia"/>
                      <w:color w:val="0000FF"/>
                      <w:szCs w:val="21"/>
                      <w:lang w:eastAsia="zh-CN"/>
                    </w:rPr>
                  </w:pPr>
                </w:p>
              </w:tc>
            </w:tr>
            <w:tr w14:paraId="6513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2393259">
                  <w:pPr>
                    <w:tabs>
                      <w:tab w:val="left" w:pos="3225"/>
                    </w:tabs>
                    <w:spacing w:line="240" w:lineRule="exact"/>
                    <w:jc w:val="center"/>
                    <w:rPr>
                      <w:rFonts w:hint="default"/>
                      <w:color w:val="auto"/>
                      <w:szCs w:val="21"/>
                      <w:lang w:val="en-US" w:eastAsia="zh-CN"/>
                    </w:rPr>
                  </w:pPr>
                  <w:r>
                    <w:rPr>
                      <w:rFonts w:hint="eastAsia"/>
                      <w:color w:val="auto"/>
                      <w:szCs w:val="21"/>
                      <w:lang w:val="en-US" w:eastAsia="zh-CN"/>
                    </w:rPr>
                    <w:t>37</w:t>
                  </w:r>
                </w:p>
              </w:tc>
              <w:tc>
                <w:tcPr>
                  <w:tcW w:w="1585" w:type="dxa"/>
                  <w:noWrap w:val="0"/>
                  <w:vAlign w:val="center"/>
                </w:tcPr>
                <w:p w14:paraId="239A328D">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氟化钠</w:t>
                  </w:r>
                </w:p>
              </w:tc>
              <w:tc>
                <w:tcPr>
                  <w:tcW w:w="615" w:type="dxa"/>
                  <w:noWrap w:val="0"/>
                  <w:vAlign w:val="center"/>
                </w:tcPr>
                <w:p w14:paraId="1E777A3A">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0ADA2013">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11BD2099">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67D377B7">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19E11052">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1F7C35D6">
                  <w:pPr>
                    <w:spacing w:line="240" w:lineRule="exact"/>
                    <w:jc w:val="center"/>
                    <w:rPr>
                      <w:rFonts w:hint="eastAsia"/>
                      <w:color w:val="0000FF"/>
                      <w:szCs w:val="21"/>
                      <w:lang w:val="en-US" w:eastAsia="zh-CN"/>
                    </w:rPr>
                  </w:pPr>
                </w:p>
              </w:tc>
              <w:tc>
                <w:tcPr>
                  <w:tcW w:w="540" w:type="dxa"/>
                  <w:vMerge w:val="continue"/>
                  <w:noWrap w:val="0"/>
                  <w:vAlign w:val="center"/>
                </w:tcPr>
                <w:p w14:paraId="59442F0B">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0CDF3A1">
                  <w:pPr>
                    <w:tabs>
                      <w:tab w:val="left" w:pos="3225"/>
                    </w:tabs>
                    <w:spacing w:line="240" w:lineRule="exact"/>
                    <w:jc w:val="center"/>
                    <w:rPr>
                      <w:rFonts w:hint="eastAsia"/>
                      <w:color w:val="0000FF"/>
                      <w:szCs w:val="21"/>
                      <w:lang w:eastAsia="zh-CN"/>
                    </w:rPr>
                  </w:pPr>
                </w:p>
              </w:tc>
            </w:tr>
            <w:tr w14:paraId="66C4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710BA6D">
                  <w:pPr>
                    <w:tabs>
                      <w:tab w:val="left" w:pos="3225"/>
                    </w:tabs>
                    <w:spacing w:line="240" w:lineRule="exact"/>
                    <w:jc w:val="center"/>
                    <w:rPr>
                      <w:rFonts w:hint="default"/>
                      <w:color w:val="auto"/>
                      <w:szCs w:val="21"/>
                      <w:lang w:val="en-US" w:eastAsia="zh-CN"/>
                    </w:rPr>
                  </w:pPr>
                  <w:r>
                    <w:rPr>
                      <w:rFonts w:hint="eastAsia"/>
                      <w:color w:val="auto"/>
                      <w:szCs w:val="21"/>
                      <w:lang w:val="en-US" w:eastAsia="zh-CN"/>
                    </w:rPr>
                    <w:t>38</w:t>
                  </w:r>
                </w:p>
              </w:tc>
              <w:tc>
                <w:tcPr>
                  <w:tcW w:w="1585" w:type="dxa"/>
                  <w:noWrap w:val="0"/>
                  <w:vAlign w:val="center"/>
                </w:tcPr>
                <w:p w14:paraId="44B0DD6E">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氟化氢铵</w:t>
                  </w:r>
                </w:p>
              </w:tc>
              <w:tc>
                <w:tcPr>
                  <w:tcW w:w="615" w:type="dxa"/>
                  <w:noWrap w:val="0"/>
                  <w:vAlign w:val="center"/>
                </w:tcPr>
                <w:p w14:paraId="51E3AC17">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70422379">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0D93DF2E">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034A840A">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77318203">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1EC3CA09">
                  <w:pPr>
                    <w:spacing w:line="240" w:lineRule="exact"/>
                    <w:jc w:val="center"/>
                    <w:rPr>
                      <w:rFonts w:hint="eastAsia"/>
                      <w:color w:val="0000FF"/>
                      <w:szCs w:val="21"/>
                      <w:lang w:val="en-US" w:eastAsia="zh-CN"/>
                    </w:rPr>
                  </w:pPr>
                </w:p>
              </w:tc>
              <w:tc>
                <w:tcPr>
                  <w:tcW w:w="540" w:type="dxa"/>
                  <w:vMerge w:val="continue"/>
                  <w:noWrap w:val="0"/>
                  <w:vAlign w:val="center"/>
                </w:tcPr>
                <w:p w14:paraId="322BB3C8">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6BC621CE">
                  <w:pPr>
                    <w:tabs>
                      <w:tab w:val="left" w:pos="3225"/>
                    </w:tabs>
                    <w:spacing w:line="240" w:lineRule="exact"/>
                    <w:jc w:val="center"/>
                    <w:rPr>
                      <w:rFonts w:hint="eastAsia"/>
                      <w:color w:val="0000FF"/>
                      <w:szCs w:val="21"/>
                      <w:lang w:eastAsia="zh-CN"/>
                    </w:rPr>
                  </w:pPr>
                </w:p>
              </w:tc>
            </w:tr>
            <w:tr w14:paraId="2393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4B7AA84">
                  <w:pPr>
                    <w:tabs>
                      <w:tab w:val="left" w:pos="3225"/>
                    </w:tabs>
                    <w:spacing w:line="240" w:lineRule="exact"/>
                    <w:jc w:val="center"/>
                    <w:rPr>
                      <w:rFonts w:hint="default"/>
                      <w:color w:val="auto"/>
                      <w:szCs w:val="21"/>
                      <w:lang w:val="en-US" w:eastAsia="zh-CN"/>
                    </w:rPr>
                  </w:pPr>
                  <w:r>
                    <w:rPr>
                      <w:rFonts w:hint="eastAsia"/>
                      <w:color w:val="auto"/>
                      <w:szCs w:val="21"/>
                      <w:lang w:val="en-US" w:eastAsia="zh-CN"/>
                    </w:rPr>
                    <w:t>39</w:t>
                  </w:r>
                </w:p>
              </w:tc>
              <w:tc>
                <w:tcPr>
                  <w:tcW w:w="1585" w:type="dxa"/>
                  <w:noWrap w:val="0"/>
                  <w:vAlign w:val="center"/>
                </w:tcPr>
                <w:p w14:paraId="73D1F79D">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氟化锌</w:t>
                  </w:r>
                </w:p>
              </w:tc>
              <w:tc>
                <w:tcPr>
                  <w:tcW w:w="615" w:type="dxa"/>
                  <w:noWrap w:val="0"/>
                  <w:vAlign w:val="center"/>
                </w:tcPr>
                <w:p w14:paraId="17BAB667">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381FB6E6">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1193C88A">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4FBFA3F4">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6A4D6044">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800665D">
                  <w:pPr>
                    <w:spacing w:line="240" w:lineRule="exact"/>
                    <w:jc w:val="center"/>
                    <w:rPr>
                      <w:rFonts w:hint="eastAsia"/>
                      <w:color w:val="0000FF"/>
                      <w:szCs w:val="21"/>
                      <w:lang w:val="en-US" w:eastAsia="zh-CN"/>
                    </w:rPr>
                  </w:pPr>
                </w:p>
              </w:tc>
              <w:tc>
                <w:tcPr>
                  <w:tcW w:w="540" w:type="dxa"/>
                  <w:vMerge w:val="continue"/>
                  <w:noWrap w:val="0"/>
                  <w:vAlign w:val="center"/>
                </w:tcPr>
                <w:p w14:paraId="435CD27E">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48E6F280">
                  <w:pPr>
                    <w:tabs>
                      <w:tab w:val="left" w:pos="3225"/>
                    </w:tabs>
                    <w:spacing w:line="240" w:lineRule="exact"/>
                    <w:jc w:val="center"/>
                    <w:rPr>
                      <w:rFonts w:hint="eastAsia"/>
                      <w:color w:val="0000FF"/>
                      <w:szCs w:val="21"/>
                      <w:lang w:eastAsia="zh-CN"/>
                    </w:rPr>
                  </w:pPr>
                </w:p>
              </w:tc>
            </w:tr>
            <w:tr w14:paraId="3CE7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24938FD0">
                  <w:pPr>
                    <w:tabs>
                      <w:tab w:val="left" w:pos="3225"/>
                    </w:tabs>
                    <w:spacing w:line="240" w:lineRule="exact"/>
                    <w:jc w:val="center"/>
                    <w:rPr>
                      <w:rFonts w:hint="default"/>
                      <w:color w:val="auto"/>
                      <w:szCs w:val="21"/>
                      <w:lang w:val="en-US" w:eastAsia="zh-CN"/>
                    </w:rPr>
                  </w:pPr>
                  <w:r>
                    <w:rPr>
                      <w:rFonts w:hint="eastAsia"/>
                      <w:color w:val="auto"/>
                      <w:szCs w:val="21"/>
                      <w:lang w:val="en-US" w:eastAsia="zh-CN"/>
                    </w:rPr>
                    <w:t>40</w:t>
                  </w:r>
                </w:p>
              </w:tc>
              <w:tc>
                <w:tcPr>
                  <w:tcW w:w="1585" w:type="dxa"/>
                  <w:noWrap w:val="0"/>
                  <w:vAlign w:val="center"/>
                </w:tcPr>
                <w:p w14:paraId="6938A572">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氟硅酸锌</w:t>
                  </w:r>
                </w:p>
              </w:tc>
              <w:tc>
                <w:tcPr>
                  <w:tcW w:w="615" w:type="dxa"/>
                  <w:noWrap w:val="0"/>
                  <w:vAlign w:val="center"/>
                </w:tcPr>
                <w:p w14:paraId="31E264ED">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7F3BE32C">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6E622488">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43F997A5">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1E04E64A">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839442C">
                  <w:pPr>
                    <w:spacing w:line="240" w:lineRule="exact"/>
                    <w:jc w:val="center"/>
                    <w:rPr>
                      <w:rFonts w:hint="eastAsia"/>
                      <w:color w:val="0000FF"/>
                      <w:szCs w:val="21"/>
                      <w:lang w:val="en-US" w:eastAsia="zh-CN"/>
                    </w:rPr>
                  </w:pPr>
                </w:p>
              </w:tc>
              <w:tc>
                <w:tcPr>
                  <w:tcW w:w="540" w:type="dxa"/>
                  <w:vMerge w:val="continue"/>
                  <w:noWrap w:val="0"/>
                  <w:vAlign w:val="center"/>
                </w:tcPr>
                <w:p w14:paraId="361AB334">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0C284906">
                  <w:pPr>
                    <w:tabs>
                      <w:tab w:val="left" w:pos="3225"/>
                    </w:tabs>
                    <w:spacing w:line="240" w:lineRule="exact"/>
                    <w:jc w:val="center"/>
                    <w:rPr>
                      <w:rFonts w:hint="eastAsia"/>
                      <w:color w:val="0000FF"/>
                      <w:szCs w:val="21"/>
                      <w:lang w:eastAsia="zh-CN"/>
                    </w:rPr>
                  </w:pPr>
                </w:p>
              </w:tc>
            </w:tr>
            <w:tr w14:paraId="5A84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361080E">
                  <w:pPr>
                    <w:tabs>
                      <w:tab w:val="left" w:pos="3225"/>
                    </w:tabs>
                    <w:spacing w:line="240" w:lineRule="exact"/>
                    <w:jc w:val="center"/>
                    <w:rPr>
                      <w:rFonts w:hint="default"/>
                      <w:color w:val="auto"/>
                      <w:szCs w:val="21"/>
                      <w:lang w:val="en-US" w:eastAsia="zh-CN"/>
                    </w:rPr>
                  </w:pPr>
                  <w:r>
                    <w:rPr>
                      <w:rFonts w:hint="eastAsia"/>
                      <w:color w:val="auto"/>
                      <w:szCs w:val="21"/>
                      <w:lang w:val="en-US" w:eastAsia="zh-CN"/>
                    </w:rPr>
                    <w:t>41</w:t>
                  </w:r>
                </w:p>
              </w:tc>
              <w:tc>
                <w:tcPr>
                  <w:tcW w:w="1585" w:type="dxa"/>
                  <w:noWrap w:val="0"/>
                  <w:vAlign w:val="center"/>
                </w:tcPr>
                <w:p w14:paraId="44E47C60">
                  <w:pPr>
                    <w:tabs>
                      <w:tab w:val="left" w:pos="3225"/>
                    </w:tabs>
                    <w:spacing w:line="240" w:lineRule="auto"/>
                    <w:jc w:val="center"/>
                    <w:rPr>
                      <w:rFonts w:hint="default"/>
                      <w:color w:val="auto"/>
                      <w:szCs w:val="21"/>
                      <w:lang w:val="en-US" w:eastAsia="zh-CN"/>
                    </w:rPr>
                  </w:pPr>
                  <w:r>
                    <w:rPr>
                      <w:rFonts w:hint="eastAsia"/>
                      <w:color w:val="auto"/>
                      <w:szCs w:val="21"/>
                      <w:lang w:val="en-US" w:eastAsia="zh-CN"/>
                    </w:rPr>
                    <w:t>二水氯化钡</w:t>
                  </w:r>
                </w:p>
              </w:tc>
              <w:tc>
                <w:tcPr>
                  <w:tcW w:w="615" w:type="dxa"/>
                  <w:noWrap w:val="0"/>
                  <w:vAlign w:val="center"/>
                </w:tcPr>
                <w:p w14:paraId="109CB0C4">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77CDA418">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3E306A0F">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4411F4A5">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653C2151">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09603B8">
                  <w:pPr>
                    <w:spacing w:line="240" w:lineRule="exact"/>
                    <w:jc w:val="center"/>
                    <w:rPr>
                      <w:rFonts w:hint="eastAsia"/>
                      <w:color w:val="0000FF"/>
                      <w:szCs w:val="21"/>
                      <w:lang w:val="en-US" w:eastAsia="zh-CN"/>
                    </w:rPr>
                  </w:pPr>
                </w:p>
              </w:tc>
              <w:tc>
                <w:tcPr>
                  <w:tcW w:w="540" w:type="dxa"/>
                  <w:vMerge w:val="continue"/>
                  <w:noWrap w:val="0"/>
                  <w:vAlign w:val="center"/>
                </w:tcPr>
                <w:p w14:paraId="63B99D04">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4A546D9A">
                  <w:pPr>
                    <w:tabs>
                      <w:tab w:val="left" w:pos="3225"/>
                    </w:tabs>
                    <w:spacing w:line="240" w:lineRule="exact"/>
                    <w:jc w:val="center"/>
                    <w:rPr>
                      <w:rFonts w:hint="eastAsia"/>
                      <w:color w:val="0000FF"/>
                      <w:szCs w:val="21"/>
                      <w:lang w:eastAsia="zh-CN"/>
                    </w:rPr>
                  </w:pPr>
                </w:p>
              </w:tc>
            </w:tr>
            <w:tr w14:paraId="2784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38364AF">
                  <w:pPr>
                    <w:tabs>
                      <w:tab w:val="left" w:pos="3225"/>
                    </w:tabs>
                    <w:spacing w:line="240" w:lineRule="exact"/>
                    <w:jc w:val="center"/>
                    <w:rPr>
                      <w:rFonts w:hint="default"/>
                      <w:color w:val="auto"/>
                      <w:szCs w:val="21"/>
                      <w:lang w:val="en-US" w:eastAsia="zh-CN"/>
                    </w:rPr>
                  </w:pPr>
                  <w:r>
                    <w:rPr>
                      <w:rFonts w:hint="eastAsia"/>
                      <w:color w:val="auto"/>
                      <w:szCs w:val="21"/>
                      <w:lang w:val="en-US" w:eastAsia="zh-CN"/>
                    </w:rPr>
                    <w:t>42</w:t>
                  </w:r>
                </w:p>
              </w:tc>
              <w:tc>
                <w:tcPr>
                  <w:tcW w:w="1585" w:type="dxa"/>
                  <w:noWrap w:val="0"/>
                  <w:vAlign w:val="center"/>
                </w:tcPr>
                <w:p w14:paraId="2CDC7D22">
                  <w:pPr>
                    <w:tabs>
                      <w:tab w:val="left" w:pos="3225"/>
                    </w:tabs>
                    <w:spacing w:line="240" w:lineRule="auto"/>
                    <w:jc w:val="center"/>
                    <w:rPr>
                      <w:rFonts w:hint="default"/>
                      <w:color w:val="auto"/>
                      <w:szCs w:val="21"/>
                      <w:lang w:val="en-US" w:eastAsia="zh-CN"/>
                    </w:rPr>
                  </w:pPr>
                  <w:r>
                    <w:rPr>
                      <w:rFonts w:hint="eastAsia"/>
                      <w:color w:val="auto"/>
                      <w:szCs w:val="21"/>
                      <w:lang w:val="en-US" w:eastAsia="zh-CN"/>
                    </w:rPr>
                    <w:t>石棉[含：阳起石石棉、铁石棉、透闪石石棉、直闪石石棉、青石棉]</w:t>
                  </w:r>
                </w:p>
              </w:tc>
              <w:tc>
                <w:tcPr>
                  <w:tcW w:w="615" w:type="dxa"/>
                  <w:noWrap w:val="0"/>
                  <w:vAlign w:val="center"/>
                </w:tcPr>
                <w:p w14:paraId="047E2276">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1C166E10">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663C9E86">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570EB072">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28780B21">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585730D5">
                  <w:pPr>
                    <w:spacing w:line="240" w:lineRule="exact"/>
                    <w:jc w:val="center"/>
                    <w:rPr>
                      <w:rFonts w:hint="eastAsia"/>
                      <w:color w:val="0000FF"/>
                      <w:szCs w:val="21"/>
                      <w:lang w:val="en-US" w:eastAsia="zh-CN"/>
                    </w:rPr>
                  </w:pPr>
                </w:p>
              </w:tc>
              <w:tc>
                <w:tcPr>
                  <w:tcW w:w="540" w:type="dxa"/>
                  <w:vMerge w:val="continue"/>
                  <w:noWrap w:val="0"/>
                  <w:vAlign w:val="center"/>
                </w:tcPr>
                <w:p w14:paraId="1139B84C">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12888969">
                  <w:pPr>
                    <w:tabs>
                      <w:tab w:val="left" w:pos="3225"/>
                    </w:tabs>
                    <w:spacing w:line="240" w:lineRule="exact"/>
                    <w:jc w:val="center"/>
                    <w:rPr>
                      <w:rFonts w:hint="eastAsia"/>
                      <w:color w:val="0000FF"/>
                      <w:szCs w:val="21"/>
                      <w:lang w:eastAsia="zh-CN"/>
                    </w:rPr>
                  </w:pPr>
                </w:p>
              </w:tc>
            </w:tr>
            <w:tr w14:paraId="22F0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4ECD497">
                  <w:pPr>
                    <w:tabs>
                      <w:tab w:val="left" w:pos="3225"/>
                    </w:tabs>
                    <w:spacing w:line="240" w:lineRule="exact"/>
                    <w:jc w:val="center"/>
                    <w:rPr>
                      <w:rFonts w:hint="default"/>
                      <w:color w:val="auto"/>
                      <w:szCs w:val="21"/>
                      <w:lang w:val="en-US" w:eastAsia="zh-CN"/>
                    </w:rPr>
                  </w:pPr>
                  <w:r>
                    <w:rPr>
                      <w:rFonts w:hint="eastAsia"/>
                      <w:color w:val="auto"/>
                      <w:szCs w:val="21"/>
                      <w:lang w:val="en-US" w:eastAsia="zh-CN"/>
                    </w:rPr>
                    <w:t>43</w:t>
                  </w:r>
                </w:p>
              </w:tc>
              <w:tc>
                <w:tcPr>
                  <w:tcW w:w="1585" w:type="dxa"/>
                  <w:noWrap w:val="0"/>
                  <w:vAlign w:val="center"/>
                </w:tcPr>
                <w:p w14:paraId="334441EC">
                  <w:pPr>
                    <w:tabs>
                      <w:tab w:val="left" w:pos="3225"/>
                    </w:tabs>
                    <w:spacing w:line="240" w:lineRule="auto"/>
                    <w:jc w:val="center"/>
                    <w:rPr>
                      <w:rFonts w:hint="default"/>
                      <w:color w:val="auto"/>
                      <w:szCs w:val="21"/>
                      <w:lang w:val="en-US" w:eastAsia="zh-CN"/>
                    </w:rPr>
                  </w:pPr>
                  <w:r>
                    <w:rPr>
                      <w:rFonts w:hint="eastAsia"/>
                      <w:color w:val="auto"/>
                      <w:szCs w:val="21"/>
                      <w:lang w:val="en-US" w:eastAsia="zh-CN"/>
                    </w:rPr>
                    <w:t>氢氧化钾</w:t>
                  </w:r>
                </w:p>
              </w:tc>
              <w:tc>
                <w:tcPr>
                  <w:tcW w:w="615" w:type="dxa"/>
                  <w:noWrap w:val="0"/>
                  <w:vAlign w:val="center"/>
                </w:tcPr>
                <w:p w14:paraId="4C1BBB94">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76EF5DBF">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5AEDF039">
                  <w:pPr>
                    <w:tabs>
                      <w:tab w:val="left" w:pos="3225"/>
                    </w:tabs>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4D5CDBDD">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4F290822">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2A894ACD">
                  <w:pPr>
                    <w:tabs>
                      <w:tab w:val="left" w:pos="3225"/>
                    </w:tabs>
                    <w:spacing w:line="240" w:lineRule="exact"/>
                    <w:jc w:val="center"/>
                    <w:rPr>
                      <w:rFonts w:hint="eastAsia"/>
                      <w:color w:val="0000FF"/>
                      <w:szCs w:val="21"/>
                      <w:lang w:val="en-US" w:eastAsia="zh-CN"/>
                    </w:rPr>
                  </w:pPr>
                  <w:r>
                    <w:rPr>
                      <w:rFonts w:hint="eastAsia"/>
                      <w:color w:val="auto"/>
                      <w:szCs w:val="21"/>
                      <w:u w:val="none"/>
                      <w:lang w:val="en-US" w:eastAsia="zh-CN"/>
                    </w:rPr>
                    <w:t>2号仓库危险化学品隔间C（C1碱储间）</w:t>
                  </w:r>
                </w:p>
              </w:tc>
              <w:tc>
                <w:tcPr>
                  <w:tcW w:w="540" w:type="dxa"/>
                  <w:vMerge w:val="continue"/>
                  <w:noWrap w:val="0"/>
                  <w:vAlign w:val="center"/>
                </w:tcPr>
                <w:p w14:paraId="45C638DC">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48CC4844">
                  <w:pPr>
                    <w:tabs>
                      <w:tab w:val="left" w:pos="3225"/>
                    </w:tabs>
                    <w:spacing w:line="240" w:lineRule="exact"/>
                    <w:jc w:val="center"/>
                    <w:rPr>
                      <w:rFonts w:hint="eastAsia"/>
                      <w:color w:val="0000FF"/>
                      <w:szCs w:val="21"/>
                      <w:lang w:eastAsia="zh-CN"/>
                    </w:rPr>
                  </w:pPr>
                </w:p>
              </w:tc>
            </w:tr>
            <w:tr w14:paraId="1E33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1BA443F">
                  <w:pPr>
                    <w:tabs>
                      <w:tab w:val="left" w:pos="3225"/>
                    </w:tabs>
                    <w:spacing w:line="240" w:lineRule="exact"/>
                    <w:jc w:val="center"/>
                    <w:rPr>
                      <w:rFonts w:hint="default"/>
                      <w:color w:val="auto"/>
                      <w:szCs w:val="21"/>
                      <w:lang w:val="en-US" w:eastAsia="zh-CN"/>
                    </w:rPr>
                  </w:pPr>
                  <w:r>
                    <w:rPr>
                      <w:rFonts w:hint="eastAsia"/>
                      <w:color w:val="auto"/>
                      <w:szCs w:val="21"/>
                      <w:lang w:val="en-US" w:eastAsia="zh-CN"/>
                    </w:rPr>
                    <w:t>44</w:t>
                  </w:r>
                </w:p>
              </w:tc>
              <w:tc>
                <w:tcPr>
                  <w:tcW w:w="1585" w:type="dxa"/>
                  <w:noWrap w:val="0"/>
                  <w:vAlign w:val="center"/>
                </w:tcPr>
                <w:p w14:paraId="008ADFA1">
                  <w:pPr>
                    <w:tabs>
                      <w:tab w:val="left" w:pos="3225"/>
                    </w:tabs>
                    <w:spacing w:line="240" w:lineRule="auto"/>
                    <w:jc w:val="center"/>
                    <w:rPr>
                      <w:rFonts w:hint="default"/>
                      <w:color w:val="auto"/>
                      <w:szCs w:val="21"/>
                      <w:lang w:val="en-US" w:eastAsia="zh-CN"/>
                    </w:rPr>
                  </w:pPr>
                  <w:r>
                    <w:rPr>
                      <w:rFonts w:hint="eastAsia"/>
                      <w:color w:val="auto"/>
                      <w:szCs w:val="21"/>
                      <w:lang w:val="en-US" w:eastAsia="zh-CN"/>
                    </w:rPr>
                    <w:t>氢氧化钾溶液[含量≥30%]</w:t>
                  </w:r>
                </w:p>
              </w:tc>
              <w:tc>
                <w:tcPr>
                  <w:tcW w:w="615" w:type="dxa"/>
                  <w:noWrap w:val="0"/>
                  <w:vAlign w:val="center"/>
                </w:tcPr>
                <w:p w14:paraId="1AA43B17">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30CDACF9">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628E38AD">
                  <w:pPr>
                    <w:tabs>
                      <w:tab w:val="left" w:pos="3225"/>
                    </w:tabs>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2A4EC4E9">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0F96502C">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ADF4CCF">
                  <w:pPr>
                    <w:spacing w:line="240" w:lineRule="exact"/>
                    <w:jc w:val="center"/>
                    <w:rPr>
                      <w:rFonts w:hint="eastAsia"/>
                      <w:color w:val="0000FF"/>
                      <w:szCs w:val="21"/>
                      <w:lang w:val="en-US" w:eastAsia="zh-CN"/>
                    </w:rPr>
                  </w:pPr>
                </w:p>
              </w:tc>
              <w:tc>
                <w:tcPr>
                  <w:tcW w:w="540" w:type="dxa"/>
                  <w:vMerge w:val="continue"/>
                  <w:noWrap w:val="0"/>
                  <w:vAlign w:val="center"/>
                </w:tcPr>
                <w:p w14:paraId="0DBBAD43">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D4660C5">
                  <w:pPr>
                    <w:tabs>
                      <w:tab w:val="left" w:pos="3225"/>
                    </w:tabs>
                    <w:spacing w:line="240" w:lineRule="exact"/>
                    <w:jc w:val="center"/>
                    <w:rPr>
                      <w:rFonts w:hint="eastAsia"/>
                      <w:color w:val="0000FF"/>
                      <w:szCs w:val="21"/>
                      <w:lang w:eastAsia="zh-CN"/>
                    </w:rPr>
                  </w:pPr>
                </w:p>
              </w:tc>
            </w:tr>
            <w:tr w14:paraId="7C0C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EEFE781">
                  <w:pPr>
                    <w:tabs>
                      <w:tab w:val="left" w:pos="3225"/>
                    </w:tabs>
                    <w:spacing w:line="240" w:lineRule="exact"/>
                    <w:jc w:val="center"/>
                    <w:rPr>
                      <w:rFonts w:hint="default"/>
                      <w:color w:val="auto"/>
                      <w:szCs w:val="21"/>
                      <w:lang w:val="en-US" w:eastAsia="zh-CN"/>
                    </w:rPr>
                  </w:pPr>
                  <w:r>
                    <w:rPr>
                      <w:rFonts w:hint="eastAsia"/>
                      <w:color w:val="auto"/>
                      <w:szCs w:val="21"/>
                      <w:lang w:val="en-US" w:eastAsia="zh-CN"/>
                    </w:rPr>
                    <w:t>45</w:t>
                  </w:r>
                </w:p>
              </w:tc>
              <w:tc>
                <w:tcPr>
                  <w:tcW w:w="1585" w:type="dxa"/>
                  <w:noWrap w:val="0"/>
                  <w:vAlign w:val="center"/>
                </w:tcPr>
                <w:p w14:paraId="6A18536C">
                  <w:pPr>
                    <w:tabs>
                      <w:tab w:val="left" w:pos="3225"/>
                    </w:tabs>
                    <w:spacing w:line="240" w:lineRule="auto"/>
                    <w:jc w:val="center"/>
                    <w:rPr>
                      <w:rFonts w:hint="default"/>
                      <w:color w:val="auto"/>
                      <w:szCs w:val="21"/>
                      <w:lang w:val="en-US" w:eastAsia="zh-CN"/>
                    </w:rPr>
                  </w:pPr>
                  <w:r>
                    <w:rPr>
                      <w:rFonts w:hint="eastAsia"/>
                      <w:color w:val="auto"/>
                      <w:szCs w:val="21"/>
                      <w:lang w:val="en-US" w:eastAsia="zh-CN"/>
                    </w:rPr>
                    <w:t>氢氧化锂</w:t>
                  </w:r>
                </w:p>
              </w:tc>
              <w:tc>
                <w:tcPr>
                  <w:tcW w:w="615" w:type="dxa"/>
                  <w:noWrap w:val="0"/>
                  <w:vAlign w:val="center"/>
                </w:tcPr>
                <w:p w14:paraId="6DF7E2BB">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35DA0E10">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32110F08">
                  <w:pPr>
                    <w:tabs>
                      <w:tab w:val="left" w:pos="3225"/>
                    </w:tabs>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1B6A0B3B">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09C49CCE">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115452C0">
                  <w:pPr>
                    <w:spacing w:line="240" w:lineRule="exact"/>
                    <w:jc w:val="center"/>
                    <w:rPr>
                      <w:rFonts w:hint="eastAsia"/>
                      <w:color w:val="0000FF"/>
                      <w:szCs w:val="21"/>
                      <w:lang w:val="en-US" w:eastAsia="zh-CN"/>
                    </w:rPr>
                  </w:pPr>
                </w:p>
              </w:tc>
              <w:tc>
                <w:tcPr>
                  <w:tcW w:w="540" w:type="dxa"/>
                  <w:vMerge w:val="continue"/>
                  <w:noWrap w:val="0"/>
                  <w:vAlign w:val="center"/>
                </w:tcPr>
                <w:p w14:paraId="6C3A4827">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178538A">
                  <w:pPr>
                    <w:tabs>
                      <w:tab w:val="left" w:pos="3225"/>
                    </w:tabs>
                    <w:spacing w:line="240" w:lineRule="exact"/>
                    <w:jc w:val="center"/>
                    <w:rPr>
                      <w:rFonts w:hint="eastAsia"/>
                      <w:color w:val="0000FF"/>
                      <w:szCs w:val="21"/>
                      <w:lang w:eastAsia="zh-CN"/>
                    </w:rPr>
                  </w:pPr>
                </w:p>
              </w:tc>
            </w:tr>
            <w:tr w14:paraId="0AA4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6DD8917">
                  <w:pPr>
                    <w:tabs>
                      <w:tab w:val="left" w:pos="3225"/>
                    </w:tabs>
                    <w:spacing w:line="240" w:lineRule="exact"/>
                    <w:jc w:val="center"/>
                    <w:rPr>
                      <w:rFonts w:hint="default"/>
                      <w:color w:val="auto"/>
                      <w:szCs w:val="21"/>
                      <w:lang w:val="en-US" w:eastAsia="zh-CN"/>
                    </w:rPr>
                  </w:pPr>
                  <w:r>
                    <w:rPr>
                      <w:rFonts w:hint="eastAsia"/>
                      <w:color w:val="auto"/>
                      <w:szCs w:val="21"/>
                      <w:lang w:val="en-US" w:eastAsia="zh-CN"/>
                    </w:rPr>
                    <w:t>46</w:t>
                  </w:r>
                </w:p>
              </w:tc>
              <w:tc>
                <w:tcPr>
                  <w:tcW w:w="1585" w:type="dxa"/>
                  <w:noWrap w:val="0"/>
                  <w:vAlign w:val="center"/>
                </w:tcPr>
                <w:p w14:paraId="24259F61">
                  <w:pPr>
                    <w:tabs>
                      <w:tab w:val="left" w:pos="3225"/>
                    </w:tabs>
                    <w:spacing w:line="240" w:lineRule="auto"/>
                    <w:jc w:val="center"/>
                    <w:rPr>
                      <w:rFonts w:hint="default"/>
                      <w:color w:val="auto"/>
                      <w:szCs w:val="21"/>
                      <w:lang w:val="en-US" w:eastAsia="zh-CN"/>
                    </w:rPr>
                  </w:pPr>
                  <w:r>
                    <w:rPr>
                      <w:rFonts w:hint="eastAsia"/>
                      <w:color w:val="auto"/>
                      <w:szCs w:val="21"/>
                      <w:lang w:val="en-US" w:eastAsia="zh-CN"/>
                    </w:rPr>
                    <w:t>氢氧化锂溶液</w:t>
                  </w:r>
                </w:p>
              </w:tc>
              <w:tc>
                <w:tcPr>
                  <w:tcW w:w="615" w:type="dxa"/>
                  <w:noWrap w:val="0"/>
                  <w:vAlign w:val="center"/>
                </w:tcPr>
                <w:p w14:paraId="047F2480">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1840D9A7">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2EC3928F">
                  <w:pPr>
                    <w:tabs>
                      <w:tab w:val="left" w:pos="3225"/>
                    </w:tabs>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7E28B89F">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4AB7B46F">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6982BF7F">
                  <w:pPr>
                    <w:spacing w:line="240" w:lineRule="exact"/>
                    <w:jc w:val="center"/>
                    <w:rPr>
                      <w:rFonts w:hint="eastAsia"/>
                      <w:color w:val="0000FF"/>
                      <w:szCs w:val="21"/>
                      <w:lang w:val="en-US" w:eastAsia="zh-CN"/>
                    </w:rPr>
                  </w:pPr>
                </w:p>
              </w:tc>
              <w:tc>
                <w:tcPr>
                  <w:tcW w:w="540" w:type="dxa"/>
                  <w:vMerge w:val="continue"/>
                  <w:noWrap w:val="0"/>
                  <w:vAlign w:val="center"/>
                </w:tcPr>
                <w:p w14:paraId="330FF54B">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0450F103">
                  <w:pPr>
                    <w:tabs>
                      <w:tab w:val="left" w:pos="3225"/>
                    </w:tabs>
                    <w:spacing w:line="240" w:lineRule="exact"/>
                    <w:jc w:val="center"/>
                    <w:rPr>
                      <w:rFonts w:hint="eastAsia"/>
                      <w:color w:val="0000FF"/>
                      <w:szCs w:val="21"/>
                      <w:lang w:eastAsia="zh-CN"/>
                    </w:rPr>
                  </w:pPr>
                </w:p>
              </w:tc>
            </w:tr>
            <w:tr w14:paraId="1523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CDD7F34">
                  <w:pPr>
                    <w:tabs>
                      <w:tab w:val="left" w:pos="3225"/>
                    </w:tabs>
                    <w:spacing w:line="240" w:lineRule="exact"/>
                    <w:jc w:val="center"/>
                    <w:rPr>
                      <w:rFonts w:hint="default"/>
                      <w:color w:val="auto"/>
                      <w:szCs w:val="21"/>
                      <w:lang w:val="en-US" w:eastAsia="zh-CN"/>
                    </w:rPr>
                  </w:pPr>
                  <w:r>
                    <w:rPr>
                      <w:rFonts w:hint="eastAsia"/>
                      <w:color w:val="auto"/>
                      <w:szCs w:val="21"/>
                      <w:lang w:val="en-US" w:eastAsia="zh-CN"/>
                    </w:rPr>
                    <w:t>47</w:t>
                  </w:r>
                </w:p>
              </w:tc>
              <w:tc>
                <w:tcPr>
                  <w:tcW w:w="1585" w:type="dxa"/>
                  <w:noWrap w:val="0"/>
                  <w:vAlign w:val="center"/>
                </w:tcPr>
                <w:p w14:paraId="58E670FE">
                  <w:pPr>
                    <w:tabs>
                      <w:tab w:val="left" w:pos="3225"/>
                    </w:tabs>
                    <w:spacing w:line="240" w:lineRule="auto"/>
                    <w:jc w:val="center"/>
                    <w:rPr>
                      <w:rFonts w:hint="default"/>
                      <w:color w:val="auto"/>
                      <w:szCs w:val="21"/>
                      <w:lang w:val="en-US" w:eastAsia="zh-CN"/>
                    </w:rPr>
                  </w:pPr>
                  <w:r>
                    <w:rPr>
                      <w:rFonts w:hint="eastAsia"/>
                      <w:color w:val="auto"/>
                      <w:szCs w:val="21"/>
                      <w:lang w:val="en-US" w:eastAsia="zh-CN"/>
                    </w:rPr>
                    <w:t>氢氧化钠</w:t>
                  </w:r>
                </w:p>
              </w:tc>
              <w:tc>
                <w:tcPr>
                  <w:tcW w:w="615" w:type="dxa"/>
                  <w:noWrap w:val="0"/>
                  <w:vAlign w:val="center"/>
                </w:tcPr>
                <w:p w14:paraId="758739FA">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2F595C98">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5A5726E3">
                  <w:pPr>
                    <w:tabs>
                      <w:tab w:val="left" w:pos="3225"/>
                    </w:tabs>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0797C38B">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20E17C2C">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6A5DB5BE">
                  <w:pPr>
                    <w:spacing w:line="240" w:lineRule="exact"/>
                    <w:jc w:val="center"/>
                    <w:rPr>
                      <w:rFonts w:hint="eastAsia"/>
                      <w:color w:val="0000FF"/>
                      <w:szCs w:val="21"/>
                      <w:lang w:val="en-US" w:eastAsia="zh-CN"/>
                    </w:rPr>
                  </w:pPr>
                </w:p>
              </w:tc>
              <w:tc>
                <w:tcPr>
                  <w:tcW w:w="540" w:type="dxa"/>
                  <w:vMerge w:val="continue"/>
                  <w:noWrap w:val="0"/>
                  <w:vAlign w:val="center"/>
                </w:tcPr>
                <w:p w14:paraId="6F451A12">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030F9702">
                  <w:pPr>
                    <w:tabs>
                      <w:tab w:val="left" w:pos="3225"/>
                    </w:tabs>
                    <w:spacing w:line="240" w:lineRule="exact"/>
                    <w:jc w:val="center"/>
                    <w:rPr>
                      <w:rFonts w:hint="eastAsia"/>
                      <w:color w:val="0000FF"/>
                      <w:szCs w:val="21"/>
                      <w:lang w:eastAsia="zh-CN"/>
                    </w:rPr>
                  </w:pPr>
                </w:p>
              </w:tc>
            </w:tr>
            <w:tr w14:paraId="1A94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9617218">
                  <w:pPr>
                    <w:tabs>
                      <w:tab w:val="left" w:pos="3225"/>
                    </w:tabs>
                    <w:spacing w:line="240" w:lineRule="exact"/>
                    <w:jc w:val="center"/>
                    <w:rPr>
                      <w:rFonts w:hint="default"/>
                      <w:color w:val="auto"/>
                      <w:szCs w:val="21"/>
                      <w:lang w:val="en-US" w:eastAsia="zh-CN"/>
                    </w:rPr>
                  </w:pPr>
                  <w:r>
                    <w:rPr>
                      <w:rFonts w:hint="eastAsia"/>
                      <w:color w:val="auto"/>
                      <w:szCs w:val="21"/>
                      <w:lang w:val="en-US" w:eastAsia="zh-CN"/>
                    </w:rPr>
                    <w:t>48</w:t>
                  </w:r>
                </w:p>
              </w:tc>
              <w:tc>
                <w:tcPr>
                  <w:tcW w:w="1585" w:type="dxa"/>
                  <w:noWrap w:val="0"/>
                  <w:vAlign w:val="center"/>
                </w:tcPr>
                <w:p w14:paraId="4BD8292B">
                  <w:pPr>
                    <w:tabs>
                      <w:tab w:val="left" w:pos="3225"/>
                    </w:tabs>
                    <w:spacing w:line="240" w:lineRule="auto"/>
                    <w:jc w:val="center"/>
                    <w:rPr>
                      <w:rFonts w:hint="default"/>
                      <w:color w:val="auto"/>
                      <w:szCs w:val="21"/>
                      <w:lang w:val="en-US" w:eastAsia="zh-CN"/>
                    </w:rPr>
                  </w:pPr>
                  <w:r>
                    <w:rPr>
                      <w:rFonts w:hint="eastAsia"/>
                      <w:color w:val="auto"/>
                      <w:szCs w:val="21"/>
                      <w:lang w:val="en-US" w:eastAsia="zh-CN"/>
                    </w:rPr>
                    <w:t>氢氧化钠溶液[含量≥30%]</w:t>
                  </w:r>
                </w:p>
              </w:tc>
              <w:tc>
                <w:tcPr>
                  <w:tcW w:w="615" w:type="dxa"/>
                  <w:noWrap w:val="0"/>
                  <w:vAlign w:val="center"/>
                </w:tcPr>
                <w:p w14:paraId="7DFE82E9">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0CDF081E">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5214A798">
                  <w:pPr>
                    <w:tabs>
                      <w:tab w:val="left" w:pos="3225"/>
                    </w:tabs>
                    <w:spacing w:line="240" w:lineRule="auto"/>
                    <w:jc w:val="center"/>
                    <w:rPr>
                      <w:rFonts w:hint="default"/>
                      <w:color w:val="auto"/>
                      <w:szCs w:val="21"/>
                      <w:lang w:val="en-US" w:eastAsia="zh-CN"/>
                    </w:rPr>
                  </w:pPr>
                  <w:r>
                    <w:rPr>
                      <w:rFonts w:hint="eastAsia"/>
                      <w:color w:val="auto"/>
                      <w:szCs w:val="21"/>
                      <w:lang w:val="en-US" w:eastAsia="zh-CN"/>
                    </w:rPr>
                    <w:t>150</w:t>
                  </w:r>
                </w:p>
              </w:tc>
              <w:tc>
                <w:tcPr>
                  <w:tcW w:w="945" w:type="dxa"/>
                  <w:noWrap w:val="0"/>
                  <w:vAlign w:val="center"/>
                </w:tcPr>
                <w:p w14:paraId="4C8D1C47">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69673CFC">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498B8618">
                  <w:pPr>
                    <w:spacing w:line="240" w:lineRule="exact"/>
                    <w:jc w:val="center"/>
                    <w:rPr>
                      <w:rFonts w:hint="eastAsia"/>
                      <w:color w:val="0000FF"/>
                      <w:szCs w:val="21"/>
                      <w:lang w:val="en-US" w:eastAsia="zh-CN"/>
                    </w:rPr>
                  </w:pPr>
                </w:p>
              </w:tc>
              <w:tc>
                <w:tcPr>
                  <w:tcW w:w="540" w:type="dxa"/>
                  <w:vMerge w:val="continue"/>
                  <w:noWrap w:val="0"/>
                  <w:vAlign w:val="center"/>
                </w:tcPr>
                <w:p w14:paraId="57B2D5BF">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6CC84803">
                  <w:pPr>
                    <w:tabs>
                      <w:tab w:val="left" w:pos="3225"/>
                    </w:tabs>
                    <w:spacing w:line="240" w:lineRule="exact"/>
                    <w:jc w:val="center"/>
                    <w:rPr>
                      <w:rFonts w:hint="eastAsia"/>
                      <w:color w:val="0000FF"/>
                      <w:szCs w:val="21"/>
                      <w:lang w:eastAsia="zh-CN"/>
                    </w:rPr>
                  </w:pPr>
                </w:p>
              </w:tc>
            </w:tr>
            <w:tr w14:paraId="0527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7F90C15">
                  <w:pPr>
                    <w:tabs>
                      <w:tab w:val="left" w:pos="3225"/>
                    </w:tabs>
                    <w:spacing w:line="240" w:lineRule="exact"/>
                    <w:jc w:val="center"/>
                    <w:rPr>
                      <w:rFonts w:hint="default"/>
                      <w:color w:val="auto"/>
                      <w:szCs w:val="21"/>
                      <w:lang w:val="en-US" w:eastAsia="zh-CN"/>
                    </w:rPr>
                  </w:pPr>
                  <w:r>
                    <w:rPr>
                      <w:rFonts w:hint="eastAsia"/>
                      <w:color w:val="auto"/>
                      <w:szCs w:val="21"/>
                      <w:lang w:val="en-US" w:eastAsia="zh-CN"/>
                    </w:rPr>
                    <w:t>49</w:t>
                  </w:r>
                </w:p>
              </w:tc>
              <w:tc>
                <w:tcPr>
                  <w:tcW w:w="1585" w:type="dxa"/>
                  <w:noWrap w:val="0"/>
                  <w:vAlign w:val="center"/>
                </w:tcPr>
                <w:p w14:paraId="4D5BDA42">
                  <w:pPr>
                    <w:tabs>
                      <w:tab w:val="left" w:pos="3225"/>
                    </w:tabs>
                    <w:spacing w:line="240" w:lineRule="auto"/>
                    <w:jc w:val="center"/>
                    <w:rPr>
                      <w:rFonts w:hint="default"/>
                      <w:color w:val="auto"/>
                      <w:szCs w:val="21"/>
                      <w:lang w:val="en-US" w:eastAsia="zh-CN"/>
                    </w:rPr>
                  </w:pPr>
                  <w:r>
                    <w:rPr>
                      <w:rFonts w:hint="eastAsia"/>
                      <w:color w:val="auto"/>
                      <w:szCs w:val="21"/>
                      <w:lang w:val="en-US" w:eastAsia="zh-CN"/>
                    </w:rPr>
                    <w:t>盐酸</w:t>
                  </w:r>
                </w:p>
              </w:tc>
              <w:tc>
                <w:tcPr>
                  <w:tcW w:w="615" w:type="dxa"/>
                  <w:noWrap w:val="0"/>
                  <w:vAlign w:val="center"/>
                </w:tcPr>
                <w:p w14:paraId="403FB09F">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2A9ECF92">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408BD4A7">
                  <w:pPr>
                    <w:tabs>
                      <w:tab w:val="left" w:pos="3225"/>
                    </w:tabs>
                    <w:spacing w:line="240" w:lineRule="auto"/>
                    <w:jc w:val="center"/>
                    <w:rPr>
                      <w:rFonts w:hint="default"/>
                      <w:color w:val="auto"/>
                      <w:szCs w:val="21"/>
                      <w:lang w:val="en-US" w:eastAsia="zh-CN"/>
                    </w:rPr>
                  </w:pPr>
                  <w:r>
                    <w:rPr>
                      <w:rFonts w:hint="eastAsia"/>
                      <w:color w:val="auto"/>
                      <w:szCs w:val="21"/>
                      <w:lang w:val="en-US" w:eastAsia="zh-CN"/>
                    </w:rPr>
                    <w:t>300</w:t>
                  </w:r>
                </w:p>
              </w:tc>
              <w:tc>
                <w:tcPr>
                  <w:tcW w:w="945" w:type="dxa"/>
                  <w:noWrap w:val="0"/>
                  <w:vAlign w:val="center"/>
                </w:tcPr>
                <w:p w14:paraId="4893BEF5">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5DDF1F24">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75EEDB1D">
                  <w:pPr>
                    <w:tabs>
                      <w:tab w:val="left" w:pos="3225"/>
                    </w:tabs>
                    <w:spacing w:line="240" w:lineRule="exact"/>
                    <w:jc w:val="center"/>
                    <w:rPr>
                      <w:rFonts w:hint="eastAsia"/>
                      <w:color w:val="0000FF"/>
                      <w:szCs w:val="21"/>
                      <w:lang w:val="en-US" w:eastAsia="zh-CN"/>
                    </w:rPr>
                  </w:pPr>
                  <w:r>
                    <w:rPr>
                      <w:rFonts w:hint="eastAsia"/>
                      <w:color w:val="auto"/>
                      <w:szCs w:val="21"/>
                      <w:u w:val="none"/>
                      <w:lang w:val="en-US" w:eastAsia="zh-CN"/>
                    </w:rPr>
                    <w:t>2号仓库危险化学品隔间C（C2酸储间）</w:t>
                  </w:r>
                </w:p>
              </w:tc>
              <w:tc>
                <w:tcPr>
                  <w:tcW w:w="540" w:type="dxa"/>
                  <w:vMerge w:val="continue"/>
                  <w:noWrap w:val="0"/>
                  <w:vAlign w:val="center"/>
                </w:tcPr>
                <w:p w14:paraId="4047AB51">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664DD0A4">
                  <w:pPr>
                    <w:tabs>
                      <w:tab w:val="left" w:pos="3225"/>
                    </w:tabs>
                    <w:spacing w:line="240" w:lineRule="exact"/>
                    <w:jc w:val="center"/>
                    <w:rPr>
                      <w:rFonts w:hint="eastAsia"/>
                      <w:color w:val="0000FF"/>
                      <w:szCs w:val="21"/>
                      <w:lang w:eastAsia="zh-CN"/>
                    </w:rPr>
                  </w:pPr>
                </w:p>
              </w:tc>
            </w:tr>
            <w:tr w14:paraId="5CD9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D052839">
                  <w:pPr>
                    <w:tabs>
                      <w:tab w:val="left" w:pos="3225"/>
                    </w:tabs>
                    <w:spacing w:line="240" w:lineRule="exact"/>
                    <w:jc w:val="center"/>
                    <w:rPr>
                      <w:rFonts w:hint="default"/>
                      <w:color w:val="auto"/>
                      <w:szCs w:val="21"/>
                      <w:lang w:val="en-US" w:eastAsia="zh-CN"/>
                    </w:rPr>
                  </w:pPr>
                  <w:r>
                    <w:rPr>
                      <w:rFonts w:hint="eastAsia"/>
                      <w:color w:val="auto"/>
                      <w:szCs w:val="21"/>
                      <w:lang w:val="en-US" w:eastAsia="zh-CN"/>
                    </w:rPr>
                    <w:t>50</w:t>
                  </w:r>
                </w:p>
              </w:tc>
              <w:tc>
                <w:tcPr>
                  <w:tcW w:w="1585" w:type="dxa"/>
                  <w:noWrap w:val="0"/>
                  <w:vAlign w:val="center"/>
                </w:tcPr>
                <w:p w14:paraId="2E21E421">
                  <w:pPr>
                    <w:tabs>
                      <w:tab w:val="left" w:pos="3225"/>
                    </w:tabs>
                    <w:spacing w:line="240" w:lineRule="auto"/>
                    <w:jc w:val="center"/>
                    <w:rPr>
                      <w:rFonts w:hint="default"/>
                      <w:color w:val="auto"/>
                      <w:szCs w:val="21"/>
                      <w:lang w:val="en-US" w:eastAsia="zh-CN"/>
                    </w:rPr>
                  </w:pPr>
                  <w:r>
                    <w:rPr>
                      <w:rFonts w:hint="eastAsia"/>
                      <w:color w:val="auto"/>
                      <w:szCs w:val="21"/>
                      <w:lang w:val="en-US" w:eastAsia="zh-CN"/>
                    </w:rPr>
                    <w:t>正磷酸</w:t>
                  </w:r>
                </w:p>
              </w:tc>
              <w:tc>
                <w:tcPr>
                  <w:tcW w:w="615" w:type="dxa"/>
                  <w:noWrap w:val="0"/>
                  <w:vAlign w:val="center"/>
                </w:tcPr>
                <w:p w14:paraId="7764F765">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5697AA2A">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528E78C6">
                  <w:pPr>
                    <w:tabs>
                      <w:tab w:val="left" w:pos="3225"/>
                    </w:tabs>
                    <w:spacing w:line="240" w:lineRule="auto"/>
                    <w:jc w:val="center"/>
                    <w:rPr>
                      <w:rFonts w:hint="default"/>
                      <w:color w:val="auto"/>
                      <w:szCs w:val="21"/>
                      <w:lang w:val="en-US" w:eastAsia="zh-CN"/>
                    </w:rPr>
                  </w:pPr>
                  <w:r>
                    <w:rPr>
                      <w:rFonts w:hint="eastAsia"/>
                      <w:color w:val="auto"/>
                      <w:szCs w:val="21"/>
                      <w:lang w:val="en-US" w:eastAsia="zh-CN"/>
                    </w:rPr>
                    <w:t>300</w:t>
                  </w:r>
                </w:p>
              </w:tc>
              <w:tc>
                <w:tcPr>
                  <w:tcW w:w="945" w:type="dxa"/>
                  <w:noWrap w:val="0"/>
                  <w:vAlign w:val="center"/>
                </w:tcPr>
                <w:p w14:paraId="379866C1">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38224693">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991A9C2">
                  <w:pPr>
                    <w:spacing w:line="240" w:lineRule="exact"/>
                    <w:jc w:val="center"/>
                    <w:rPr>
                      <w:rFonts w:hint="eastAsia"/>
                      <w:color w:val="0000FF"/>
                      <w:szCs w:val="21"/>
                      <w:lang w:val="en-US" w:eastAsia="zh-CN"/>
                    </w:rPr>
                  </w:pPr>
                </w:p>
              </w:tc>
              <w:tc>
                <w:tcPr>
                  <w:tcW w:w="540" w:type="dxa"/>
                  <w:vMerge w:val="continue"/>
                  <w:noWrap w:val="0"/>
                  <w:vAlign w:val="center"/>
                </w:tcPr>
                <w:p w14:paraId="39157BA1">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6438ED3">
                  <w:pPr>
                    <w:tabs>
                      <w:tab w:val="left" w:pos="3225"/>
                    </w:tabs>
                    <w:spacing w:line="240" w:lineRule="exact"/>
                    <w:jc w:val="center"/>
                    <w:rPr>
                      <w:rFonts w:hint="eastAsia"/>
                      <w:color w:val="0000FF"/>
                      <w:szCs w:val="21"/>
                      <w:lang w:eastAsia="zh-CN"/>
                    </w:rPr>
                  </w:pPr>
                </w:p>
              </w:tc>
            </w:tr>
            <w:tr w14:paraId="2589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D146750">
                  <w:pPr>
                    <w:tabs>
                      <w:tab w:val="left" w:pos="3225"/>
                    </w:tabs>
                    <w:spacing w:line="240" w:lineRule="exact"/>
                    <w:jc w:val="center"/>
                    <w:rPr>
                      <w:rFonts w:hint="default"/>
                      <w:color w:val="auto"/>
                      <w:szCs w:val="21"/>
                      <w:lang w:val="en-US" w:eastAsia="zh-CN"/>
                    </w:rPr>
                  </w:pPr>
                  <w:r>
                    <w:rPr>
                      <w:rFonts w:hint="eastAsia"/>
                      <w:color w:val="auto"/>
                      <w:szCs w:val="21"/>
                      <w:lang w:val="en-US" w:eastAsia="zh-CN"/>
                    </w:rPr>
                    <w:t>51</w:t>
                  </w:r>
                </w:p>
              </w:tc>
              <w:tc>
                <w:tcPr>
                  <w:tcW w:w="1585" w:type="dxa"/>
                  <w:noWrap w:val="0"/>
                  <w:vAlign w:val="center"/>
                </w:tcPr>
                <w:p w14:paraId="081C5A10">
                  <w:pPr>
                    <w:tabs>
                      <w:tab w:val="left" w:pos="3225"/>
                    </w:tabs>
                    <w:spacing w:line="240" w:lineRule="auto"/>
                    <w:jc w:val="center"/>
                    <w:rPr>
                      <w:rFonts w:hint="default"/>
                      <w:color w:val="auto"/>
                      <w:szCs w:val="21"/>
                      <w:lang w:val="en-US" w:eastAsia="zh-CN"/>
                    </w:rPr>
                  </w:pPr>
                  <w:r>
                    <w:rPr>
                      <w:rFonts w:hint="eastAsia"/>
                      <w:color w:val="auto"/>
                      <w:szCs w:val="21"/>
                      <w:lang w:val="en-US" w:eastAsia="zh-CN"/>
                    </w:rPr>
                    <w:t>多聚磷酸</w:t>
                  </w:r>
                </w:p>
              </w:tc>
              <w:tc>
                <w:tcPr>
                  <w:tcW w:w="615" w:type="dxa"/>
                  <w:noWrap w:val="0"/>
                  <w:vAlign w:val="center"/>
                </w:tcPr>
                <w:p w14:paraId="323439D2">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4DE66022">
                  <w:pPr>
                    <w:spacing w:line="240" w:lineRule="auto"/>
                    <w:jc w:val="center"/>
                    <w:rPr>
                      <w:rFonts w:hint="default"/>
                      <w:color w:val="auto"/>
                      <w:szCs w:val="21"/>
                      <w:lang w:val="en-US" w:eastAsia="zh-CN"/>
                    </w:rPr>
                  </w:pPr>
                  <w:r>
                    <w:rPr>
                      <w:rFonts w:hint="eastAsia"/>
                      <w:color w:val="auto"/>
                      <w:szCs w:val="21"/>
                      <w:lang w:val="en-US" w:eastAsia="zh-CN"/>
                    </w:rPr>
                    <w:t>1500</w:t>
                  </w:r>
                </w:p>
              </w:tc>
              <w:tc>
                <w:tcPr>
                  <w:tcW w:w="825" w:type="dxa"/>
                  <w:noWrap w:val="0"/>
                  <w:vAlign w:val="center"/>
                </w:tcPr>
                <w:p w14:paraId="0E0EDEA5">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6CD378BA">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18E27E92">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FE4C6C1">
                  <w:pPr>
                    <w:spacing w:line="240" w:lineRule="exact"/>
                    <w:jc w:val="center"/>
                    <w:rPr>
                      <w:rFonts w:hint="eastAsia"/>
                      <w:color w:val="0000FF"/>
                      <w:szCs w:val="21"/>
                      <w:lang w:val="en-US" w:eastAsia="zh-CN"/>
                    </w:rPr>
                  </w:pPr>
                </w:p>
              </w:tc>
              <w:tc>
                <w:tcPr>
                  <w:tcW w:w="540" w:type="dxa"/>
                  <w:vMerge w:val="continue"/>
                  <w:noWrap w:val="0"/>
                  <w:vAlign w:val="center"/>
                </w:tcPr>
                <w:p w14:paraId="268FAEA2">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5869978">
                  <w:pPr>
                    <w:tabs>
                      <w:tab w:val="left" w:pos="3225"/>
                    </w:tabs>
                    <w:spacing w:line="240" w:lineRule="exact"/>
                    <w:jc w:val="center"/>
                    <w:rPr>
                      <w:rFonts w:hint="eastAsia"/>
                      <w:color w:val="0000FF"/>
                      <w:szCs w:val="21"/>
                      <w:lang w:eastAsia="zh-CN"/>
                    </w:rPr>
                  </w:pPr>
                </w:p>
              </w:tc>
            </w:tr>
            <w:tr w14:paraId="1EC4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B3BCC01">
                  <w:pPr>
                    <w:tabs>
                      <w:tab w:val="left" w:pos="3225"/>
                    </w:tabs>
                    <w:spacing w:line="240" w:lineRule="exact"/>
                    <w:jc w:val="center"/>
                    <w:rPr>
                      <w:rFonts w:hint="default"/>
                      <w:color w:val="auto"/>
                      <w:szCs w:val="21"/>
                      <w:lang w:val="en-US" w:eastAsia="zh-CN"/>
                    </w:rPr>
                  </w:pPr>
                  <w:r>
                    <w:rPr>
                      <w:rFonts w:hint="eastAsia"/>
                      <w:color w:val="auto"/>
                      <w:szCs w:val="21"/>
                      <w:lang w:val="en-US" w:eastAsia="zh-CN"/>
                    </w:rPr>
                    <w:t>52</w:t>
                  </w:r>
                </w:p>
              </w:tc>
              <w:tc>
                <w:tcPr>
                  <w:tcW w:w="1585" w:type="dxa"/>
                  <w:noWrap w:val="0"/>
                  <w:vAlign w:val="center"/>
                </w:tcPr>
                <w:p w14:paraId="2E4AC82A">
                  <w:pPr>
                    <w:tabs>
                      <w:tab w:val="left" w:pos="3225"/>
                    </w:tabs>
                    <w:spacing w:line="240" w:lineRule="auto"/>
                    <w:jc w:val="center"/>
                    <w:rPr>
                      <w:rFonts w:hint="default"/>
                      <w:color w:val="auto"/>
                      <w:szCs w:val="21"/>
                      <w:lang w:val="en-US" w:eastAsia="zh-CN"/>
                    </w:rPr>
                  </w:pPr>
                  <w:r>
                    <w:rPr>
                      <w:rFonts w:hint="eastAsia"/>
                      <w:color w:val="auto"/>
                      <w:szCs w:val="21"/>
                      <w:lang w:val="en-US" w:eastAsia="zh-CN"/>
                    </w:rPr>
                    <w:t>硫酸镍</w:t>
                  </w:r>
                </w:p>
              </w:tc>
              <w:tc>
                <w:tcPr>
                  <w:tcW w:w="615" w:type="dxa"/>
                  <w:noWrap w:val="0"/>
                  <w:vAlign w:val="center"/>
                </w:tcPr>
                <w:p w14:paraId="59473F78">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1C5B3CC6">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649C6B95">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37CA23B4">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433D80BE">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6E935592">
                  <w:pPr>
                    <w:tabs>
                      <w:tab w:val="left" w:pos="3225"/>
                    </w:tabs>
                    <w:spacing w:line="240" w:lineRule="exact"/>
                    <w:jc w:val="center"/>
                    <w:rPr>
                      <w:rFonts w:hint="eastAsia"/>
                      <w:color w:val="0000FF"/>
                      <w:szCs w:val="21"/>
                      <w:lang w:val="en-US" w:eastAsia="zh-CN"/>
                    </w:rPr>
                  </w:pPr>
                  <w:r>
                    <w:rPr>
                      <w:rFonts w:hint="eastAsia"/>
                      <w:color w:val="auto"/>
                      <w:szCs w:val="21"/>
                      <w:u w:val="none"/>
                      <w:lang w:val="en-US" w:eastAsia="zh-CN"/>
                    </w:rPr>
                    <w:t>2号仓库危险化学品隔间C（C3毒害品储间）</w:t>
                  </w:r>
                </w:p>
              </w:tc>
              <w:tc>
                <w:tcPr>
                  <w:tcW w:w="540" w:type="dxa"/>
                  <w:vMerge w:val="continue"/>
                  <w:noWrap w:val="0"/>
                  <w:vAlign w:val="center"/>
                </w:tcPr>
                <w:p w14:paraId="4043B7B6">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1A492C4A">
                  <w:pPr>
                    <w:tabs>
                      <w:tab w:val="left" w:pos="3225"/>
                    </w:tabs>
                    <w:spacing w:line="240" w:lineRule="exact"/>
                    <w:jc w:val="center"/>
                    <w:rPr>
                      <w:rFonts w:hint="eastAsia"/>
                      <w:color w:val="0000FF"/>
                      <w:szCs w:val="21"/>
                      <w:lang w:eastAsia="zh-CN"/>
                    </w:rPr>
                  </w:pPr>
                </w:p>
              </w:tc>
            </w:tr>
            <w:tr w14:paraId="4C23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5B53C95">
                  <w:pPr>
                    <w:tabs>
                      <w:tab w:val="left" w:pos="3225"/>
                    </w:tabs>
                    <w:spacing w:line="240" w:lineRule="exact"/>
                    <w:jc w:val="center"/>
                    <w:rPr>
                      <w:rFonts w:hint="default"/>
                      <w:color w:val="auto"/>
                      <w:szCs w:val="21"/>
                      <w:lang w:val="en-US" w:eastAsia="zh-CN"/>
                    </w:rPr>
                  </w:pPr>
                  <w:r>
                    <w:rPr>
                      <w:rFonts w:hint="eastAsia"/>
                      <w:color w:val="auto"/>
                      <w:szCs w:val="21"/>
                      <w:lang w:val="en-US" w:eastAsia="zh-CN"/>
                    </w:rPr>
                    <w:t>53</w:t>
                  </w:r>
                </w:p>
              </w:tc>
              <w:tc>
                <w:tcPr>
                  <w:tcW w:w="1585" w:type="dxa"/>
                  <w:noWrap w:val="0"/>
                  <w:vAlign w:val="center"/>
                </w:tcPr>
                <w:p w14:paraId="29A04CDF">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氟硅酸钾</w:t>
                  </w:r>
                </w:p>
              </w:tc>
              <w:tc>
                <w:tcPr>
                  <w:tcW w:w="615" w:type="dxa"/>
                  <w:noWrap w:val="0"/>
                  <w:vAlign w:val="center"/>
                </w:tcPr>
                <w:p w14:paraId="7455447D">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36D4AC9E">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4F6F54AB">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5C794A89">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4CDA452C">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95A0150">
                  <w:pPr>
                    <w:spacing w:line="240" w:lineRule="exact"/>
                    <w:jc w:val="center"/>
                    <w:rPr>
                      <w:rFonts w:hint="eastAsia"/>
                      <w:color w:val="0000FF"/>
                      <w:szCs w:val="21"/>
                      <w:lang w:val="en-US" w:eastAsia="zh-CN"/>
                    </w:rPr>
                  </w:pPr>
                </w:p>
              </w:tc>
              <w:tc>
                <w:tcPr>
                  <w:tcW w:w="540" w:type="dxa"/>
                  <w:vMerge w:val="continue"/>
                  <w:noWrap w:val="0"/>
                  <w:vAlign w:val="center"/>
                </w:tcPr>
                <w:p w14:paraId="01419C38">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57ADE6D">
                  <w:pPr>
                    <w:tabs>
                      <w:tab w:val="left" w:pos="3225"/>
                    </w:tabs>
                    <w:spacing w:line="240" w:lineRule="exact"/>
                    <w:jc w:val="center"/>
                    <w:rPr>
                      <w:rFonts w:hint="eastAsia"/>
                      <w:color w:val="0000FF"/>
                      <w:szCs w:val="21"/>
                      <w:lang w:eastAsia="zh-CN"/>
                    </w:rPr>
                  </w:pPr>
                </w:p>
              </w:tc>
            </w:tr>
            <w:tr w14:paraId="453E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A204160">
                  <w:pPr>
                    <w:tabs>
                      <w:tab w:val="left" w:pos="3225"/>
                    </w:tabs>
                    <w:spacing w:line="240" w:lineRule="exact"/>
                    <w:jc w:val="center"/>
                    <w:rPr>
                      <w:rFonts w:hint="default"/>
                      <w:color w:val="auto"/>
                      <w:szCs w:val="21"/>
                      <w:lang w:val="en-US" w:eastAsia="zh-CN"/>
                    </w:rPr>
                  </w:pPr>
                  <w:r>
                    <w:rPr>
                      <w:rFonts w:hint="eastAsia"/>
                      <w:color w:val="auto"/>
                      <w:szCs w:val="21"/>
                      <w:lang w:val="en-US" w:eastAsia="zh-CN"/>
                    </w:rPr>
                    <w:t>54</w:t>
                  </w:r>
                </w:p>
              </w:tc>
              <w:tc>
                <w:tcPr>
                  <w:tcW w:w="1585" w:type="dxa"/>
                  <w:noWrap w:val="0"/>
                  <w:vAlign w:val="center"/>
                </w:tcPr>
                <w:p w14:paraId="2B5939D6">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氟硅酸钠</w:t>
                  </w:r>
                </w:p>
              </w:tc>
              <w:tc>
                <w:tcPr>
                  <w:tcW w:w="615" w:type="dxa"/>
                  <w:noWrap w:val="0"/>
                  <w:vAlign w:val="center"/>
                </w:tcPr>
                <w:p w14:paraId="7C1884DD">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770D8BBD">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30424ED5">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61BD45F6">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754F1C79">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3C5DAF8">
                  <w:pPr>
                    <w:spacing w:line="240" w:lineRule="exact"/>
                    <w:jc w:val="center"/>
                    <w:rPr>
                      <w:rFonts w:hint="eastAsia"/>
                      <w:color w:val="0000FF"/>
                      <w:szCs w:val="21"/>
                      <w:lang w:val="en-US" w:eastAsia="zh-CN"/>
                    </w:rPr>
                  </w:pPr>
                </w:p>
              </w:tc>
              <w:tc>
                <w:tcPr>
                  <w:tcW w:w="540" w:type="dxa"/>
                  <w:vMerge w:val="continue"/>
                  <w:noWrap w:val="0"/>
                  <w:vAlign w:val="center"/>
                </w:tcPr>
                <w:p w14:paraId="2A7445B2">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6661530">
                  <w:pPr>
                    <w:tabs>
                      <w:tab w:val="left" w:pos="3225"/>
                    </w:tabs>
                    <w:spacing w:line="240" w:lineRule="exact"/>
                    <w:jc w:val="center"/>
                    <w:rPr>
                      <w:rFonts w:hint="eastAsia"/>
                      <w:color w:val="0000FF"/>
                      <w:szCs w:val="21"/>
                      <w:lang w:eastAsia="zh-CN"/>
                    </w:rPr>
                  </w:pPr>
                </w:p>
              </w:tc>
            </w:tr>
            <w:tr w14:paraId="7A2A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0F03A5A">
                  <w:pPr>
                    <w:tabs>
                      <w:tab w:val="left" w:pos="3225"/>
                    </w:tabs>
                    <w:spacing w:line="240" w:lineRule="exact"/>
                    <w:jc w:val="center"/>
                    <w:rPr>
                      <w:rFonts w:hint="default"/>
                      <w:color w:val="auto"/>
                      <w:szCs w:val="21"/>
                      <w:lang w:val="en-US" w:eastAsia="zh-CN"/>
                    </w:rPr>
                  </w:pPr>
                  <w:r>
                    <w:rPr>
                      <w:rFonts w:hint="eastAsia"/>
                      <w:color w:val="auto"/>
                      <w:szCs w:val="21"/>
                      <w:lang w:val="en-US" w:eastAsia="zh-CN"/>
                    </w:rPr>
                    <w:t>55</w:t>
                  </w:r>
                </w:p>
              </w:tc>
              <w:tc>
                <w:tcPr>
                  <w:tcW w:w="1585" w:type="dxa"/>
                  <w:noWrap w:val="0"/>
                  <w:vAlign w:val="center"/>
                </w:tcPr>
                <w:p w14:paraId="7A0EC23D">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氟化铵</w:t>
                  </w:r>
                </w:p>
              </w:tc>
              <w:tc>
                <w:tcPr>
                  <w:tcW w:w="615" w:type="dxa"/>
                  <w:noWrap w:val="0"/>
                  <w:vAlign w:val="center"/>
                </w:tcPr>
                <w:p w14:paraId="7FED7874">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30B07CBB">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10877805">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1F45B48C">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4C67D4D9">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F1AE0E4">
                  <w:pPr>
                    <w:spacing w:line="240" w:lineRule="exact"/>
                    <w:jc w:val="center"/>
                    <w:rPr>
                      <w:rFonts w:hint="eastAsia"/>
                      <w:color w:val="0000FF"/>
                      <w:szCs w:val="21"/>
                      <w:lang w:val="en-US" w:eastAsia="zh-CN"/>
                    </w:rPr>
                  </w:pPr>
                </w:p>
              </w:tc>
              <w:tc>
                <w:tcPr>
                  <w:tcW w:w="540" w:type="dxa"/>
                  <w:vMerge w:val="continue"/>
                  <w:noWrap w:val="0"/>
                  <w:vAlign w:val="center"/>
                </w:tcPr>
                <w:p w14:paraId="617FE90F">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F786EA4">
                  <w:pPr>
                    <w:tabs>
                      <w:tab w:val="left" w:pos="3225"/>
                    </w:tabs>
                    <w:spacing w:line="240" w:lineRule="exact"/>
                    <w:jc w:val="center"/>
                    <w:rPr>
                      <w:rFonts w:hint="eastAsia"/>
                      <w:color w:val="0000FF"/>
                      <w:szCs w:val="21"/>
                      <w:lang w:eastAsia="zh-CN"/>
                    </w:rPr>
                  </w:pPr>
                </w:p>
              </w:tc>
            </w:tr>
            <w:tr w14:paraId="24F5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CEAB6BF">
                  <w:pPr>
                    <w:tabs>
                      <w:tab w:val="left" w:pos="3225"/>
                    </w:tabs>
                    <w:spacing w:line="240" w:lineRule="exact"/>
                    <w:jc w:val="center"/>
                    <w:rPr>
                      <w:rFonts w:hint="default"/>
                      <w:color w:val="auto"/>
                      <w:szCs w:val="21"/>
                      <w:lang w:val="en-US" w:eastAsia="zh-CN"/>
                    </w:rPr>
                  </w:pPr>
                  <w:r>
                    <w:rPr>
                      <w:rFonts w:hint="eastAsia"/>
                      <w:color w:val="auto"/>
                      <w:szCs w:val="21"/>
                      <w:lang w:val="en-US" w:eastAsia="zh-CN"/>
                    </w:rPr>
                    <w:t>56</w:t>
                  </w:r>
                </w:p>
              </w:tc>
              <w:tc>
                <w:tcPr>
                  <w:tcW w:w="1585" w:type="dxa"/>
                  <w:noWrap w:val="0"/>
                  <w:vAlign w:val="center"/>
                </w:tcPr>
                <w:p w14:paraId="70B0C14C">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氟化钡</w:t>
                  </w:r>
                </w:p>
              </w:tc>
              <w:tc>
                <w:tcPr>
                  <w:tcW w:w="615" w:type="dxa"/>
                  <w:noWrap w:val="0"/>
                  <w:vAlign w:val="center"/>
                </w:tcPr>
                <w:p w14:paraId="71DEF446">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2AC6180F">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479FB78F">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6E0C5EEE">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2EA15317">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C134DCF">
                  <w:pPr>
                    <w:spacing w:line="240" w:lineRule="exact"/>
                    <w:jc w:val="center"/>
                    <w:rPr>
                      <w:rFonts w:hint="eastAsia"/>
                      <w:color w:val="0000FF"/>
                      <w:szCs w:val="21"/>
                      <w:lang w:val="en-US" w:eastAsia="zh-CN"/>
                    </w:rPr>
                  </w:pPr>
                </w:p>
              </w:tc>
              <w:tc>
                <w:tcPr>
                  <w:tcW w:w="540" w:type="dxa"/>
                  <w:vMerge w:val="continue"/>
                  <w:noWrap w:val="0"/>
                  <w:vAlign w:val="center"/>
                </w:tcPr>
                <w:p w14:paraId="4EF84B13">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09A422E">
                  <w:pPr>
                    <w:tabs>
                      <w:tab w:val="left" w:pos="3225"/>
                    </w:tabs>
                    <w:spacing w:line="240" w:lineRule="exact"/>
                    <w:jc w:val="center"/>
                    <w:rPr>
                      <w:rFonts w:hint="eastAsia"/>
                      <w:color w:val="0000FF"/>
                      <w:szCs w:val="21"/>
                      <w:lang w:eastAsia="zh-CN"/>
                    </w:rPr>
                  </w:pPr>
                </w:p>
              </w:tc>
            </w:tr>
            <w:tr w14:paraId="3879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24817555">
                  <w:pPr>
                    <w:tabs>
                      <w:tab w:val="left" w:pos="3225"/>
                    </w:tabs>
                    <w:spacing w:line="240" w:lineRule="exact"/>
                    <w:jc w:val="center"/>
                    <w:rPr>
                      <w:rFonts w:hint="default"/>
                      <w:color w:val="auto"/>
                      <w:szCs w:val="21"/>
                      <w:lang w:val="en-US" w:eastAsia="zh-CN"/>
                    </w:rPr>
                  </w:pPr>
                  <w:r>
                    <w:rPr>
                      <w:rFonts w:hint="eastAsia"/>
                      <w:color w:val="auto"/>
                      <w:szCs w:val="21"/>
                      <w:lang w:val="en-US" w:eastAsia="zh-CN"/>
                    </w:rPr>
                    <w:t>57</w:t>
                  </w:r>
                </w:p>
              </w:tc>
              <w:tc>
                <w:tcPr>
                  <w:tcW w:w="1585" w:type="dxa"/>
                  <w:noWrap w:val="0"/>
                  <w:vAlign w:val="center"/>
                </w:tcPr>
                <w:p w14:paraId="60A7DC84">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氟化钾</w:t>
                  </w:r>
                </w:p>
              </w:tc>
              <w:tc>
                <w:tcPr>
                  <w:tcW w:w="615" w:type="dxa"/>
                  <w:noWrap w:val="0"/>
                  <w:vAlign w:val="center"/>
                </w:tcPr>
                <w:p w14:paraId="1239DE1D">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1BF7278B">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2C7537B6">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17D3A818">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6E3FA741">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8DCAEBD">
                  <w:pPr>
                    <w:spacing w:line="240" w:lineRule="exact"/>
                    <w:jc w:val="center"/>
                    <w:rPr>
                      <w:rFonts w:hint="eastAsia"/>
                      <w:color w:val="0000FF"/>
                      <w:szCs w:val="21"/>
                      <w:lang w:val="en-US" w:eastAsia="zh-CN"/>
                    </w:rPr>
                  </w:pPr>
                </w:p>
              </w:tc>
              <w:tc>
                <w:tcPr>
                  <w:tcW w:w="540" w:type="dxa"/>
                  <w:vMerge w:val="continue"/>
                  <w:noWrap w:val="0"/>
                  <w:vAlign w:val="center"/>
                </w:tcPr>
                <w:p w14:paraId="08F56C9D">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083BFEC">
                  <w:pPr>
                    <w:tabs>
                      <w:tab w:val="left" w:pos="3225"/>
                    </w:tabs>
                    <w:spacing w:line="240" w:lineRule="exact"/>
                    <w:jc w:val="center"/>
                    <w:rPr>
                      <w:rFonts w:hint="eastAsia"/>
                      <w:color w:val="0000FF"/>
                      <w:szCs w:val="21"/>
                      <w:lang w:eastAsia="zh-CN"/>
                    </w:rPr>
                  </w:pPr>
                </w:p>
              </w:tc>
            </w:tr>
            <w:tr w14:paraId="58E1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4E66D46">
                  <w:pPr>
                    <w:tabs>
                      <w:tab w:val="left" w:pos="3225"/>
                    </w:tabs>
                    <w:spacing w:line="240" w:lineRule="exact"/>
                    <w:jc w:val="center"/>
                    <w:rPr>
                      <w:rFonts w:hint="default"/>
                      <w:color w:val="auto"/>
                      <w:szCs w:val="21"/>
                      <w:lang w:val="en-US" w:eastAsia="zh-CN"/>
                    </w:rPr>
                  </w:pPr>
                  <w:r>
                    <w:rPr>
                      <w:rFonts w:hint="eastAsia"/>
                      <w:color w:val="auto"/>
                      <w:szCs w:val="21"/>
                      <w:lang w:val="en-US" w:eastAsia="zh-CN"/>
                    </w:rPr>
                    <w:t>58</w:t>
                  </w:r>
                </w:p>
              </w:tc>
              <w:tc>
                <w:tcPr>
                  <w:tcW w:w="1585" w:type="dxa"/>
                  <w:noWrap w:val="0"/>
                  <w:vAlign w:val="center"/>
                </w:tcPr>
                <w:p w14:paraId="1474F2B9">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氟化钠</w:t>
                  </w:r>
                </w:p>
              </w:tc>
              <w:tc>
                <w:tcPr>
                  <w:tcW w:w="615" w:type="dxa"/>
                  <w:noWrap w:val="0"/>
                  <w:vAlign w:val="center"/>
                </w:tcPr>
                <w:p w14:paraId="1F3A3CDD">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53CE7C84">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29A87B50">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5E4499D3">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3A542E47">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5C2D86F">
                  <w:pPr>
                    <w:spacing w:line="240" w:lineRule="exact"/>
                    <w:jc w:val="center"/>
                    <w:rPr>
                      <w:rFonts w:hint="eastAsia"/>
                      <w:color w:val="0000FF"/>
                      <w:szCs w:val="21"/>
                      <w:lang w:val="en-US" w:eastAsia="zh-CN"/>
                    </w:rPr>
                  </w:pPr>
                </w:p>
              </w:tc>
              <w:tc>
                <w:tcPr>
                  <w:tcW w:w="540" w:type="dxa"/>
                  <w:vMerge w:val="continue"/>
                  <w:noWrap w:val="0"/>
                  <w:vAlign w:val="center"/>
                </w:tcPr>
                <w:p w14:paraId="1EB00987">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B834A32">
                  <w:pPr>
                    <w:tabs>
                      <w:tab w:val="left" w:pos="3225"/>
                    </w:tabs>
                    <w:spacing w:line="240" w:lineRule="exact"/>
                    <w:jc w:val="center"/>
                    <w:rPr>
                      <w:rFonts w:hint="eastAsia"/>
                      <w:color w:val="0000FF"/>
                      <w:szCs w:val="21"/>
                      <w:lang w:eastAsia="zh-CN"/>
                    </w:rPr>
                  </w:pPr>
                </w:p>
              </w:tc>
            </w:tr>
            <w:tr w14:paraId="6F6C0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ED5A63D">
                  <w:pPr>
                    <w:tabs>
                      <w:tab w:val="left" w:pos="3225"/>
                    </w:tabs>
                    <w:spacing w:line="240" w:lineRule="exact"/>
                    <w:jc w:val="center"/>
                    <w:rPr>
                      <w:rFonts w:hint="default"/>
                      <w:color w:val="auto"/>
                      <w:szCs w:val="21"/>
                      <w:lang w:val="en-US" w:eastAsia="zh-CN"/>
                    </w:rPr>
                  </w:pPr>
                  <w:r>
                    <w:rPr>
                      <w:rFonts w:hint="eastAsia"/>
                      <w:color w:val="auto"/>
                      <w:szCs w:val="21"/>
                      <w:lang w:val="en-US" w:eastAsia="zh-CN"/>
                    </w:rPr>
                    <w:t>59</w:t>
                  </w:r>
                </w:p>
              </w:tc>
              <w:tc>
                <w:tcPr>
                  <w:tcW w:w="1585" w:type="dxa"/>
                  <w:noWrap w:val="0"/>
                  <w:vAlign w:val="center"/>
                </w:tcPr>
                <w:p w14:paraId="708289E9">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氟化氢铵</w:t>
                  </w:r>
                </w:p>
              </w:tc>
              <w:tc>
                <w:tcPr>
                  <w:tcW w:w="615" w:type="dxa"/>
                  <w:noWrap w:val="0"/>
                  <w:vAlign w:val="center"/>
                </w:tcPr>
                <w:p w14:paraId="6CA42F51">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71B7EF38">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412D876B">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5337610E">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5579B2C0">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57379C0F">
                  <w:pPr>
                    <w:spacing w:line="240" w:lineRule="exact"/>
                    <w:jc w:val="center"/>
                    <w:rPr>
                      <w:rFonts w:hint="eastAsia"/>
                      <w:color w:val="0000FF"/>
                      <w:szCs w:val="21"/>
                      <w:lang w:val="en-US" w:eastAsia="zh-CN"/>
                    </w:rPr>
                  </w:pPr>
                </w:p>
              </w:tc>
              <w:tc>
                <w:tcPr>
                  <w:tcW w:w="540" w:type="dxa"/>
                  <w:vMerge w:val="continue"/>
                  <w:noWrap w:val="0"/>
                  <w:vAlign w:val="center"/>
                </w:tcPr>
                <w:p w14:paraId="3B9E13FF">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0DC0D0E">
                  <w:pPr>
                    <w:tabs>
                      <w:tab w:val="left" w:pos="3225"/>
                    </w:tabs>
                    <w:spacing w:line="240" w:lineRule="exact"/>
                    <w:jc w:val="center"/>
                    <w:rPr>
                      <w:rFonts w:hint="eastAsia"/>
                      <w:color w:val="0000FF"/>
                      <w:szCs w:val="21"/>
                      <w:lang w:eastAsia="zh-CN"/>
                    </w:rPr>
                  </w:pPr>
                </w:p>
              </w:tc>
            </w:tr>
            <w:tr w14:paraId="602D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0CD145B">
                  <w:pPr>
                    <w:tabs>
                      <w:tab w:val="left" w:pos="3225"/>
                    </w:tabs>
                    <w:spacing w:line="240" w:lineRule="exact"/>
                    <w:jc w:val="center"/>
                    <w:rPr>
                      <w:rFonts w:hint="default"/>
                      <w:color w:val="auto"/>
                      <w:szCs w:val="21"/>
                      <w:lang w:val="en-US" w:eastAsia="zh-CN"/>
                    </w:rPr>
                  </w:pPr>
                  <w:r>
                    <w:rPr>
                      <w:rFonts w:hint="eastAsia"/>
                      <w:color w:val="auto"/>
                      <w:szCs w:val="21"/>
                      <w:lang w:val="en-US" w:eastAsia="zh-CN"/>
                    </w:rPr>
                    <w:t>60</w:t>
                  </w:r>
                </w:p>
              </w:tc>
              <w:tc>
                <w:tcPr>
                  <w:tcW w:w="1585" w:type="dxa"/>
                  <w:noWrap w:val="0"/>
                  <w:vAlign w:val="center"/>
                </w:tcPr>
                <w:p w14:paraId="0943800E">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氟化锌</w:t>
                  </w:r>
                </w:p>
              </w:tc>
              <w:tc>
                <w:tcPr>
                  <w:tcW w:w="615" w:type="dxa"/>
                  <w:noWrap w:val="0"/>
                  <w:vAlign w:val="center"/>
                </w:tcPr>
                <w:p w14:paraId="755C182B">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7E0562EB">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210BFEEA">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3D350C4F">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21C5BEC1">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90D3447">
                  <w:pPr>
                    <w:spacing w:line="240" w:lineRule="exact"/>
                    <w:jc w:val="center"/>
                    <w:rPr>
                      <w:rFonts w:hint="eastAsia"/>
                      <w:color w:val="0000FF"/>
                      <w:szCs w:val="21"/>
                      <w:lang w:val="en-US" w:eastAsia="zh-CN"/>
                    </w:rPr>
                  </w:pPr>
                </w:p>
              </w:tc>
              <w:tc>
                <w:tcPr>
                  <w:tcW w:w="540" w:type="dxa"/>
                  <w:vMerge w:val="continue"/>
                  <w:noWrap w:val="0"/>
                  <w:vAlign w:val="center"/>
                </w:tcPr>
                <w:p w14:paraId="5CDA33FD">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3F6C292">
                  <w:pPr>
                    <w:tabs>
                      <w:tab w:val="left" w:pos="3225"/>
                    </w:tabs>
                    <w:spacing w:line="240" w:lineRule="exact"/>
                    <w:jc w:val="center"/>
                    <w:rPr>
                      <w:rFonts w:hint="eastAsia"/>
                      <w:color w:val="0000FF"/>
                      <w:szCs w:val="21"/>
                      <w:lang w:eastAsia="zh-CN"/>
                    </w:rPr>
                  </w:pPr>
                </w:p>
              </w:tc>
            </w:tr>
            <w:tr w14:paraId="34F2D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0EC9731">
                  <w:pPr>
                    <w:tabs>
                      <w:tab w:val="left" w:pos="3225"/>
                    </w:tabs>
                    <w:spacing w:line="240" w:lineRule="exact"/>
                    <w:jc w:val="center"/>
                    <w:rPr>
                      <w:rFonts w:hint="default"/>
                      <w:color w:val="auto"/>
                      <w:szCs w:val="21"/>
                      <w:lang w:val="en-US" w:eastAsia="zh-CN"/>
                    </w:rPr>
                  </w:pPr>
                  <w:r>
                    <w:rPr>
                      <w:rFonts w:hint="eastAsia"/>
                      <w:color w:val="auto"/>
                      <w:szCs w:val="21"/>
                      <w:lang w:val="en-US" w:eastAsia="zh-CN"/>
                    </w:rPr>
                    <w:t>61</w:t>
                  </w:r>
                </w:p>
              </w:tc>
              <w:tc>
                <w:tcPr>
                  <w:tcW w:w="1585" w:type="dxa"/>
                  <w:noWrap w:val="0"/>
                  <w:vAlign w:val="center"/>
                </w:tcPr>
                <w:p w14:paraId="05187DAD">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氟硅酸锌</w:t>
                  </w:r>
                </w:p>
              </w:tc>
              <w:tc>
                <w:tcPr>
                  <w:tcW w:w="615" w:type="dxa"/>
                  <w:noWrap w:val="0"/>
                  <w:vAlign w:val="center"/>
                </w:tcPr>
                <w:p w14:paraId="3D0B0E7E">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3DF3F251">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12EC5716">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66F08503">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70B1AB9F">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4EE1D02B">
                  <w:pPr>
                    <w:spacing w:line="240" w:lineRule="exact"/>
                    <w:jc w:val="center"/>
                    <w:rPr>
                      <w:rFonts w:hint="eastAsia"/>
                      <w:color w:val="0000FF"/>
                      <w:szCs w:val="21"/>
                      <w:lang w:val="en-US" w:eastAsia="zh-CN"/>
                    </w:rPr>
                  </w:pPr>
                </w:p>
              </w:tc>
              <w:tc>
                <w:tcPr>
                  <w:tcW w:w="540" w:type="dxa"/>
                  <w:vMerge w:val="continue"/>
                  <w:noWrap w:val="0"/>
                  <w:vAlign w:val="center"/>
                </w:tcPr>
                <w:p w14:paraId="4D8F8FA0">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22D2FFC">
                  <w:pPr>
                    <w:tabs>
                      <w:tab w:val="left" w:pos="3225"/>
                    </w:tabs>
                    <w:spacing w:line="240" w:lineRule="exact"/>
                    <w:jc w:val="center"/>
                    <w:rPr>
                      <w:rFonts w:hint="eastAsia"/>
                      <w:color w:val="0000FF"/>
                      <w:szCs w:val="21"/>
                      <w:lang w:eastAsia="zh-CN"/>
                    </w:rPr>
                  </w:pPr>
                </w:p>
              </w:tc>
            </w:tr>
            <w:tr w14:paraId="4F72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48A07DD">
                  <w:pPr>
                    <w:tabs>
                      <w:tab w:val="left" w:pos="3225"/>
                    </w:tabs>
                    <w:spacing w:line="240" w:lineRule="exact"/>
                    <w:jc w:val="center"/>
                    <w:rPr>
                      <w:rFonts w:hint="default"/>
                      <w:color w:val="auto"/>
                      <w:szCs w:val="21"/>
                      <w:lang w:val="en-US" w:eastAsia="zh-CN"/>
                    </w:rPr>
                  </w:pPr>
                  <w:r>
                    <w:rPr>
                      <w:rFonts w:hint="eastAsia"/>
                      <w:color w:val="auto"/>
                      <w:szCs w:val="21"/>
                      <w:lang w:val="en-US" w:eastAsia="zh-CN"/>
                    </w:rPr>
                    <w:t>62</w:t>
                  </w:r>
                </w:p>
              </w:tc>
              <w:tc>
                <w:tcPr>
                  <w:tcW w:w="1585" w:type="dxa"/>
                  <w:noWrap w:val="0"/>
                  <w:vAlign w:val="center"/>
                </w:tcPr>
                <w:p w14:paraId="57BD76F3">
                  <w:pPr>
                    <w:tabs>
                      <w:tab w:val="left" w:pos="3225"/>
                    </w:tabs>
                    <w:spacing w:line="240" w:lineRule="auto"/>
                    <w:jc w:val="center"/>
                    <w:rPr>
                      <w:rFonts w:hint="default"/>
                      <w:color w:val="auto"/>
                      <w:szCs w:val="21"/>
                      <w:lang w:val="en-US" w:eastAsia="zh-CN"/>
                    </w:rPr>
                  </w:pPr>
                  <w:r>
                    <w:rPr>
                      <w:rFonts w:hint="eastAsia"/>
                      <w:color w:val="auto"/>
                      <w:szCs w:val="21"/>
                      <w:lang w:val="en-US" w:eastAsia="zh-CN"/>
                    </w:rPr>
                    <w:t>二水氯化钡</w:t>
                  </w:r>
                </w:p>
              </w:tc>
              <w:tc>
                <w:tcPr>
                  <w:tcW w:w="615" w:type="dxa"/>
                  <w:noWrap w:val="0"/>
                  <w:vAlign w:val="center"/>
                </w:tcPr>
                <w:p w14:paraId="6246B7E2">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1A11CE99">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26918BDF">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623B6682">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42AB9875">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6DCAC453">
                  <w:pPr>
                    <w:spacing w:line="240" w:lineRule="exact"/>
                    <w:jc w:val="center"/>
                    <w:rPr>
                      <w:rFonts w:hint="eastAsia"/>
                      <w:color w:val="0000FF"/>
                      <w:szCs w:val="21"/>
                      <w:lang w:val="en-US" w:eastAsia="zh-CN"/>
                    </w:rPr>
                  </w:pPr>
                </w:p>
              </w:tc>
              <w:tc>
                <w:tcPr>
                  <w:tcW w:w="540" w:type="dxa"/>
                  <w:vMerge w:val="continue"/>
                  <w:noWrap w:val="0"/>
                  <w:vAlign w:val="center"/>
                </w:tcPr>
                <w:p w14:paraId="303AC012">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66B4C31">
                  <w:pPr>
                    <w:tabs>
                      <w:tab w:val="left" w:pos="3225"/>
                    </w:tabs>
                    <w:spacing w:line="240" w:lineRule="exact"/>
                    <w:jc w:val="center"/>
                    <w:rPr>
                      <w:rFonts w:hint="eastAsia"/>
                      <w:color w:val="0000FF"/>
                      <w:szCs w:val="21"/>
                      <w:lang w:eastAsia="zh-CN"/>
                    </w:rPr>
                  </w:pPr>
                </w:p>
              </w:tc>
            </w:tr>
            <w:tr w14:paraId="7997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877FBA5">
                  <w:pPr>
                    <w:tabs>
                      <w:tab w:val="left" w:pos="3225"/>
                    </w:tabs>
                    <w:spacing w:line="240" w:lineRule="exact"/>
                    <w:jc w:val="center"/>
                    <w:rPr>
                      <w:rFonts w:hint="default"/>
                      <w:color w:val="auto"/>
                      <w:szCs w:val="21"/>
                      <w:lang w:val="en-US" w:eastAsia="zh-CN"/>
                    </w:rPr>
                  </w:pPr>
                  <w:r>
                    <w:rPr>
                      <w:rFonts w:hint="eastAsia"/>
                      <w:color w:val="auto"/>
                      <w:szCs w:val="21"/>
                      <w:lang w:val="en-US" w:eastAsia="zh-CN"/>
                    </w:rPr>
                    <w:t>63</w:t>
                  </w:r>
                </w:p>
              </w:tc>
              <w:tc>
                <w:tcPr>
                  <w:tcW w:w="1585" w:type="dxa"/>
                  <w:noWrap w:val="0"/>
                  <w:vAlign w:val="center"/>
                </w:tcPr>
                <w:p w14:paraId="380DE124">
                  <w:pPr>
                    <w:tabs>
                      <w:tab w:val="left" w:pos="3225"/>
                    </w:tabs>
                    <w:spacing w:line="240" w:lineRule="auto"/>
                    <w:jc w:val="center"/>
                    <w:rPr>
                      <w:rFonts w:hint="default"/>
                      <w:color w:val="auto"/>
                      <w:szCs w:val="21"/>
                      <w:lang w:val="en-US" w:eastAsia="zh-CN"/>
                    </w:rPr>
                  </w:pPr>
                  <w:r>
                    <w:rPr>
                      <w:rFonts w:hint="eastAsia"/>
                      <w:color w:val="auto"/>
                      <w:szCs w:val="21"/>
                      <w:lang w:val="en-US" w:eastAsia="zh-CN"/>
                    </w:rPr>
                    <w:t>石棉[含：阳起石石棉、铁石棉、透闪石石棉、直闪石石棉、青石棉]</w:t>
                  </w:r>
                </w:p>
              </w:tc>
              <w:tc>
                <w:tcPr>
                  <w:tcW w:w="615" w:type="dxa"/>
                  <w:noWrap w:val="0"/>
                  <w:vAlign w:val="center"/>
                </w:tcPr>
                <w:p w14:paraId="511864D9">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032E0E04">
                  <w:pPr>
                    <w:spacing w:line="240" w:lineRule="auto"/>
                    <w:jc w:val="center"/>
                    <w:rPr>
                      <w:rFonts w:hint="default"/>
                      <w:color w:val="auto"/>
                      <w:szCs w:val="21"/>
                      <w:lang w:val="en-US" w:eastAsia="zh-CN"/>
                    </w:rPr>
                  </w:pPr>
                  <w:r>
                    <w:rPr>
                      <w:rFonts w:hint="eastAsia"/>
                      <w:color w:val="auto"/>
                      <w:szCs w:val="21"/>
                      <w:lang w:val="en-US" w:eastAsia="zh-CN"/>
                    </w:rPr>
                    <w:t>1000</w:t>
                  </w:r>
                </w:p>
              </w:tc>
              <w:tc>
                <w:tcPr>
                  <w:tcW w:w="825" w:type="dxa"/>
                  <w:noWrap w:val="0"/>
                  <w:vAlign w:val="center"/>
                </w:tcPr>
                <w:p w14:paraId="53A5AFE3">
                  <w:pPr>
                    <w:tabs>
                      <w:tab w:val="left" w:pos="3225"/>
                    </w:tabs>
                    <w:spacing w:line="240" w:lineRule="auto"/>
                    <w:jc w:val="center"/>
                    <w:rPr>
                      <w:rFonts w:hint="default"/>
                      <w:color w:val="auto"/>
                      <w:szCs w:val="21"/>
                      <w:lang w:val="en-US" w:eastAsia="zh-CN"/>
                    </w:rPr>
                  </w:pPr>
                  <w:r>
                    <w:rPr>
                      <w:rFonts w:hint="eastAsia"/>
                      <w:color w:val="auto"/>
                      <w:szCs w:val="21"/>
                      <w:lang w:val="en-US" w:eastAsia="zh-CN"/>
                    </w:rPr>
                    <w:t>50</w:t>
                  </w:r>
                </w:p>
              </w:tc>
              <w:tc>
                <w:tcPr>
                  <w:tcW w:w="945" w:type="dxa"/>
                  <w:noWrap w:val="0"/>
                  <w:vAlign w:val="center"/>
                </w:tcPr>
                <w:p w14:paraId="14A8826D">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28E79E32">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520C8B8F">
                  <w:pPr>
                    <w:spacing w:line="240" w:lineRule="exact"/>
                    <w:jc w:val="center"/>
                    <w:rPr>
                      <w:rFonts w:hint="eastAsia"/>
                      <w:color w:val="0000FF"/>
                      <w:szCs w:val="21"/>
                      <w:lang w:val="en-US" w:eastAsia="zh-CN"/>
                    </w:rPr>
                  </w:pPr>
                </w:p>
              </w:tc>
              <w:tc>
                <w:tcPr>
                  <w:tcW w:w="540" w:type="dxa"/>
                  <w:vMerge w:val="continue"/>
                  <w:noWrap w:val="0"/>
                  <w:vAlign w:val="center"/>
                </w:tcPr>
                <w:p w14:paraId="5080AAFF">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9DC4CAA">
                  <w:pPr>
                    <w:tabs>
                      <w:tab w:val="left" w:pos="3225"/>
                    </w:tabs>
                    <w:spacing w:line="240" w:lineRule="exact"/>
                    <w:jc w:val="center"/>
                    <w:rPr>
                      <w:rFonts w:hint="eastAsia"/>
                      <w:color w:val="0000FF"/>
                      <w:szCs w:val="21"/>
                      <w:lang w:eastAsia="zh-CN"/>
                    </w:rPr>
                  </w:pPr>
                </w:p>
              </w:tc>
            </w:tr>
            <w:tr w14:paraId="15C2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3285EAA">
                  <w:pPr>
                    <w:tabs>
                      <w:tab w:val="left" w:pos="3225"/>
                    </w:tabs>
                    <w:spacing w:line="240" w:lineRule="exact"/>
                    <w:jc w:val="center"/>
                    <w:rPr>
                      <w:rFonts w:hint="default"/>
                      <w:color w:val="auto"/>
                      <w:szCs w:val="21"/>
                      <w:lang w:val="en-US" w:eastAsia="zh-CN"/>
                    </w:rPr>
                  </w:pPr>
                  <w:r>
                    <w:rPr>
                      <w:rFonts w:hint="eastAsia"/>
                      <w:color w:val="auto"/>
                      <w:szCs w:val="21"/>
                      <w:lang w:val="en-US" w:eastAsia="zh-CN"/>
                    </w:rPr>
                    <w:t>64</w:t>
                  </w:r>
                </w:p>
              </w:tc>
              <w:tc>
                <w:tcPr>
                  <w:tcW w:w="1585" w:type="dxa"/>
                  <w:noWrap w:val="0"/>
                  <w:vAlign w:val="center"/>
                </w:tcPr>
                <w:p w14:paraId="28BD5A93">
                  <w:pPr>
                    <w:tabs>
                      <w:tab w:val="left" w:pos="3225"/>
                    </w:tabs>
                    <w:spacing w:line="240" w:lineRule="auto"/>
                    <w:jc w:val="center"/>
                    <w:rPr>
                      <w:rFonts w:hint="default"/>
                      <w:color w:val="auto"/>
                      <w:szCs w:val="21"/>
                      <w:lang w:val="en-US" w:eastAsia="zh-CN"/>
                    </w:rPr>
                  </w:pPr>
                  <w:r>
                    <w:rPr>
                      <w:rFonts w:hint="eastAsia"/>
                      <w:color w:val="auto"/>
                      <w:szCs w:val="21"/>
                      <w:lang w:val="en-US" w:eastAsia="zh-CN"/>
                    </w:rPr>
                    <w:t>氢氧化钠</w:t>
                  </w:r>
                </w:p>
              </w:tc>
              <w:tc>
                <w:tcPr>
                  <w:tcW w:w="615" w:type="dxa"/>
                  <w:noWrap w:val="0"/>
                  <w:vAlign w:val="center"/>
                </w:tcPr>
                <w:p w14:paraId="6A1153F9">
                  <w:pPr>
                    <w:tabs>
                      <w:tab w:val="left" w:pos="3225"/>
                    </w:tabs>
                    <w:spacing w:line="240" w:lineRule="auto"/>
                    <w:jc w:val="center"/>
                    <w:rPr>
                      <w:rFonts w:hint="eastAsia"/>
                      <w:color w:val="auto"/>
                      <w:szCs w:val="21"/>
                      <w:lang w:val="en-US" w:eastAsia="zh-CN"/>
                    </w:rPr>
                  </w:pPr>
                  <w:r>
                    <w:rPr>
                      <w:rFonts w:hint="eastAsia" w:eastAsia="宋体"/>
                      <w:color w:val="auto"/>
                      <w:szCs w:val="21"/>
                      <w:lang w:val="en-US" w:eastAsia="zh-CN"/>
                    </w:rPr>
                    <w:t>固/液</w:t>
                  </w:r>
                </w:p>
              </w:tc>
              <w:tc>
                <w:tcPr>
                  <w:tcW w:w="780" w:type="dxa"/>
                  <w:noWrap w:val="0"/>
                  <w:vAlign w:val="center"/>
                </w:tcPr>
                <w:p w14:paraId="352B0886">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2000</w:t>
                  </w:r>
                </w:p>
              </w:tc>
              <w:tc>
                <w:tcPr>
                  <w:tcW w:w="825" w:type="dxa"/>
                  <w:noWrap w:val="0"/>
                  <w:vAlign w:val="center"/>
                </w:tcPr>
                <w:p w14:paraId="41EAAF7F">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7CD97AB1">
                  <w:pPr>
                    <w:spacing w:line="240" w:lineRule="auto"/>
                    <w:jc w:val="center"/>
                    <w:rPr>
                      <w:rFonts w:hint="eastAsia"/>
                      <w:color w:val="auto"/>
                      <w:szCs w:val="21"/>
                      <w:lang w:val="en-US" w:eastAsia="zh-CN"/>
                    </w:rPr>
                  </w:pPr>
                  <w:r>
                    <w:rPr>
                      <w:rFonts w:hint="eastAsia"/>
                      <w:color w:val="auto"/>
                      <w:szCs w:val="21"/>
                      <w:lang w:val="en-US" w:eastAsia="zh-CN"/>
                    </w:rPr>
                    <w:t>袋装/桶装</w:t>
                  </w:r>
                </w:p>
              </w:tc>
              <w:tc>
                <w:tcPr>
                  <w:tcW w:w="930" w:type="dxa"/>
                  <w:noWrap w:val="0"/>
                  <w:vAlign w:val="center"/>
                </w:tcPr>
                <w:p w14:paraId="3829B825">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1E2A9F55">
                  <w:pPr>
                    <w:tabs>
                      <w:tab w:val="left" w:pos="3225"/>
                    </w:tabs>
                    <w:spacing w:line="240" w:lineRule="exact"/>
                    <w:jc w:val="center"/>
                    <w:rPr>
                      <w:rFonts w:hint="eastAsia"/>
                      <w:color w:val="0000FF"/>
                      <w:szCs w:val="21"/>
                      <w:lang w:val="en-US" w:eastAsia="zh-CN"/>
                    </w:rPr>
                  </w:pPr>
                  <w:r>
                    <w:rPr>
                      <w:rFonts w:hint="eastAsia"/>
                      <w:color w:val="auto"/>
                      <w:szCs w:val="21"/>
                      <w:u w:val="none"/>
                      <w:lang w:val="en-US" w:eastAsia="zh-CN"/>
                    </w:rPr>
                    <w:t>2号仓库危险化学品隔间E</w:t>
                  </w:r>
                </w:p>
              </w:tc>
              <w:tc>
                <w:tcPr>
                  <w:tcW w:w="540" w:type="dxa"/>
                  <w:vMerge w:val="continue"/>
                  <w:noWrap w:val="0"/>
                  <w:vAlign w:val="center"/>
                </w:tcPr>
                <w:p w14:paraId="16BF4545">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0CA1E4CA">
                  <w:pPr>
                    <w:tabs>
                      <w:tab w:val="left" w:pos="3225"/>
                    </w:tabs>
                    <w:spacing w:line="240" w:lineRule="exact"/>
                    <w:jc w:val="center"/>
                    <w:rPr>
                      <w:rFonts w:hint="eastAsia"/>
                      <w:color w:val="0000FF"/>
                      <w:szCs w:val="21"/>
                      <w:lang w:eastAsia="zh-CN"/>
                    </w:rPr>
                  </w:pPr>
                </w:p>
              </w:tc>
            </w:tr>
            <w:tr w14:paraId="2C90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2774AA83">
                  <w:pPr>
                    <w:tabs>
                      <w:tab w:val="left" w:pos="3225"/>
                    </w:tabs>
                    <w:spacing w:line="240" w:lineRule="exact"/>
                    <w:jc w:val="center"/>
                    <w:rPr>
                      <w:rFonts w:hint="default"/>
                      <w:color w:val="auto"/>
                      <w:szCs w:val="21"/>
                      <w:lang w:val="en-US" w:eastAsia="zh-CN"/>
                    </w:rPr>
                  </w:pPr>
                  <w:r>
                    <w:rPr>
                      <w:rFonts w:hint="eastAsia"/>
                      <w:color w:val="auto"/>
                      <w:szCs w:val="21"/>
                      <w:lang w:val="en-US" w:eastAsia="zh-CN"/>
                    </w:rPr>
                    <w:t>65</w:t>
                  </w:r>
                </w:p>
              </w:tc>
              <w:tc>
                <w:tcPr>
                  <w:tcW w:w="1585" w:type="dxa"/>
                  <w:noWrap w:val="0"/>
                  <w:vAlign w:val="center"/>
                </w:tcPr>
                <w:p w14:paraId="3FD1CD90">
                  <w:pPr>
                    <w:tabs>
                      <w:tab w:val="left" w:pos="3225"/>
                    </w:tabs>
                    <w:spacing w:line="240" w:lineRule="auto"/>
                    <w:jc w:val="center"/>
                    <w:rPr>
                      <w:rFonts w:hint="default"/>
                      <w:color w:val="auto"/>
                      <w:szCs w:val="21"/>
                      <w:lang w:val="en-US" w:eastAsia="zh-CN"/>
                    </w:rPr>
                  </w:pPr>
                  <w:r>
                    <w:rPr>
                      <w:rFonts w:hint="eastAsia"/>
                      <w:color w:val="auto"/>
                      <w:szCs w:val="21"/>
                      <w:lang w:val="en-US" w:eastAsia="zh-CN"/>
                    </w:rPr>
                    <w:t>碳酸钡</w:t>
                  </w:r>
                </w:p>
              </w:tc>
              <w:tc>
                <w:tcPr>
                  <w:tcW w:w="615" w:type="dxa"/>
                  <w:noWrap w:val="0"/>
                  <w:vAlign w:val="center"/>
                </w:tcPr>
                <w:p w14:paraId="275650A0">
                  <w:pPr>
                    <w:tabs>
                      <w:tab w:val="left" w:pos="3225"/>
                    </w:tabs>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40410D5F">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2000</w:t>
                  </w:r>
                </w:p>
              </w:tc>
              <w:tc>
                <w:tcPr>
                  <w:tcW w:w="825" w:type="dxa"/>
                  <w:noWrap w:val="0"/>
                  <w:vAlign w:val="center"/>
                </w:tcPr>
                <w:p w14:paraId="7043C124">
                  <w:pPr>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68034E8B">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3AC5E627">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55E6675D">
                  <w:pPr>
                    <w:spacing w:line="240" w:lineRule="exact"/>
                    <w:jc w:val="center"/>
                    <w:rPr>
                      <w:rFonts w:hint="eastAsia"/>
                      <w:color w:val="0000FF"/>
                      <w:szCs w:val="21"/>
                      <w:lang w:val="en-US" w:eastAsia="zh-CN"/>
                    </w:rPr>
                  </w:pPr>
                </w:p>
              </w:tc>
              <w:tc>
                <w:tcPr>
                  <w:tcW w:w="540" w:type="dxa"/>
                  <w:vMerge w:val="continue"/>
                  <w:noWrap w:val="0"/>
                  <w:vAlign w:val="center"/>
                </w:tcPr>
                <w:p w14:paraId="0C6D26AE">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4013779">
                  <w:pPr>
                    <w:tabs>
                      <w:tab w:val="left" w:pos="3225"/>
                    </w:tabs>
                    <w:spacing w:line="240" w:lineRule="exact"/>
                    <w:jc w:val="center"/>
                    <w:rPr>
                      <w:rFonts w:hint="eastAsia"/>
                      <w:color w:val="0000FF"/>
                      <w:szCs w:val="21"/>
                      <w:lang w:eastAsia="zh-CN"/>
                    </w:rPr>
                  </w:pPr>
                </w:p>
              </w:tc>
            </w:tr>
            <w:tr w14:paraId="0F03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ABA2C6B">
                  <w:pPr>
                    <w:tabs>
                      <w:tab w:val="left" w:pos="3225"/>
                    </w:tabs>
                    <w:spacing w:line="240" w:lineRule="exact"/>
                    <w:jc w:val="center"/>
                    <w:rPr>
                      <w:rFonts w:hint="default"/>
                      <w:color w:val="auto"/>
                      <w:szCs w:val="21"/>
                      <w:lang w:val="en-US" w:eastAsia="zh-CN"/>
                    </w:rPr>
                  </w:pPr>
                  <w:r>
                    <w:rPr>
                      <w:rFonts w:hint="eastAsia"/>
                      <w:color w:val="auto"/>
                      <w:szCs w:val="21"/>
                      <w:lang w:val="en-US" w:eastAsia="zh-CN"/>
                    </w:rPr>
                    <w:t>66</w:t>
                  </w:r>
                </w:p>
              </w:tc>
              <w:tc>
                <w:tcPr>
                  <w:tcW w:w="1585" w:type="dxa"/>
                  <w:noWrap w:val="0"/>
                  <w:vAlign w:val="center"/>
                </w:tcPr>
                <w:p w14:paraId="63FCB0F4">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氟硅酸锌</w:t>
                  </w:r>
                </w:p>
              </w:tc>
              <w:tc>
                <w:tcPr>
                  <w:tcW w:w="615" w:type="dxa"/>
                  <w:noWrap w:val="0"/>
                  <w:vAlign w:val="center"/>
                </w:tcPr>
                <w:p w14:paraId="2585FCA2">
                  <w:pPr>
                    <w:tabs>
                      <w:tab w:val="left" w:pos="3225"/>
                    </w:tabs>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586EC2CC">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2000</w:t>
                  </w:r>
                </w:p>
              </w:tc>
              <w:tc>
                <w:tcPr>
                  <w:tcW w:w="825" w:type="dxa"/>
                  <w:noWrap w:val="0"/>
                  <w:vAlign w:val="center"/>
                </w:tcPr>
                <w:p w14:paraId="2C7DCA53">
                  <w:pPr>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1233309D">
                  <w:pPr>
                    <w:tabs>
                      <w:tab w:val="left" w:pos="3225"/>
                    </w:tabs>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3657BF7F">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160D59A0">
                  <w:pPr>
                    <w:spacing w:line="240" w:lineRule="exact"/>
                    <w:jc w:val="center"/>
                    <w:rPr>
                      <w:rFonts w:hint="eastAsia"/>
                      <w:color w:val="0000FF"/>
                      <w:szCs w:val="21"/>
                      <w:lang w:val="en-US" w:eastAsia="zh-CN"/>
                    </w:rPr>
                  </w:pPr>
                </w:p>
              </w:tc>
              <w:tc>
                <w:tcPr>
                  <w:tcW w:w="540" w:type="dxa"/>
                  <w:vMerge w:val="continue"/>
                  <w:noWrap w:val="0"/>
                  <w:vAlign w:val="center"/>
                </w:tcPr>
                <w:p w14:paraId="3981E82C">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69FDB05">
                  <w:pPr>
                    <w:tabs>
                      <w:tab w:val="left" w:pos="3225"/>
                    </w:tabs>
                    <w:spacing w:line="240" w:lineRule="exact"/>
                    <w:jc w:val="center"/>
                    <w:rPr>
                      <w:rFonts w:hint="eastAsia"/>
                      <w:color w:val="0000FF"/>
                      <w:szCs w:val="21"/>
                      <w:lang w:eastAsia="zh-CN"/>
                    </w:rPr>
                  </w:pPr>
                </w:p>
              </w:tc>
            </w:tr>
            <w:tr w14:paraId="0562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845DC83">
                  <w:pPr>
                    <w:tabs>
                      <w:tab w:val="left" w:pos="3225"/>
                    </w:tabs>
                    <w:spacing w:line="240" w:lineRule="exact"/>
                    <w:jc w:val="center"/>
                    <w:rPr>
                      <w:rFonts w:hint="default"/>
                      <w:color w:val="auto"/>
                      <w:szCs w:val="21"/>
                      <w:lang w:val="en-US" w:eastAsia="zh-CN"/>
                    </w:rPr>
                  </w:pPr>
                  <w:r>
                    <w:rPr>
                      <w:rFonts w:hint="eastAsia"/>
                      <w:color w:val="auto"/>
                      <w:szCs w:val="21"/>
                      <w:lang w:val="en-US" w:eastAsia="zh-CN"/>
                    </w:rPr>
                    <w:t>67</w:t>
                  </w:r>
                </w:p>
              </w:tc>
              <w:tc>
                <w:tcPr>
                  <w:tcW w:w="1585" w:type="dxa"/>
                  <w:noWrap w:val="0"/>
                  <w:vAlign w:val="center"/>
                </w:tcPr>
                <w:p w14:paraId="7103B851">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氟硅酸镁</w:t>
                  </w:r>
                </w:p>
              </w:tc>
              <w:tc>
                <w:tcPr>
                  <w:tcW w:w="615" w:type="dxa"/>
                  <w:noWrap w:val="0"/>
                  <w:vAlign w:val="center"/>
                </w:tcPr>
                <w:p w14:paraId="5875370F">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3B35E1BF">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2000</w:t>
                  </w:r>
                </w:p>
              </w:tc>
              <w:tc>
                <w:tcPr>
                  <w:tcW w:w="825" w:type="dxa"/>
                  <w:noWrap w:val="0"/>
                  <w:vAlign w:val="center"/>
                </w:tcPr>
                <w:p w14:paraId="0A255DBB">
                  <w:pPr>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578F7D2E">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451EC163">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0CFB703">
                  <w:pPr>
                    <w:spacing w:line="240" w:lineRule="exact"/>
                    <w:jc w:val="center"/>
                    <w:rPr>
                      <w:rFonts w:hint="eastAsia"/>
                      <w:color w:val="0000FF"/>
                      <w:szCs w:val="21"/>
                      <w:lang w:val="en-US" w:eastAsia="zh-CN"/>
                    </w:rPr>
                  </w:pPr>
                </w:p>
              </w:tc>
              <w:tc>
                <w:tcPr>
                  <w:tcW w:w="540" w:type="dxa"/>
                  <w:vMerge w:val="continue"/>
                  <w:noWrap w:val="0"/>
                  <w:vAlign w:val="center"/>
                </w:tcPr>
                <w:p w14:paraId="6709D646">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C3E1F53">
                  <w:pPr>
                    <w:tabs>
                      <w:tab w:val="left" w:pos="3225"/>
                    </w:tabs>
                    <w:spacing w:line="240" w:lineRule="exact"/>
                    <w:jc w:val="center"/>
                    <w:rPr>
                      <w:rFonts w:hint="eastAsia"/>
                      <w:color w:val="0000FF"/>
                      <w:szCs w:val="21"/>
                      <w:lang w:eastAsia="zh-CN"/>
                    </w:rPr>
                  </w:pPr>
                </w:p>
              </w:tc>
            </w:tr>
            <w:tr w14:paraId="4988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8F8ACA4">
                  <w:pPr>
                    <w:tabs>
                      <w:tab w:val="left" w:pos="3225"/>
                    </w:tabs>
                    <w:spacing w:line="240" w:lineRule="exact"/>
                    <w:jc w:val="center"/>
                    <w:rPr>
                      <w:rFonts w:hint="default"/>
                      <w:color w:val="auto"/>
                      <w:szCs w:val="21"/>
                      <w:lang w:val="en-US" w:eastAsia="zh-CN"/>
                    </w:rPr>
                  </w:pPr>
                  <w:r>
                    <w:rPr>
                      <w:rFonts w:hint="eastAsia"/>
                      <w:color w:val="auto"/>
                      <w:szCs w:val="21"/>
                      <w:lang w:val="en-US" w:eastAsia="zh-CN"/>
                    </w:rPr>
                    <w:t>68</w:t>
                  </w:r>
                </w:p>
              </w:tc>
              <w:tc>
                <w:tcPr>
                  <w:tcW w:w="1585" w:type="dxa"/>
                  <w:noWrap w:val="0"/>
                  <w:vAlign w:val="center"/>
                </w:tcPr>
                <w:p w14:paraId="3A9EF4D7">
                  <w:pPr>
                    <w:tabs>
                      <w:tab w:val="left" w:pos="3225"/>
                    </w:tabs>
                    <w:spacing w:line="240" w:lineRule="auto"/>
                    <w:jc w:val="center"/>
                    <w:rPr>
                      <w:rFonts w:hint="default"/>
                      <w:color w:val="auto"/>
                      <w:szCs w:val="21"/>
                      <w:lang w:val="en-US" w:eastAsia="zh-CN"/>
                    </w:rPr>
                  </w:pPr>
                  <w:r>
                    <w:rPr>
                      <w:rFonts w:hint="eastAsia"/>
                      <w:color w:val="auto"/>
                      <w:szCs w:val="21"/>
                      <w:lang w:val="en-US" w:eastAsia="zh-CN"/>
                    </w:rPr>
                    <w:t>氟硅酸钠</w:t>
                  </w:r>
                </w:p>
              </w:tc>
              <w:tc>
                <w:tcPr>
                  <w:tcW w:w="615" w:type="dxa"/>
                  <w:noWrap w:val="0"/>
                  <w:vAlign w:val="center"/>
                </w:tcPr>
                <w:p w14:paraId="5D23DAE1">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17222D99">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2000</w:t>
                  </w:r>
                </w:p>
              </w:tc>
              <w:tc>
                <w:tcPr>
                  <w:tcW w:w="825" w:type="dxa"/>
                  <w:noWrap w:val="0"/>
                  <w:vAlign w:val="center"/>
                </w:tcPr>
                <w:p w14:paraId="61BC2F7A">
                  <w:pPr>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16025C87">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7D06BA17">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A5A9A40">
                  <w:pPr>
                    <w:spacing w:line="240" w:lineRule="exact"/>
                    <w:jc w:val="center"/>
                    <w:rPr>
                      <w:rFonts w:hint="eastAsia"/>
                      <w:color w:val="0000FF"/>
                      <w:szCs w:val="21"/>
                      <w:lang w:val="en-US" w:eastAsia="zh-CN"/>
                    </w:rPr>
                  </w:pPr>
                </w:p>
              </w:tc>
              <w:tc>
                <w:tcPr>
                  <w:tcW w:w="540" w:type="dxa"/>
                  <w:vMerge w:val="continue"/>
                  <w:noWrap w:val="0"/>
                  <w:vAlign w:val="center"/>
                </w:tcPr>
                <w:p w14:paraId="68751E0F">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9820EB2">
                  <w:pPr>
                    <w:tabs>
                      <w:tab w:val="left" w:pos="3225"/>
                    </w:tabs>
                    <w:spacing w:line="240" w:lineRule="exact"/>
                    <w:jc w:val="center"/>
                    <w:rPr>
                      <w:rFonts w:hint="eastAsia"/>
                      <w:color w:val="0000FF"/>
                      <w:szCs w:val="21"/>
                      <w:lang w:eastAsia="zh-CN"/>
                    </w:rPr>
                  </w:pPr>
                </w:p>
              </w:tc>
            </w:tr>
            <w:tr w14:paraId="38F4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3FD7835">
                  <w:pPr>
                    <w:tabs>
                      <w:tab w:val="left" w:pos="3225"/>
                    </w:tabs>
                    <w:spacing w:line="240" w:lineRule="exact"/>
                    <w:jc w:val="center"/>
                    <w:rPr>
                      <w:rFonts w:hint="default"/>
                      <w:color w:val="auto"/>
                      <w:szCs w:val="21"/>
                      <w:lang w:val="en-US" w:eastAsia="zh-CN"/>
                    </w:rPr>
                  </w:pPr>
                  <w:r>
                    <w:rPr>
                      <w:rFonts w:hint="eastAsia"/>
                      <w:color w:val="auto"/>
                      <w:szCs w:val="21"/>
                      <w:lang w:val="en-US" w:eastAsia="zh-CN"/>
                    </w:rPr>
                    <w:t>69</w:t>
                  </w:r>
                </w:p>
              </w:tc>
              <w:tc>
                <w:tcPr>
                  <w:tcW w:w="1585" w:type="dxa"/>
                  <w:noWrap w:val="0"/>
                  <w:vAlign w:val="center"/>
                </w:tcPr>
                <w:p w14:paraId="536AC3EE">
                  <w:pPr>
                    <w:tabs>
                      <w:tab w:val="left" w:pos="3225"/>
                    </w:tabs>
                    <w:spacing w:line="240" w:lineRule="auto"/>
                    <w:jc w:val="center"/>
                    <w:rPr>
                      <w:rFonts w:hint="default"/>
                      <w:color w:val="auto"/>
                      <w:szCs w:val="21"/>
                      <w:lang w:val="en-US" w:eastAsia="zh-CN"/>
                    </w:rPr>
                  </w:pPr>
                  <w:r>
                    <w:rPr>
                      <w:rFonts w:hint="eastAsia"/>
                      <w:color w:val="auto"/>
                      <w:szCs w:val="21"/>
                      <w:lang w:val="en-US" w:eastAsia="zh-CN"/>
                    </w:rPr>
                    <w:t>硫酸锰</w:t>
                  </w:r>
                </w:p>
              </w:tc>
              <w:tc>
                <w:tcPr>
                  <w:tcW w:w="615" w:type="dxa"/>
                  <w:noWrap w:val="0"/>
                  <w:vAlign w:val="center"/>
                </w:tcPr>
                <w:p w14:paraId="68B51F4E">
                  <w:pPr>
                    <w:tabs>
                      <w:tab w:val="left" w:pos="3225"/>
                    </w:tabs>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0B9D4F67">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2000</w:t>
                  </w:r>
                </w:p>
              </w:tc>
              <w:tc>
                <w:tcPr>
                  <w:tcW w:w="825" w:type="dxa"/>
                  <w:noWrap w:val="0"/>
                  <w:vAlign w:val="center"/>
                </w:tcPr>
                <w:p w14:paraId="6FA0870F">
                  <w:pPr>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35BFCA58">
                  <w:pPr>
                    <w:tabs>
                      <w:tab w:val="left" w:pos="3225"/>
                    </w:tabs>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5A754A9E">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5BC37410">
                  <w:pPr>
                    <w:spacing w:line="240" w:lineRule="exact"/>
                    <w:jc w:val="center"/>
                    <w:rPr>
                      <w:rFonts w:hint="eastAsia"/>
                      <w:color w:val="0000FF"/>
                      <w:szCs w:val="21"/>
                      <w:lang w:val="en-US" w:eastAsia="zh-CN"/>
                    </w:rPr>
                  </w:pPr>
                </w:p>
              </w:tc>
              <w:tc>
                <w:tcPr>
                  <w:tcW w:w="540" w:type="dxa"/>
                  <w:vMerge w:val="continue"/>
                  <w:noWrap w:val="0"/>
                  <w:vAlign w:val="center"/>
                </w:tcPr>
                <w:p w14:paraId="589F7645">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137F4EE">
                  <w:pPr>
                    <w:tabs>
                      <w:tab w:val="left" w:pos="3225"/>
                    </w:tabs>
                    <w:spacing w:line="240" w:lineRule="exact"/>
                    <w:jc w:val="center"/>
                    <w:rPr>
                      <w:rFonts w:hint="eastAsia"/>
                      <w:color w:val="0000FF"/>
                      <w:szCs w:val="21"/>
                      <w:lang w:eastAsia="zh-CN"/>
                    </w:rPr>
                  </w:pPr>
                </w:p>
              </w:tc>
            </w:tr>
            <w:tr w14:paraId="23C2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1C6F322">
                  <w:pPr>
                    <w:tabs>
                      <w:tab w:val="left" w:pos="3225"/>
                    </w:tabs>
                    <w:spacing w:line="240" w:lineRule="exact"/>
                    <w:jc w:val="center"/>
                    <w:rPr>
                      <w:rFonts w:hint="default"/>
                      <w:color w:val="auto"/>
                      <w:szCs w:val="21"/>
                      <w:lang w:val="en-US" w:eastAsia="zh-CN"/>
                    </w:rPr>
                  </w:pPr>
                  <w:r>
                    <w:rPr>
                      <w:rFonts w:hint="eastAsia"/>
                      <w:color w:val="auto"/>
                      <w:szCs w:val="21"/>
                      <w:lang w:val="en-US" w:eastAsia="zh-CN"/>
                    </w:rPr>
                    <w:t>70</w:t>
                  </w:r>
                </w:p>
              </w:tc>
              <w:tc>
                <w:tcPr>
                  <w:tcW w:w="1585" w:type="dxa"/>
                  <w:noWrap w:val="0"/>
                  <w:vAlign w:val="center"/>
                </w:tcPr>
                <w:p w14:paraId="03653711">
                  <w:pPr>
                    <w:tabs>
                      <w:tab w:val="left" w:pos="3225"/>
                    </w:tabs>
                    <w:spacing w:line="240" w:lineRule="auto"/>
                    <w:jc w:val="center"/>
                    <w:rPr>
                      <w:rFonts w:hint="default"/>
                      <w:color w:val="auto"/>
                      <w:szCs w:val="21"/>
                      <w:lang w:val="en-US" w:eastAsia="zh-CN"/>
                    </w:rPr>
                  </w:pPr>
                  <w:r>
                    <w:rPr>
                      <w:rFonts w:hint="eastAsia"/>
                      <w:color w:val="auto"/>
                      <w:szCs w:val="21"/>
                      <w:lang w:val="en-US" w:eastAsia="zh-CN"/>
                    </w:rPr>
                    <w:t>氢氧化钾</w:t>
                  </w:r>
                </w:p>
              </w:tc>
              <w:tc>
                <w:tcPr>
                  <w:tcW w:w="615" w:type="dxa"/>
                  <w:noWrap w:val="0"/>
                  <w:vAlign w:val="center"/>
                </w:tcPr>
                <w:p w14:paraId="301FAB9B">
                  <w:pPr>
                    <w:tabs>
                      <w:tab w:val="left" w:pos="3225"/>
                    </w:tabs>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2964A121">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2000</w:t>
                  </w:r>
                </w:p>
              </w:tc>
              <w:tc>
                <w:tcPr>
                  <w:tcW w:w="825" w:type="dxa"/>
                  <w:noWrap w:val="0"/>
                  <w:vAlign w:val="center"/>
                </w:tcPr>
                <w:p w14:paraId="1969B970">
                  <w:pPr>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6AF074DA">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017616CD">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6D2FDFE0">
                  <w:pPr>
                    <w:spacing w:line="240" w:lineRule="exact"/>
                    <w:jc w:val="center"/>
                    <w:rPr>
                      <w:rFonts w:hint="eastAsia"/>
                      <w:color w:val="0000FF"/>
                      <w:szCs w:val="21"/>
                      <w:lang w:val="en-US" w:eastAsia="zh-CN"/>
                    </w:rPr>
                  </w:pPr>
                </w:p>
              </w:tc>
              <w:tc>
                <w:tcPr>
                  <w:tcW w:w="540" w:type="dxa"/>
                  <w:vMerge w:val="continue"/>
                  <w:noWrap w:val="0"/>
                  <w:vAlign w:val="center"/>
                </w:tcPr>
                <w:p w14:paraId="7A804176">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02EA267A">
                  <w:pPr>
                    <w:tabs>
                      <w:tab w:val="left" w:pos="3225"/>
                    </w:tabs>
                    <w:spacing w:line="240" w:lineRule="exact"/>
                    <w:jc w:val="center"/>
                    <w:rPr>
                      <w:rFonts w:hint="eastAsia"/>
                      <w:color w:val="0000FF"/>
                      <w:szCs w:val="21"/>
                      <w:lang w:eastAsia="zh-CN"/>
                    </w:rPr>
                  </w:pPr>
                </w:p>
              </w:tc>
            </w:tr>
            <w:tr w14:paraId="24D7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19D87D25">
                  <w:pPr>
                    <w:tabs>
                      <w:tab w:val="left" w:pos="3225"/>
                    </w:tabs>
                    <w:spacing w:line="240" w:lineRule="exact"/>
                    <w:jc w:val="center"/>
                    <w:rPr>
                      <w:rFonts w:hint="default"/>
                      <w:color w:val="auto"/>
                      <w:szCs w:val="21"/>
                      <w:lang w:val="en-US" w:eastAsia="zh-CN"/>
                    </w:rPr>
                  </w:pPr>
                  <w:r>
                    <w:rPr>
                      <w:rFonts w:hint="eastAsia"/>
                      <w:color w:val="auto"/>
                      <w:szCs w:val="21"/>
                      <w:lang w:val="en-US" w:eastAsia="zh-CN"/>
                    </w:rPr>
                    <w:t>71</w:t>
                  </w:r>
                </w:p>
              </w:tc>
              <w:tc>
                <w:tcPr>
                  <w:tcW w:w="1585" w:type="dxa"/>
                  <w:noWrap w:val="0"/>
                  <w:vAlign w:val="center"/>
                </w:tcPr>
                <w:p w14:paraId="1757E4F6">
                  <w:pPr>
                    <w:tabs>
                      <w:tab w:val="left" w:pos="3225"/>
                    </w:tabs>
                    <w:spacing w:line="240" w:lineRule="auto"/>
                    <w:jc w:val="center"/>
                    <w:rPr>
                      <w:rFonts w:hint="default"/>
                      <w:color w:val="auto"/>
                      <w:szCs w:val="21"/>
                      <w:lang w:val="en-US" w:eastAsia="zh-CN"/>
                    </w:rPr>
                  </w:pPr>
                  <w:r>
                    <w:rPr>
                      <w:rFonts w:hint="eastAsia"/>
                      <w:color w:val="auto"/>
                      <w:szCs w:val="21"/>
                      <w:lang w:val="en-US" w:eastAsia="zh-CN"/>
                    </w:rPr>
                    <w:t>氢氧化锂</w:t>
                  </w:r>
                </w:p>
              </w:tc>
              <w:tc>
                <w:tcPr>
                  <w:tcW w:w="615" w:type="dxa"/>
                  <w:noWrap w:val="0"/>
                  <w:vAlign w:val="center"/>
                </w:tcPr>
                <w:p w14:paraId="4949548B">
                  <w:pPr>
                    <w:tabs>
                      <w:tab w:val="left" w:pos="3225"/>
                    </w:tabs>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3E5D6C67">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2000</w:t>
                  </w:r>
                </w:p>
              </w:tc>
              <w:tc>
                <w:tcPr>
                  <w:tcW w:w="825" w:type="dxa"/>
                  <w:noWrap w:val="0"/>
                  <w:vAlign w:val="center"/>
                </w:tcPr>
                <w:p w14:paraId="79E4F354">
                  <w:pPr>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06D473F8">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7FC4905F">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22EDE476">
                  <w:pPr>
                    <w:spacing w:line="240" w:lineRule="exact"/>
                    <w:jc w:val="center"/>
                    <w:rPr>
                      <w:rFonts w:hint="eastAsia"/>
                      <w:color w:val="0000FF"/>
                      <w:szCs w:val="21"/>
                      <w:lang w:val="en-US" w:eastAsia="zh-CN"/>
                    </w:rPr>
                  </w:pPr>
                </w:p>
              </w:tc>
              <w:tc>
                <w:tcPr>
                  <w:tcW w:w="540" w:type="dxa"/>
                  <w:vMerge w:val="continue"/>
                  <w:noWrap w:val="0"/>
                  <w:vAlign w:val="center"/>
                </w:tcPr>
                <w:p w14:paraId="08A3BE29">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7C27420">
                  <w:pPr>
                    <w:tabs>
                      <w:tab w:val="left" w:pos="3225"/>
                    </w:tabs>
                    <w:spacing w:line="240" w:lineRule="exact"/>
                    <w:jc w:val="center"/>
                    <w:rPr>
                      <w:rFonts w:hint="eastAsia"/>
                      <w:color w:val="0000FF"/>
                      <w:szCs w:val="21"/>
                      <w:lang w:eastAsia="zh-CN"/>
                    </w:rPr>
                  </w:pPr>
                </w:p>
              </w:tc>
            </w:tr>
            <w:tr w14:paraId="0E98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C09C747">
                  <w:pPr>
                    <w:tabs>
                      <w:tab w:val="left" w:pos="3225"/>
                    </w:tabs>
                    <w:spacing w:line="240" w:lineRule="exact"/>
                    <w:jc w:val="center"/>
                    <w:rPr>
                      <w:rFonts w:hint="default"/>
                      <w:color w:val="auto"/>
                      <w:szCs w:val="21"/>
                      <w:lang w:val="en-US" w:eastAsia="zh-CN"/>
                    </w:rPr>
                  </w:pPr>
                  <w:r>
                    <w:rPr>
                      <w:rFonts w:hint="eastAsia"/>
                      <w:color w:val="auto"/>
                      <w:szCs w:val="21"/>
                      <w:lang w:val="en-US" w:eastAsia="zh-CN"/>
                    </w:rPr>
                    <w:t>72</w:t>
                  </w:r>
                </w:p>
              </w:tc>
              <w:tc>
                <w:tcPr>
                  <w:tcW w:w="1585" w:type="dxa"/>
                  <w:noWrap w:val="0"/>
                  <w:vAlign w:val="center"/>
                </w:tcPr>
                <w:p w14:paraId="7D856F4C">
                  <w:pPr>
                    <w:tabs>
                      <w:tab w:val="left" w:pos="3225"/>
                    </w:tabs>
                    <w:spacing w:line="240" w:lineRule="auto"/>
                    <w:jc w:val="center"/>
                    <w:rPr>
                      <w:rFonts w:hint="default"/>
                      <w:color w:val="auto"/>
                      <w:szCs w:val="21"/>
                      <w:lang w:val="en-US" w:eastAsia="zh-CN"/>
                    </w:rPr>
                  </w:pPr>
                  <w:r>
                    <w:rPr>
                      <w:rFonts w:hint="eastAsia"/>
                      <w:color w:val="auto"/>
                      <w:szCs w:val="21"/>
                      <w:lang w:val="en-US" w:eastAsia="zh-CN"/>
                    </w:rPr>
                    <w:t>多聚磷酸</w:t>
                  </w:r>
                </w:p>
              </w:tc>
              <w:tc>
                <w:tcPr>
                  <w:tcW w:w="615" w:type="dxa"/>
                  <w:noWrap w:val="0"/>
                  <w:vAlign w:val="center"/>
                </w:tcPr>
                <w:p w14:paraId="56CC19E7">
                  <w:pPr>
                    <w:tabs>
                      <w:tab w:val="left" w:pos="3225"/>
                    </w:tabs>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2D75CBC8">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2000</w:t>
                  </w:r>
                </w:p>
              </w:tc>
              <w:tc>
                <w:tcPr>
                  <w:tcW w:w="825" w:type="dxa"/>
                  <w:noWrap w:val="0"/>
                  <w:vAlign w:val="center"/>
                </w:tcPr>
                <w:p w14:paraId="036D58EF">
                  <w:pPr>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0E347CC0">
                  <w:pPr>
                    <w:tabs>
                      <w:tab w:val="left" w:pos="3225"/>
                    </w:tabs>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1DC36628">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4681294B">
                  <w:pPr>
                    <w:tabs>
                      <w:tab w:val="left" w:pos="3225"/>
                    </w:tabs>
                    <w:spacing w:line="240" w:lineRule="auto"/>
                    <w:jc w:val="center"/>
                    <w:rPr>
                      <w:rFonts w:hint="eastAsia"/>
                      <w:color w:val="0000FF"/>
                      <w:szCs w:val="21"/>
                      <w:lang w:val="en-US" w:eastAsia="zh-CN"/>
                    </w:rPr>
                  </w:pPr>
                  <w:r>
                    <w:rPr>
                      <w:rFonts w:hint="eastAsia"/>
                      <w:color w:val="auto"/>
                      <w:szCs w:val="21"/>
                      <w:u w:val="none"/>
                      <w:lang w:val="en-US" w:eastAsia="zh-CN"/>
                    </w:rPr>
                    <w:t>2号仓库危险化学品隔间D</w:t>
                  </w:r>
                </w:p>
              </w:tc>
              <w:tc>
                <w:tcPr>
                  <w:tcW w:w="540" w:type="dxa"/>
                  <w:vMerge w:val="continue"/>
                  <w:noWrap w:val="0"/>
                  <w:vAlign w:val="center"/>
                </w:tcPr>
                <w:p w14:paraId="2EDD7A41">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F41D661">
                  <w:pPr>
                    <w:tabs>
                      <w:tab w:val="left" w:pos="3225"/>
                    </w:tabs>
                    <w:spacing w:line="240" w:lineRule="exact"/>
                    <w:jc w:val="center"/>
                    <w:rPr>
                      <w:rFonts w:hint="eastAsia"/>
                      <w:color w:val="0000FF"/>
                      <w:szCs w:val="21"/>
                      <w:lang w:eastAsia="zh-CN"/>
                    </w:rPr>
                  </w:pPr>
                </w:p>
              </w:tc>
            </w:tr>
            <w:tr w14:paraId="3489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ADDBB40">
                  <w:pPr>
                    <w:tabs>
                      <w:tab w:val="left" w:pos="3225"/>
                    </w:tabs>
                    <w:spacing w:line="240" w:lineRule="exact"/>
                    <w:jc w:val="center"/>
                    <w:rPr>
                      <w:rFonts w:hint="default"/>
                      <w:color w:val="auto"/>
                      <w:szCs w:val="21"/>
                      <w:lang w:val="en-US" w:eastAsia="zh-CN"/>
                    </w:rPr>
                  </w:pPr>
                  <w:r>
                    <w:rPr>
                      <w:rFonts w:hint="eastAsia"/>
                      <w:color w:val="auto"/>
                      <w:szCs w:val="21"/>
                      <w:lang w:val="en-US" w:eastAsia="zh-CN"/>
                    </w:rPr>
                    <w:t>73</w:t>
                  </w:r>
                </w:p>
              </w:tc>
              <w:tc>
                <w:tcPr>
                  <w:tcW w:w="1585" w:type="dxa"/>
                  <w:noWrap w:val="0"/>
                  <w:vAlign w:val="center"/>
                </w:tcPr>
                <w:p w14:paraId="698FAF0D">
                  <w:pPr>
                    <w:tabs>
                      <w:tab w:val="left" w:pos="3225"/>
                    </w:tabs>
                    <w:spacing w:line="240" w:lineRule="auto"/>
                    <w:jc w:val="center"/>
                    <w:rPr>
                      <w:rFonts w:hint="default"/>
                      <w:color w:val="auto"/>
                      <w:szCs w:val="21"/>
                      <w:lang w:val="en-US" w:eastAsia="zh-CN"/>
                    </w:rPr>
                  </w:pPr>
                  <w:r>
                    <w:rPr>
                      <w:rFonts w:hint="eastAsia"/>
                      <w:color w:val="auto"/>
                      <w:szCs w:val="21"/>
                      <w:lang w:val="en-US" w:eastAsia="zh-CN"/>
                    </w:rPr>
                    <w:t>硫酸镁</w:t>
                  </w:r>
                </w:p>
              </w:tc>
              <w:tc>
                <w:tcPr>
                  <w:tcW w:w="615" w:type="dxa"/>
                  <w:noWrap w:val="0"/>
                  <w:vAlign w:val="center"/>
                </w:tcPr>
                <w:p w14:paraId="4CD7BA78">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3E0A49BB">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2000</w:t>
                  </w:r>
                </w:p>
              </w:tc>
              <w:tc>
                <w:tcPr>
                  <w:tcW w:w="825" w:type="dxa"/>
                  <w:noWrap w:val="0"/>
                  <w:vAlign w:val="center"/>
                </w:tcPr>
                <w:p w14:paraId="1AB430B9">
                  <w:pPr>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5B640BB9">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41FE187F">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4C9FDC36">
                  <w:pPr>
                    <w:spacing w:line="240" w:lineRule="exact"/>
                    <w:jc w:val="center"/>
                    <w:rPr>
                      <w:rFonts w:hint="eastAsia"/>
                      <w:color w:val="0000FF"/>
                      <w:szCs w:val="21"/>
                      <w:lang w:val="en-US" w:eastAsia="zh-CN"/>
                    </w:rPr>
                  </w:pPr>
                </w:p>
              </w:tc>
              <w:tc>
                <w:tcPr>
                  <w:tcW w:w="540" w:type="dxa"/>
                  <w:vMerge w:val="continue"/>
                  <w:noWrap w:val="0"/>
                  <w:vAlign w:val="center"/>
                </w:tcPr>
                <w:p w14:paraId="17A67427">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9E8A9C5">
                  <w:pPr>
                    <w:tabs>
                      <w:tab w:val="left" w:pos="3225"/>
                    </w:tabs>
                    <w:spacing w:line="240" w:lineRule="exact"/>
                    <w:jc w:val="center"/>
                    <w:rPr>
                      <w:rFonts w:hint="eastAsia"/>
                      <w:color w:val="0000FF"/>
                      <w:szCs w:val="21"/>
                      <w:lang w:eastAsia="zh-CN"/>
                    </w:rPr>
                  </w:pPr>
                </w:p>
              </w:tc>
            </w:tr>
            <w:tr w14:paraId="1FB0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EAA89DB">
                  <w:pPr>
                    <w:tabs>
                      <w:tab w:val="left" w:pos="3225"/>
                    </w:tabs>
                    <w:spacing w:line="240" w:lineRule="exact"/>
                    <w:jc w:val="center"/>
                    <w:rPr>
                      <w:rFonts w:hint="default"/>
                      <w:color w:val="auto"/>
                      <w:szCs w:val="21"/>
                      <w:lang w:val="en-US" w:eastAsia="zh-CN"/>
                    </w:rPr>
                  </w:pPr>
                  <w:r>
                    <w:rPr>
                      <w:rFonts w:hint="eastAsia"/>
                      <w:color w:val="auto"/>
                      <w:szCs w:val="21"/>
                      <w:lang w:val="en-US" w:eastAsia="zh-CN"/>
                    </w:rPr>
                    <w:t>74</w:t>
                  </w:r>
                </w:p>
              </w:tc>
              <w:tc>
                <w:tcPr>
                  <w:tcW w:w="1585" w:type="dxa"/>
                  <w:noWrap w:val="0"/>
                  <w:vAlign w:val="center"/>
                </w:tcPr>
                <w:p w14:paraId="4823503F">
                  <w:pPr>
                    <w:tabs>
                      <w:tab w:val="left" w:pos="3225"/>
                    </w:tabs>
                    <w:spacing w:line="240" w:lineRule="auto"/>
                    <w:jc w:val="center"/>
                    <w:rPr>
                      <w:rFonts w:hint="default"/>
                      <w:color w:val="auto"/>
                      <w:szCs w:val="21"/>
                      <w:lang w:val="en-US" w:eastAsia="zh-CN"/>
                    </w:rPr>
                  </w:pPr>
                  <w:r>
                    <w:rPr>
                      <w:rFonts w:hint="eastAsia"/>
                      <w:color w:val="auto"/>
                      <w:szCs w:val="21"/>
                      <w:lang w:val="en-US" w:eastAsia="zh-CN"/>
                    </w:rPr>
                    <w:t>硫酸锌</w:t>
                  </w:r>
                </w:p>
              </w:tc>
              <w:tc>
                <w:tcPr>
                  <w:tcW w:w="615" w:type="dxa"/>
                  <w:noWrap w:val="0"/>
                  <w:vAlign w:val="center"/>
                </w:tcPr>
                <w:p w14:paraId="48E690F4">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2029FDDC">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2000</w:t>
                  </w:r>
                </w:p>
              </w:tc>
              <w:tc>
                <w:tcPr>
                  <w:tcW w:w="825" w:type="dxa"/>
                  <w:noWrap w:val="0"/>
                  <w:vAlign w:val="center"/>
                </w:tcPr>
                <w:p w14:paraId="0D80B41C">
                  <w:pPr>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06DCA502">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7E38C64B">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541018EB">
                  <w:pPr>
                    <w:spacing w:line="240" w:lineRule="exact"/>
                    <w:jc w:val="center"/>
                    <w:rPr>
                      <w:rFonts w:hint="eastAsia"/>
                      <w:color w:val="0000FF"/>
                      <w:szCs w:val="21"/>
                      <w:lang w:val="en-US" w:eastAsia="zh-CN"/>
                    </w:rPr>
                  </w:pPr>
                </w:p>
              </w:tc>
              <w:tc>
                <w:tcPr>
                  <w:tcW w:w="540" w:type="dxa"/>
                  <w:vMerge w:val="continue"/>
                  <w:noWrap w:val="0"/>
                  <w:vAlign w:val="center"/>
                </w:tcPr>
                <w:p w14:paraId="35D95A06">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D6007BA">
                  <w:pPr>
                    <w:tabs>
                      <w:tab w:val="left" w:pos="3225"/>
                    </w:tabs>
                    <w:spacing w:line="240" w:lineRule="exact"/>
                    <w:jc w:val="center"/>
                    <w:rPr>
                      <w:rFonts w:hint="eastAsia"/>
                      <w:color w:val="0000FF"/>
                      <w:szCs w:val="21"/>
                      <w:lang w:eastAsia="zh-CN"/>
                    </w:rPr>
                  </w:pPr>
                </w:p>
              </w:tc>
            </w:tr>
            <w:tr w14:paraId="1660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CC95BDB">
                  <w:pPr>
                    <w:tabs>
                      <w:tab w:val="left" w:pos="3225"/>
                    </w:tabs>
                    <w:spacing w:line="240" w:lineRule="exact"/>
                    <w:jc w:val="center"/>
                    <w:rPr>
                      <w:rFonts w:hint="default"/>
                      <w:color w:val="auto"/>
                      <w:szCs w:val="21"/>
                      <w:lang w:val="en-US" w:eastAsia="zh-CN"/>
                    </w:rPr>
                  </w:pPr>
                  <w:r>
                    <w:rPr>
                      <w:rFonts w:hint="eastAsia"/>
                      <w:color w:val="auto"/>
                      <w:szCs w:val="21"/>
                      <w:lang w:val="en-US" w:eastAsia="zh-CN"/>
                    </w:rPr>
                    <w:t>75</w:t>
                  </w:r>
                </w:p>
              </w:tc>
              <w:tc>
                <w:tcPr>
                  <w:tcW w:w="1585" w:type="dxa"/>
                  <w:noWrap w:val="0"/>
                  <w:vAlign w:val="center"/>
                </w:tcPr>
                <w:p w14:paraId="52C4BD70">
                  <w:pPr>
                    <w:tabs>
                      <w:tab w:val="left" w:pos="3225"/>
                    </w:tabs>
                    <w:spacing w:line="240" w:lineRule="auto"/>
                    <w:jc w:val="center"/>
                    <w:rPr>
                      <w:rFonts w:hint="default"/>
                      <w:color w:val="auto"/>
                      <w:szCs w:val="21"/>
                      <w:lang w:val="en-US" w:eastAsia="zh-CN"/>
                    </w:rPr>
                  </w:pPr>
                  <w:r>
                    <w:rPr>
                      <w:rFonts w:hint="eastAsia"/>
                      <w:color w:val="auto"/>
                      <w:szCs w:val="21"/>
                      <w:lang w:val="en-US" w:eastAsia="zh-CN"/>
                    </w:rPr>
                    <w:t>盐酸</w:t>
                  </w:r>
                </w:p>
              </w:tc>
              <w:tc>
                <w:tcPr>
                  <w:tcW w:w="615" w:type="dxa"/>
                  <w:noWrap w:val="0"/>
                  <w:vAlign w:val="center"/>
                </w:tcPr>
                <w:p w14:paraId="5A159CF5">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6F417AB4">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2000</w:t>
                  </w:r>
                </w:p>
              </w:tc>
              <w:tc>
                <w:tcPr>
                  <w:tcW w:w="825" w:type="dxa"/>
                  <w:noWrap w:val="0"/>
                  <w:vAlign w:val="center"/>
                </w:tcPr>
                <w:p w14:paraId="59A907AF">
                  <w:pPr>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2E52BE50">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1EA96652">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98D338C">
                  <w:pPr>
                    <w:spacing w:line="240" w:lineRule="exact"/>
                    <w:jc w:val="center"/>
                    <w:rPr>
                      <w:rFonts w:hint="eastAsia"/>
                      <w:color w:val="0000FF"/>
                      <w:szCs w:val="21"/>
                      <w:lang w:val="en-US" w:eastAsia="zh-CN"/>
                    </w:rPr>
                  </w:pPr>
                </w:p>
              </w:tc>
              <w:tc>
                <w:tcPr>
                  <w:tcW w:w="540" w:type="dxa"/>
                  <w:vMerge w:val="continue"/>
                  <w:noWrap w:val="0"/>
                  <w:vAlign w:val="center"/>
                </w:tcPr>
                <w:p w14:paraId="6FCE6C8A">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C6461DB">
                  <w:pPr>
                    <w:tabs>
                      <w:tab w:val="left" w:pos="3225"/>
                    </w:tabs>
                    <w:spacing w:line="240" w:lineRule="exact"/>
                    <w:jc w:val="center"/>
                    <w:rPr>
                      <w:rFonts w:hint="eastAsia"/>
                      <w:color w:val="0000FF"/>
                      <w:szCs w:val="21"/>
                      <w:lang w:eastAsia="zh-CN"/>
                    </w:rPr>
                  </w:pPr>
                </w:p>
              </w:tc>
            </w:tr>
            <w:tr w14:paraId="64BE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2282F54">
                  <w:pPr>
                    <w:tabs>
                      <w:tab w:val="left" w:pos="3225"/>
                    </w:tabs>
                    <w:spacing w:line="240" w:lineRule="exact"/>
                    <w:jc w:val="center"/>
                    <w:rPr>
                      <w:rFonts w:hint="default"/>
                      <w:color w:val="auto"/>
                      <w:szCs w:val="21"/>
                      <w:lang w:val="en-US" w:eastAsia="zh-CN"/>
                    </w:rPr>
                  </w:pPr>
                  <w:r>
                    <w:rPr>
                      <w:rFonts w:hint="eastAsia"/>
                      <w:color w:val="auto"/>
                      <w:szCs w:val="21"/>
                      <w:lang w:val="en-US" w:eastAsia="zh-CN"/>
                    </w:rPr>
                    <w:t>76</w:t>
                  </w:r>
                </w:p>
              </w:tc>
              <w:tc>
                <w:tcPr>
                  <w:tcW w:w="1585" w:type="dxa"/>
                  <w:noWrap w:val="0"/>
                  <w:vAlign w:val="center"/>
                </w:tcPr>
                <w:p w14:paraId="69E86BA5">
                  <w:pPr>
                    <w:tabs>
                      <w:tab w:val="left" w:pos="3225"/>
                    </w:tabs>
                    <w:spacing w:line="240" w:lineRule="auto"/>
                    <w:jc w:val="center"/>
                    <w:rPr>
                      <w:rFonts w:hint="default"/>
                      <w:color w:val="auto"/>
                      <w:szCs w:val="21"/>
                      <w:lang w:val="en-US" w:eastAsia="zh-CN"/>
                    </w:rPr>
                  </w:pPr>
                  <w:r>
                    <w:rPr>
                      <w:rFonts w:hint="eastAsia"/>
                      <w:color w:val="auto"/>
                      <w:szCs w:val="21"/>
                      <w:lang w:val="en-US" w:eastAsia="zh-CN"/>
                    </w:rPr>
                    <w:t>硫酸镍</w:t>
                  </w:r>
                </w:p>
              </w:tc>
              <w:tc>
                <w:tcPr>
                  <w:tcW w:w="615" w:type="dxa"/>
                  <w:noWrap w:val="0"/>
                  <w:vAlign w:val="center"/>
                </w:tcPr>
                <w:p w14:paraId="57BB1CB6">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54CD9D00">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2000</w:t>
                  </w:r>
                </w:p>
              </w:tc>
              <w:tc>
                <w:tcPr>
                  <w:tcW w:w="825" w:type="dxa"/>
                  <w:noWrap w:val="0"/>
                  <w:vAlign w:val="center"/>
                </w:tcPr>
                <w:p w14:paraId="444F2169">
                  <w:pPr>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150EFAF6">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008196F5">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69DD2DC3">
                  <w:pPr>
                    <w:spacing w:line="240" w:lineRule="exact"/>
                    <w:jc w:val="center"/>
                    <w:rPr>
                      <w:rFonts w:hint="eastAsia"/>
                      <w:color w:val="0000FF"/>
                      <w:szCs w:val="21"/>
                      <w:lang w:val="en-US" w:eastAsia="zh-CN"/>
                    </w:rPr>
                  </w:pPr>
                </w:p>
              </w:tc>
              <w:tc>
                <w:tcPr>
                  <w:tcW w:w="540" w:type="dxa"/>
                  <w:vMerge w:val="continue"/>
                  <w:noWrap w:val="0"/>
                  <w:vAlign w:val="center"/>
                </w:tcPr>
                <w:p w14:paraId="4DBF478A">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D8A6CAC">
                  <w:pPr>
                    <w:tabs>
                      <w:tab w:val="left" w:pos="3225"/>
                    </w:tabs>
                    <w:spacing w:line="240" w:lineRule="exact"/>
                    <w:jc w:val="center"/>
                    <w:rPr>
                      <w:rFonts w:hint="eastAsia"/>
                      <w:color w:val="0000FF"/>
                      <w:szCs w:val="21"/>
                      <w:lang w:eastAsia="zh-CN"/>
                    </w:rPr>
                  </w:pPr>
                </w:p>
              </w:tc>
            </w:tr>
            <w:tr w14:paraId="3103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665AFD2">
                  <w:pPr>
                    <w:tabs>
                      <w:tab w:val="left" w:pos="3225"/>
                    </w:tabs>
                    <w:spacing w:line="240" w:lineRule="exact"/>
                    <w:jc w:val="center"/>
                    <w:rPr>
                      <w:rFonts w:hint="default"/>
                      <w:color w:val="auto"/>
                      <w:szCs w:val="21"/>
                      <w:lang w:val="en-US" w:eastAsia="zh-CN"/>
                    </w:rPr>
                  </w:pPr>
                  <w:r>
                    <w:rPr>
                      <w:rFonts w:hint="eastAsia"/>
                      <w:color w:val="auto"/>
                      <w:szCs w:val="21"/>
                      <w:lang w:val="en-US" w:eastAsia="zh-CN"/>
                    </w:rPr>
                    <w:t>77</w:t>
                  </w:r>
                </w:p>
              </w:tc>
              <w:tc>
                <w:tcPr>
                  <w:tcW w:w="1585" w:type="dxa"/>
                  <w:noWrap w:val="0"/>
                  <w:vAlign w:val="center"/>
                </w:tcPr>
                <w:p w14:paraId="3C603252">
                  <w:pPr>
                    <w:tabs>
                      <w:tab w:val="left" w:pos="3225"/>
                    </w:tabs>
                    <w:spacing w:line="240" w:lineRule="auto"/>
                    <w:jc w:val="center"/>
                    <w:rPr>
                      <w:rFonts w:hint="default"/>
                      <w:color w:val="auto"/>
                      <w:szCs w:val="21"/>
                      <w:lang w:val="en-US" w:eastAsia="zh-CN"/>
                    </w:rPr>
                  </w:pPr>
                  <w:r>
                    <w:rPr>
                      <w:rFonts w:hint="eastAsia"/>
                      <w:color w:val="auto"/>
                      <w:szCs w:val="21"/>
                      <w:lang w:val="en-US" w:eastAsia="zh-CN"/>
                    </w:rPr>
                    <w:t>磷酸</w:t>
                  </w:r>
                </w:p>
              </w:tc>
              <w:tc>
                <w:tcPr>
                  <w:tcW w:w="615" w:type="dxa"/>
                  <w:noWrap w:val="0"/>
                  <w:vAlign w:val="center"/>
                </w:tcPr>
                <w:p w14:paraId="60709B53">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5E635ABF">
                  <w:pPr>
                    <w:tabs>
                      <w:tab w:val="left" w:pos="3225"/>
                    </w:tabs>
                    <w:spacing w:line="240" w:lineRule="auto"/>
                    <w:jc w:val="center"/>
                    <w:rPr>
                      <w:rFonts w:hint="default"/>
                      <w:color w:val="auto"/>
                      <w:szCs w:val="21"/>
                      <w:lang w:val="en-US" w:eastAsia="zh-CN"/>
                    </w:rPr>
                  </w:pPr>
                  <w:r>
                    <w:rPr>
                      <w:rFonts w:hint="eastAsia"/>
                      <w:color w:val="auto"/>
                      <w:szCs w:val="21"/>
                      <w:lang w:val="en-US" w:eastAsia="zh-CN"/>
                    </w:rPr>
                    <w:t>2000</w:t>
                  </w:r>
                </w:p>
              </w:tc>
              <w:tc>
                <w:tcPr>
                  <w:tcW w:w="825" w:type="dxa"/>
                  <w:noWrap w:val="0"/>
                  <w:vAlign w:val="center"/>
                </w:tcPr>
                <w:p w14:paraId="4CAFF011">
                  <w:pPr>
                    <w:spacing w:line="240" w:lineRule="auto"/>
                    <w:jc w:val="center"/>
                    <w:rPr>
                      <w:rFonts w:hint="default"/>
                      <w:color w:val="auto"/>
                      <w:szCs w:val="21"/>
                      <w:lang w:val="en-US" w:eastAsia="zh-CN"/>
                    </w:rPr>
                  </w:pPr>
                  <w:r>
                    <w:rPr>
                      <w:rFonts w:hint="eastAsia"/>
                      <w:color w:val="auto"/>
                      <w:szCs w:val="21"/>
                      <w:lang w:val="en-US" w:eastAsia="zh-CN"/>
                    </w:rPr>
                    <w:t>200</w:t>
                  </w:r>
                </w:p>
              </w:tc>
              <w:tc>
                <w:tcPr>
                  <w:tcW w:w="945" w:type="dxa"/>
                  <w:noWrap w:val="0"/>
                  <w:vAlign w:val="center"/>
                </w:tcPr>
                <w:p w14:paraId="471EB0DE">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2E0BBC20">
                  <w:pPr>
                    <w:spacing w:line="240" w:lineRule="auto"/>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2A13AC38">
                  <w:pPr>
                    <w:spacing w:line="240" w:lineRule="exact"/>
                    <w:jc w:val="center"/>
                    <w:rPr>
                      <w:rFonts w:hint="eastAsia"/>
                      <w:color w:val="0000FF"/>
                      <w:szCs w:val="21"/>
                      <w:lang w:val="en-US" w:eastAsia="zh-CN"/>
                    </w:rPr>
                  </w:pPr>
                </w:p>
              </w:tc>
              <w:tc>
                <w:tcPr>
                  <w:tcW w:w="540" w:type="dxa"/>
                  <w:vMerge w:val="continue"/>
                  <w:noWrap w:val="0"/>
                  <w:vAlign w:val="center"/>
                </w:tcPr>
                <w:p w14:paraId="00D0A671">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B80869F">
                  <w:pPr>
                    <w:tabs>
                      <w:tab w:val="left" w:pos="3225"/>
                    </w:tabs>
                    <w:spacing w:line="240" w:lineRule="exact"/>
                    <w:jc w:val="center"/>
                    <w:rPr>
                      <w:rFonts w:hint="eastAsia"/>
                      <w:color w:val="0000FF"/>
                      <w:szCs w:val="21"/>
                      <w:lang w:eastAsia="zh-CN"/>
                    </w:rPr>
                  </w:pPr>
                </w:p>
              </w:tc>
            </w:tr>
            <w:tr w14:paraId="7F1C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13F7B02">
                  <w:pPr>
                    <w:tabs>
                      <w:tab w:val="left" w:pos="3225"/>
                    </w:tabs>
                    <w:spacing w:line="240" w:lineRule="exact"/>
                    <w:jc w:val="center"/>
                    <w:rPr>
                      <w:rFonts w:hint="default"/>
                      <w:color w:val="auto"/>
                      <w:szCs w:val="21"/>
                      <w:lang w:val="en-US" w:eastAsia="zh-CN"/>
                    </w:rPr>
                  </w:pPr>
                  <w:r>
                    <w:rPr>
                      <w:rFonts w:hint="eastAsia"/>
                      <w:color w:val="auto"/>
                      <w:szCs w:val="21"/>
                      <w:lang w:val="en-US" w:eastAsia="zh-CN"/>
                    </w:rPr>
                    <w:t>78</w:t>
                  </w:r>
                </w:p>
              </w:tc>
              <w:tc>
                <w:tcPr>
                  <w:tcW w:w="1585" w:type="dxa"/>
                  <w:noWrap w:val="0"/>
                  <w:vAlign w:val="center"/>
                </w:tcPr>
                <w:p w14:paraId="0CB6071E">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氢氧化钾</w:t>
                  </w:r>
                </w:p>
              </w:tc>
              <w:tc>
                <w:tcPr>
                  <w:tcW w:w="615" w:type="dxa"/>
                  <w:noWrap w:val="0"/>
                  <w:vAlign w:val="center"/>
                </w:tcPr>
                <w:p w14:paraId="6641BACD">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7FEF4641">
                  <w:pPr>
                    <w:tabs>
                      <w:tab w:val="left" w:pos="3225"/>
                    </w:tabs>
                    <w:spacing w:line="240" w:lineRule="auto"/>
                    <w:jc w:val="center"/>
                    <w:rPr>
                      <w:rFonts w:hint="eastAsia"/>
                      <w:color w:val="auto"/>
                      <w:szCs w:val="21"/>
                      <w:lang w:val="en-US" w:eastAsia="zh-CN"/>
                    </w:rPr>
                  </w:pPr>
                  <w:r>
                    <w:rPr>
                      <w:rFonts w:hint="eastAsia"/>
                      <w:color w:val="auto"/>
                      <w:szCs w:val="21"/>
                      <w:lang w:val="en-US" w:eastAsia="zh-CN"/>
                    </w:rPr>
                    <w:t>2000</w:t>
                  </w:r>
                </w:p>
              </w:tc>
              <w:tc>
                <w:tcPr>
                  <w:tcW w:w="825" w:type="dxa"/>
                  <w:noWrap w:val="0"/>
                  <w:vAlign w:val="center"/>
                </w:tcPr>
                <w:p w14:paraId="4D33F0CC">
                  <w:pPr>
                    <w:spacing w:line="240" w:lineRule="auto"/>
                    <w:jc w:val="center"/>
                    <w:rPr>
                      <w:rFonts w:hint="eastAsia"/>
                      <w:color w:val="auto"/>
                      <w:szCs w:val="21"/>
                      <w:lang w:val="en-US" w:eastAsia="zh-CN"/>
                    </w:rPr>
                  </w:pPr>
                  <w:r>
                    <w:rPr>
                      <w:rFonts w:hint="eastAsia"/>
                      <w:color w:val="auto"/>
                      <w:szCs w:val="21"/>
                      <w:lang w:val="en-US" w:eastAsia="zh-CN"/>
                    </w:rPr>
                    <w:t>200</w:t>
                  </w:r>
                </w:p>
              </w:tc>
              <w:tc>
                <w:tcPr>
                  <w:tcW w:w="945" w:type="dxa"/>
                  <w:noWrap w:val="0"/>
                  <w:vAlign w:val="center"/>
                </w:tcPr>
                <w:p w14:paraId="63294538">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11F4253D">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11F69B5B">
                  <w:pPr>
                    <w:tabs>
                      <w:tab w:val="left" w:pos="3225"/>
                    </w:tabs>
                    <w:spacing w:line="240" w:lineRule="exact"/>
                    <w:jc w:val="center"/>
                    <w:rPr>
                      <w:rFonts w:hint="eastAsia"/>
                      <w:color w:val="0000FF"/>
                      <w:szCs w:val="21"/>
                      <w:lang w:val="en-US" w:eastAsia="zh-CN"/>
                    </w:rPr>
                  </w:pPr>
                  <w:r>
                    <w:rPr>
                      <w:rFonts w:hint="eastAsia"/>
                      <w:color w:val="auto"/>
                      <w:szCs w:val="21"/>
                      <w:u w:val="none"/>
                      <w:lang w:val="en-US" w:eastAsia="zh-CN"/>
                    </w:rPr>
                    <w:t>4号仓库危险化学品隔间A（碱储间）</w:t>
                  </w:r>
                </w:p>
              </w:tc>
              <w:tc>
                <w:tcPr>
                  <w:tcW w:w="540" w:type="dxa"/>
                  <w:vMerge w:val="continue"/>
                  <w:noWrap w:val="0"/>
                  <w:vAlign w:val="center"/>
                </w:tcPr>
                <w:p w14:paraId="015571AA">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48E2F273">
                  <w:pPr>
                    <w:tabs>
                      <w:tab w:val="left" w:pos="3225"/>
                    </w:tabs>
                    <w:spacing w:line="240" w:lineRule="exact"/>
                    <w:jc w:val="center"/>
                    <w:rPr>
                      <w:rFonts w:hint="eastAsia"/>
                      <w:color w:val="0000FF"/>
                      <w:szCs w:val="21"/>
                      <w:lang w:eastAsia="zh-CN"/>
                    </w:rPr>
                  </w:pPr>
                </w:p>
              </w:tc>
            </w:tr>
            <w:tr w14:paraId="419F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0F5CDCB">
                  <w:pPr>
                    <w:tabs>
                      <w:tab w:val="left" w:pos="3225"/>
                    </w:tabs>
                    <w:spacing w:line="240" w:lineRule="exact"/>
                    <w:jc w:val="center"/>
                    <w:rPr>
                      <w:rFonts w:hint="default"/>
                      <w:color w:val="auto"/>
                      <w:szCs w:val="21"/>
                      <w:lang w:val="en-US" w:eastAsia="zh-CN"/>
                    </w:rPr>
                  </w:pPr>
                  <w:r>
                    <w:rPr>
                      <w:rFonts w:hint="eastAsia"/>
                      <w:color w:val="auto"/>
                      <w:szCs w:val="21"/>
                      <w:lang w:val="en-US" w:eastAsia="zh-CN"/>
                    </w:rPr>
                    <w:t>79</w:t>
                  </w:r>
                </w:p>
              </w:tc>
              <w:tc>
                <w:tcPr>
                  <w:tcW w:w="1585" w:type="dxa"/>
                  <w:noWrap w:val="0"/>
                  <w:vAlign w:val="center"/>
                </w:tcPr>
                <w:p w14:paraId="53257C0C">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氢氧化钾溶液[含量≥30%]</w:t>
                  </w:r>
                </w:p>
              </w:tc>
              <w:tc>
                <w:tcPr>
                  <w:tcW w:w="615" w:type="dxa"/>
                  <w:noWrap w:val="0"/>
                  <w:vAlign w:val="center"/>
                </w:tcPr>
                <w:p w14:paraId="2DFF4468">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5616EFDE">
                  <w:pPr>
                    <w:tabs>
                      <w:tab w:val="left" w:pos="3225"/>
                    </w:tabs>
                    <w:spacing w:line="240" w:lineRule="auto"/>
                    <w:jc w:val="center"/>
                    <w:rPr>
                      <w:rFonts w:hint="eastAsia"/>
                      <w:color w:val="auto"/>
                      <w:szCs w:val="21"/>
                      <w:lang w:val="en-US" w:eastAsia="zh-CN"/>
                    </w:rPr>
                  </w:pPr>
                  <w:r>
                    <w:rPr>
                      <w:rFonts w:hint="eastAsia"/>
                      <w:color w:val="auto"/>
                      <w:szCs w:val="21"/>
                      <w:lang w:val="en-US" w:eastAsia="zh-CN"/>
                    </w:rPr>
                    <w:t>2000</w:t>
                  </w:r>
                </w:p>
              </w:tc>
              <w:tc>
                <w:tcPr>
                  <w:tcW w:w="825" w:type="dxa"/>
                  <w:noWrap w:val="0"/>
                  <w:vAlign w:val="center"/>
                </w:tcPr>
                <w:p w14:paraId="6ABBD862">
                  <w:pPr>
                    <w:spacing w:line="240" w:lineRule="auto"/>
                    <w:jc w:val="center"/>
                    <w:rPr>
                      <w:rFonts w:hint="eastAsia"/>
                      <w:color w:val="auto"/>
                      <w:szCs w:val="21"/>
                      <w:lang w:val="en-US" w:eastAsia="zh-CN"/>
                    </w:rPr>
                  </w:pPr>
                  <w:r>
                    <w:rPr>
                      <w:rFonts w:hint="eastAsia"/>
                      <w:color w:val="auto"/>
                      <w:szCs w:val="21"/>
                      <w:lang w:val="en-US" w:eastAsia="zh-CN"/>
                    </w:rPr>
                    <w:t>200</w:t>
                  </w:r>
                </w:p>
              </w:tc>
              <w:tc>
                <w:tcPr>
                  <w:tcW w:w="945" w:type="dxa"/>
                  <w:noWrap w:val="0"/>
                  <w:vAlign w:val="center"/>
                </w:tcPr>
                <w:p w14:paraId="4051B22E">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7F9DE381">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13012942">
                  <w:pPr>
                    <w:spacing w:line="240" w:lineRule="exact"/>
                    <w:jc w:val="center"/>
                    <w:rPr>
                      <w:rFonts w:hint="eastAsia"/>
                      <w:color w:val="0000FF"/>
                      <w:szCs w:val="21"/>
                      <w:lang w:val="en-US" w:eastAsia="zh-CN"/>
                    </w:rPr>
                  </w:pPr>
                </w:p>
              </w:tc>
              <w:tc>
                <w:tcPr>
                  <w:tcW w:w="540" w:type="dxa"/>
                  <w:vMerge w:val="continue"/>
                  <w:noWrap w:val="0"/>
                  <w:vAlign w:val="center"/>
                </w:tcPr>
                <w:p w14:paraId="1E2C4514">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47E0AAB4">
                  <w:pPr>
                    <w:tabs>
                      <w:tab w:val="left" w:pos="3225"/>
                    </w:tabs>
                    <w:spacing w:line="240" w:lineRule="exact"/>
                    <w:jc w:val="center"/>
                    <w:rPr>
                      <w:rFonts w:hint="eastAsia"/>
                      <w:color w:val="0000FF"/>
                      <w:szCs w:val="21"/>
                      <w:lang w:eastAsia="zh-CN"/>
                    </w:rPr>
                  </w:pPr>
                </w:p>
              </w:tc>
            </w:tr>
            <w:tr w14:paraId="7E74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5CC957D">
                  <w:pPr>
                    <w:tabs>
                      <w:tab w:val="left" w:pos="3225"/>
                    </w:tabs>
                    <w:spacing w:line="240" w:lineRule="exact"/>
                    <w:jc w:val="center"/>
                    <w:rPr>
                      <w:rFonts w:hint="default"/>
                      <w:color w:val="auto"/>
                      <w:szCs w:val="21"/>
                      <w:lang w:val="en-US" w:eastAsia="zh-CN"/>
                    </w:rPr>
                  </w:pPr>
                  <w:r>
                    <w:rPr>
                      <w:rFonts w:hint="eastAsia"/>
                      <w:color w:val="auto"/>
                      <w:szCs w:val="21"/>
                      <w:lang w:val="en-US" w:eastAsia="zh-CN"/>
                    </w:rPr>
                    <w:t>80</w:t>
                  </w:r>
                </w:p>
              </w:tc>
              <w:tc>
                <w:tcPr>
                  <w:tcW w:w="1585" w:type="dxa"/>
                  <w:noWrap w:val="0"/>
                  <w:vAlign w:val="center"/>
                </w:tcPr>
                <w:p w14:paraId="3E3C8BDC">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氢氧化锂</w:t>
                  </w:r>
                </w:p>
              </w:tc>
              <w:tc>
                <w:tcPr>
                  <w:tcW w:w="615" w:type="dxa"/>
                  <w:noWrap w:val="0"/>
                  <w:vAlign w:val="center"/>
                </w:tcPr>
                <w:p w14:paraId="054277A8">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15FC76B3">
                  <w:pPr>
                    <w:tabs>
                      <w:tab w:val="left" w:pos="3225"/>
                    </w:tabs>
                    <w:spacing w:line="240" w:lineRule="auto"/>
                    <w:jc w:val="center"/>
                    <w:rPr>
                      <w:rFonts w:hint="eastAsia"/>
                      <w:color w:val="auto"/>
                      <w:szCs w:val="21"/>
                      <w:lang w:val="en-US" w:eastAsia="zh-CN"/>
                    </w:rPr>
                  </w:pPr>
                  <w:r>
                    <w:rPr>
                      <w:rFonts w:hint="eastAsia"/>
                      <w:color w:val="auto"/>
                      <w:szCs w:val="21"/>
                      <w:lang w:val="en-US" w:eastAsia="zh-CN"/>
                    </w:rPr>
                    <w:t>2000</w:t>
                  </w:r>
                </w:p>
              </w:tc>
              <w:tc>
                <w:tcPr>
                  <w:tcW w:w="825" w:type="dxa"/>
                  <w:noWrap w:val="0"/>
                  <w:vAlign w:val="center"/>
                </w:tcPr>
                <w:p w14:paraId="69A7DF92">
                  <w:pPr>
                    <w:spacing w:line="240" w:lineRule="auto"/>
                    <w:jc w:val="center"/>
                    <w:rPr>
                      <w:rFonts w:hint="eastAsia"/>
                      <w:color w:val="auto"/>
                      <w:szCs w:val="21"/>
                      <w:lang w:val="en-US" w:eastAsia="zh-CN"/>
                    </w:rPr>
                  </w:pPr>
                  <w:r>
                    <w:rPr>
                      <w:rFonts w:hint="eastAsia"/>
                      <w:color w:val="auto"/>
                      <w:szCs w:val="21"/>
                      <w:lang w:val="en-US" w:eastAsia="zh-CN"/>
                    </w:rPr>
                    <w:t>200</w:t>
                  </w:r>
                </w:p>
              </w:tc>
              <w:tc>
                <w:tcPr>
                  <w:tcW w:w="945" w:type="dxa"/>
                  <w:noWrap w:val="0"/>
                  <w:vAlign w:val="center"/>
                </w:tcPr>
                <w:p w14:paraId="238B10A2">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47396809">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49D6AF6C">
                  <w:pPr>
                    <w:spacing w:line="240" w:lineRule="exact"/>
                    <w:jc w:val="center"/>
                    <w:rPr>
                      <w:rFonts w:hint="eastAsia"/>
                      <w:color w:val="0000FF"/>
                      <w:szCs w:val="21"/>
                      <w:lang w:val="en-US" w:eastAsia="zh-CN"/>
                    </w:rPr>
                  </w:pPr>
                </w:p>
              </w:tc>
              <w:tc>
                <w:tcPr>
                  <w:tcW w:w="540" w:type="dxa"/>
                  <w:vMerge w:val="continue"/>
                  <w:noWrap w:val="0"/>
                  <w:vAlign w:val="center"/>
                </w:tcPr>
                <w:p w14:paraId="5A47C584">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2680A87">
                  <w:pPr>
                    <w:tabs>
                      <w:tab w:val="left" w:pos="3225"/>
                    </w:tabs>
                    <w:spacing w:line="240" w:lineRule="exact"/>
                    <w:jc w:val="center"/>
                    <w:rPr>
                      <w:rFonts w:hint="eastAsia"/>
                      <w:color w:val="0000FF"/>
                      <w:szCs w:val="21"/>
                      <w:lang w:eastAsia="zh-CN"/>
                    </w:rPr>
                  </w:pPr>
                </w:p>
              </w:tc>
            </w:tr>
            <w:tr w14:paraId="38F4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28FFE97E">
                  <w:pPr>
                    <w:tabs>
                      <w:tab w:val="left" w:pos="3225"/>
                    </w:tabs>
                    <w:spacing w:line="240" w:lineRule="exact"/>
                    <w:jc w:val="center"/>
                    <w:rPr>
                      <w:rFonts w:hint="default"/>
                      <w:color w:val="auto"/>
                      <w:szCs w:val="21"/>
                      <w:lang w:val="en-US" w:eastAsia="zh-CN"/>
                    </w:rPr>
                  </w:pPr>
                  <w:r>
                    <w:rPr>
                      <w:rFonts w:hint="eastAsia"/>
                      <w:color w:val="auto"/>
                      <w:szCs w:val="21"/>
                      <w:lang w:val="en-US" w:eastAsia="zh-CN"/>
                    </w:rPr>
                    <w:t>81</w:t>
                  </w:r>
                </w:p>
              </w:tc>
              <w:tc>
                <w:tcPr>
                  <w:tcW w:w="1585" w:type="dxa"/>
                  <w:noWrap w:val="0"/>
                  <w:vAlign w:val="center"/>
                </w:tcPr>
                <w:p w14:paraId="67CDC2D5">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氢氧化锂溶液</w:t>
                  </w:r>
                </w:p>
              </w:tc>
              <w:tc>
                <w:tcPr>
                  <w:tcW w:w="615" w:type="dxa"/>
                  <w:noWrap w:val="0"/>
                  <w:vAlign w:val="center"/>
                </w:tcPr>
                <w:p w14:paraId="5FE163B5">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11AAC687">
                  <w:pPr>
                    <w:tabs>
                      <w:tab w:val="left" w:pos="3225"/>
                    </w:tabs>
                    <w:spacing w:line="240" w:lineRule="auto"/>
                    <w:jc w:val="center"/>
                    <w:rPr>
                      <w:rFonts w:hint="eastAsia"/>
                      <w:color w:val="auto"/>
                      <w:szCs w:val="21"/>
                      <w:lang w:val="en-US" w:eastAsia="zh-CN"/>
                    </w:rPr>
                  </w:pPr>
                  <w:r>
                    <w:rPr>
                      <w:rFonts w:hint="eastAsia"/>
                      <w:color w:val="auto"/>
                      <w:szCs w:val="21"/>
                      <w:lang w:val="en-US" w:eastAsia="zh-CN"/>
                    </w:rPr>
                    <w:t>2000</w:t>
                  </w:r>
                </w:p>
              </w:tc>
              <w:tc>
                <w:tcPr>
                  <w:tcW w:w="825" w:type="dxa"/>
                  <w:noWrap w:val="0"/>
                  <w:vAlign w:val="center"/>
                </w:tcPr>
                <w:p w14:paraId="70DB4B20">
                  <w:pPr>
                    <w:spacing w:line="240" w:lineRule="auto"/>
                    <w:jc w:val="center"/>
                    <w:rPr>
                      <w:rFonts w:hint="eastAsia"/>
                      <w:color w:val="auto"/>
                      <w:szCs w:val="21"/>
                      <w:lang w:val="en-US" w:eastAsia="zh-CN"/>
                    </w:rPr>
                  </w:pPr>
                  <w:r>
                    <w:rPr>
                      <w:rFonts w:hint="eastAsia"/>
                      <w:color w:val="auto"/>
                      <w:szCs w:val="21"/>
                      <w:lang w:val="en-US" w:eastAsia="zh-CN"/>
                    </w:rPr>
                    <w:t>200</w:t>
                  </w:r>
                </w:p>
              </w:tc>
              <w:tc>
                <w:tcPr>
                  <w:tcW w:w="945" w:type="dxa"/>
                  <w:noWrap w:val="0"/>
                  <w:vAlign w:val="center"/>
                </w:tcPr>
                <w:p w14:paraId="72233AAA">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28B3E570">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4955085B">
                  <w:pPr>
                    <w:spacing w:line="240" w:lineRule="exact"/>
                    <w:jc w:val="center"/>
                    <w:rPr>
                      <w:rFonts w:hint="eastAsia"/>
                      <w:color w:val="0000FF"/>
                      <w:szCs w:val="21"/>
                      <w:lang w:val="en-US" w:eastAsia="zh-CN"/>
                    </w:rPr>
                  </w:pPr>
                </w:p>
              </w:tc>
              <w:tc>
                <w:tcPr>
                  <w:tcW w:w="540" w:type="dxa"/>
                  <w:vMerge w:val="continue"/>
                  <w:noWrap w:val="0"/>
                  <w:vAlign w:val="center"/>
                </w:tcPr>
                <w:p w14:paraId="1DBBA496">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6AB2AF2E">
                  <w:pPr>
                    <w:tabs>
                      <w:tab w:val="left" w:pos="3225"/>
                    </w:tabs>
                    <w:spacing w:line="240" w:lineRule="exact"/>
                    <w:jc w:val="center"/>
                    <w:rPr>
                      <w:rFonts w:hint="eastAsia"/>
                      <w:color w:val="0000FF"/>
                      <w:szCs w:val="21"/>
                      <w:lang w:eastAsia="zh-CN"/>
                    </w:rPr>
                  </w:pPr>
                </w:p>
              </w:tc>
            </w:tr>
            <w:tr w14:paraId="06C61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1E10962E">
                  <w:pPr>
                    <w:tabs>
                      <w:tab w:val="left" w:pos="3225"/>
                    </w:tabs>
                    <w:spacing w:line="240" w:lineRule="exact"/>
                    <w:jc w:val="center"/>
                    <w:rPr>
                      <w:rFonts w:hint="default"/>
                      <w:color w:val="auto"/>
                      <w:szCs w:val="21"/>
                      <w:lang w:val="en-US" w:eastAsia="zh-CN"/>
                    </w:rPr>
                  </w:pPr>
                  <w:r>
                    <w:rPr>
                      <w:rFonts w:hint="eastAsia"/>
                      <w:color w:val="auto"/>
                      <w:szCs w:val="21"/>
                      <w:lang w:val="en-US" w:eastAsia="zh-CN"/>
                    </w:rPr>
                    <w:t>82</w:t>
                  </w:r>
                </w:p>
              </w:tc>
              <w:tc>
                <w:tcPr>
                  <w:tcW w:w="1585" w:type="dxa"/>
                  <w:noWrap w:val="0"/>
                  <w:vAlign w:val="center"/>
                </w:tcPr>
                <w:p w14:paraId="13E47EE8">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氢氧化钠</w:t>
                  </w:r>
                </w:p>
              </w:tc>
              <w:tc>
                <w:tcPr>
                  <w:tcW w:w="615" w:type="dxa"/>
                  <w:noWrap w:val="0"/>
                  <w:vAlign w:val="center"/>
                </w:tcPr>
                <w:p w14:paraId="537DF018">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1B6A20A0">
                  <w:pPr>
                    <w:tabs>
                      <w:tab w:val="left" w:pos="3225"/>
                    </w:tabs>
                    <w:spacing w:line="240" w:lineRule="auto"/>
                    <w:jc w:val="center"/>
                    <w:rPr>
                      <w:rFonts w:hint="eastAsia"/>
                      <w:color w:val="auto"/>
                      <w:szCs w:val="21"/>
                      <w:lang w:val="en-US" w:eastAsia="zh-CN"/>
                    </w:rPr>
                  </w:pPr>
                  <w:r>
                    <w:rPr>
                      <w:rFonts w:hint="eastAsia"/>
                      <w:color w:val="auto"/>
                      <w:szCs w:val="21"/>
                      <w:lang w:val="en-US" w:eastAsia="zh-CN"/>
                    </w:rPr>
                    <w:t>2000</w:t>
                  </w:r>
                </w:p>
              </w:tc>
              <w:tc>
                <w:tcPr>
                  <w:tcW w:w="825" w:type="dxa"/>
                  <w:noWrap w:val="0"/>
                  <w:vAlign w:val="center"/>
                </w:tcPr>
                <w:p w14:paraId="3F2A1476">
                  <w:pPr>
                    <w:spacing w:line="240" w:lineRule="auto"/>
                    <w:jc w:val="center"/>
                    <w:rPr>
                      <w:rFonts w:hint="eastAsia"/>
                      <w:color w:val="auto"/>
                      <w:szCs w:val="21"/>
                      <w:lang w:val="en-US" w:eastAsia="zh-CN"/>
                    </w:rPr>
                  </w:pPr>
                  <w:r>
                    <w:rPr>
                      <w:rFonts w:hint="eastAsia"/>
                      <w:color w:val="auto"/>
                      <w:szCs w:val="21"/>
                      <w:lang w:val="en-US" w:eastAsia="zh-CN"/>
                    </w:rPr>
                    <w:t>200</w:t>
                  </w:r>
                </w:p>
              </w:tc>
              <w:tc>
                <w:tcPr>
                  <w:tcW w:w="945" w:type="dxa"/>
                  <w:noWrap w:val="0"/>
                  <w:vAlign w:val="center"/>
                </w:tcPr>
                <w:p w14:paraId="5DE15DF2">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2494F02A">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3083187">
                  <w:pPr>
                    <w:spacing w:line="240" w:lineRule="exact"/>
                    <w:jc w:val="center"/>
                    <w:rPr>
                      <w:rFonts w:hint="eastAsia"/>
                      <w:color w:val="0000FF"/>
                      <w:szCs w:val="21"/>
                      <w:lang w:val="en-US" w:eastAsia="zh-CN"/>
                    </w:rPr>
                  </w:pPr>
                </w:p>
              </w:tc>
              <w:tc>
                <w:tcPr>
                  <w:tcW w:w="540" w:type="dxa"/>
                  <w:vMerge w:val="continue"/>
                  <w:noWrap w:val="0"/>
                  <w:vAlign w:val="center"/>
                </w:tcPr>
                <w:p w14:paraId="2C9B0166">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14B23870">
                  <w:pPr>
                    <w:tabs>
                      <w:tab w:val="left" w:pos="3225"/>
                    </w:tabs>
                    <w:spacing w:line="240" w:lineRule="exact"/>
                    <w:jc w:val="center"/>
                    <w:rPr>
                      <w:rFonts w:hint="eastAsia"/>
                      <w:color w:val="0000FF"/>
                      <w:szCs w:val="21"/>
                      <w:lang w:eastAsia="zh-CN"/>
                    </w:rPr>
                  </w:pPr>
                </w:p>
              </w:tc>
            </w:tr>
            <w:tr w14:paraId="383F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1B69FA27">
                  <w:pPr>
                    <w:tabs>
                      <w:tab w:val="left" w:pos="3225"/>
                    </w:tabs>
                    <w:spacing w:line="240" w:lineRule="exact"/>
                    <w:jc w:val="center"/>
                    <w:rPr>
                      <w:rFonts w:hint="default"/>
                      <w:color w:val="auto"/>
                      <w:szCs w:val="21"/>
                      <w:lang w:val="en-US" w:eastAsia="zh-CN"/>
                    </w:rPr>
                  </w:pPr>
                  <w:r>
                    <w:rPr>
                      <w:rFonts w:hint="eastAsia"/>
                      <w:color w:val="auto"/>
                      <w:szCs w:val="21"/>
                      <w:lang w:val="en-US" w:eastAsia="zh-CN"/>
                    </w:rPr>
                    <w:t>83</w:t>
                  </w:r>
                </w:p>
              </w:tc>
              <w:tc>
                <w:tcPr>
                  <w:tcW w:w="1585" w:type="dxa"/>
                  <w:noWrap w:val="0"/>
                  <w:vAlign w:val="center"/>
                </w:tcPr>
                <w:p w14:paraId="59A06511">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氢氧化钠溶液[含量≥30%]</w:t>
                  </w:r>
                </w:p>
              </w:tc>
              <w:tc>
                <w:tcPr>
                  <w:tcW w:w="615" w:type="dxa"/>
                  <w:noWrap w:val="0"/>
                  <w:vAlign w:val="center"/>
                </w:tcPr>
                <w:p w14:paraId="6DEAC8EB">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06B7BE70">
                  <w:pPr>
                    <w:tabs>
                      <w:tab w:val="left" w:pos="3225"/>
                    </w:tabs>
                    <w:spacing w:line="240" w:lineRule="auto"/>
                    <w:jc w:val="center"/>
                    <w:rPr>
                      <w:rFonts w:hint="eastAsia"/>
                      <w:color w:val="auto"/>
                      <w:szCs w:val="21"/>
                      <w:lang w:val="en-US" w:eastAsia="zh-CN"/>
                    </w:rPr>
                  </w:pPr>
                  <w:r>
                    <w:rPr>
                      <w:rFonts w:hint="eastAsia"/>
                      <w:color w:val="auto"/>
                      <w:szCs w:val="21"/>
                      <w:lang w:val="en-US" w:eastAsia="zh-CN"/>
                    </w:rPr>
                    <w:t>2000</w:t>
                  </w:r>
                </w:p>
              </w:tc>
              <w:tc>
                <w:tcPr>
                  <w:tcW w:w="825" w:type="dxa"/>
                  <w:noWrap w:val="0"/>
                  <w:vAlign w:val="center"/>
                </w:tcPr>
                <w:p w14:paraId="44276A3B">
                  <w:pPr>
                    <w:spacing w:line="240" w:lineRule="auto"/>
                    <w:jc w:val="center"/>
                    <w:rPr>
                      <w:rFonts w:hint="eastAsia"/>
                      <w:color w:val="auto"/>
                      <w:szCs w:val="21"/>
                      <w:lang w:val="en-US" w:eastAsia="zh-CN"/>
                    </w:rPr>
                  </w:pPr>
                  <w:r>
                    <w:rPr>
                      <w:rFonts w:hint="eastAsia"/>
                      <w:color w:val="auto"/>
                      <w:szCs w:val="21"/>
                      <w:lang w:val="en-US" w:eastAsia="zh-CN"/>
                    </w:rPr>
                    <w:t>200</w:t>
                  </w:r>
                </w:p>
              </w:tc>
              <w:tc>
                <w:tcPr>
                  <w:tcW w:w="945" w:type="dxa"/>
                  <w:noWrap w:val="0"/>
                  <w:vAlign w:val="center"/>
                </w:tcPr>
                <w:p w14:paraId="2189CAD0">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4FD21F82">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25CC55A6">
                  <w:pPr>
                    <w:spacing w:line="240" w:lineRule="exact"/>
                    <w:jc w:val="center"/>
                    <w:rPr>
                      <w:rFonts w:hint="eastAsia"/>
                      <w:color w:val="0000FF"/>
                      <w:szCs w:val="21"/>
                      <w:lang w:val="en-US" w:eastAsia="zh-CN"/>
                    </w:rPr>
                  </w:pPr>
                </w:p>
              </w:tc>
              <w:tc>
                <w:tcPr>
                  <w:tcW w:w="540" w:type="dxa"/>
                  <w:vMerge w:val="continue"/>
                  <w:noWrap w:val="0"/>
                  <w:vAlign w:val="center"/>
                </w:tcPr>
                <w:p w14:paraId="0AA8AA35">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EE51060">
                  <w:pPr>
                    <w:tabs>
                      <w:tab w:val="left" w:pos="3225"/>
                    </w:tabs>
                    <w:spacing w:line="240" w:lineRule="exact"/>
                    <w:jc w:val="center"/>
                    <w:rPr>
                      <w:rFonts w:hint="eastAsia"/>
                      <w:color w:val="0000FF"/>
                      <w:szCs w:val="21"/>
                      <w:lang w:eastAsia="zh-CN"/>
                    </w:rPr>
                  </w:pPr>
                </w:p>
              </w:tc>
            </w:tr>
            <w:tr w14:paraId="5C4B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2BDD0375">
                  <w:pPr>
                    <w:tabs>
                      <w:tab w:val="left" w:pos="3225"/>
                    </w:tabs>
                    <w:spacing w:line="240" w:lineRule="exact"/>
                    <w:jc w:val="center"/>
                    <w:rPr>
                      <w:rFonts w:hint="default"/>
                      <w:color w:val="auto"/>
                      <w:szCs w:val="21"/>
                      <w:lang w:val="en-US" w:eastAsia="zh-CN"/>
                    </w:rPr>
                  </w:pPr>
                  <w:r>
                    <w:rPr>
                      <w:rFonts w:hint="eastAsia"/>
                      <w:color w:val="auto"/>
                      <w:szCs w:val="21"/>
                      <w:lang w:val="en-US" w:eastAsia="zh-CN"/>
                    </w:rPr>
                    <w:t>84</w:t>
                  </w:r>
                </w:p>
              </w:tc>
              <w:tc>
                <w:tcPr>
                  <w:tcW w:w="1585" w:type="dxa"/>
                  <w:noWrap w:val="0"/>
                  <w:vAlign w:val="center"/>
                </w:tcPr>
                <w:p w14:paraId="52E1D768">
                  <w:pPr>
                    <w:tabs>
                      <w:tab w:val="left" w:pos="3225"/>
                    </w:tabs>
                    <w:spacing w:line="240" w:lineRule="auto"/>
                    <w:jc w:val="center"/>
                    <w:rPr>
                      <w:rFonts w:hint="eastAsia"/>
                      <w:color w:val="auto"/>
                      <w:szCs w:val="21"/>
                      <w:lang w:val="en-US" w:eastAsia="zh-CN"/>
                    </w:rPr>
                  </w:pPr>
                  <w:r>
                    <w:rPr>
                      <w:rFonts w:hint="eastAsia"/>
                      <w:color w:val="auto"/>
                      <w:szCs w:val="21"/>
                      <w:lang w:val="en-US" w:eastAsia="zh-CN"/>
                    </w:rPr>
                    <w:t>盐酸</w:t>
                  </w:r>
                </w:p>
              </w:tc>
              <w:tc>
                <w:tcPr>
                  <w:tcW w:w="615" w:type="dxa"/>
                  <w:noWrap w:val="0"/>
                  <w:vAlign w:val="center"/>
                </w:tcPr>
                <w:p w14:paraId="64D54D53">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1976C9BE">
                  <w:pPr>
                    <w:tabs>
                      <w:tab w:val="left" w:pos="3225"/>
                    </w:tabs>
                    <w:spacing w:line="240" w:lineRule="auto"/>
                    <w:jc w:val="center"/>
                    <w:rPr>
                      <w:rFonts w:hint="eastAsia"/>
                      <w:color w:val="auto"/>
                      <w:szCs w:val="21"/>
                      <w:lang w:val="en-US" w:eastAsia="zh-CN"/>
                    </w:rPr>
                  </w:pPr>
                  <w:r>
                    <w:rPr>
                      <w:rFonts w:hint="eastAsia"/>
                      <w:color w:val="auto"/>
                      <w:szCs w:val="21"/>
                      <w:lang w:val="en-US" w:eastAsia="zh-CN"/>
                    </w:rPr>
                    <w:t>2000</w:t>
                  </w:r>
                </w:p>
              </w:tc>
              <w:tc>
                <w:tcPr>
                  <w:tcW w:w="825" w:type="dxa"/>
                  <w:noWrap w:val="0"/>
                  <w:vAlign w:val="center"/>
                </w:tcPr>
                <w:p w14:paraId="35AD381F">
                  <w:pPr>
                    <w:spacing w:line="240" w:lineRule="auto"/>
                    <w:jc w:val="center"/>
                    <w:rPr>
                      <w:rFonts w:hint="eastAsia"/>
                      <w:color w:val="auto"/>
                      <w:szCs w:val="21"/>
                      <w:lang w:val="en-US" w:eastAsia="zh-CN"/>
                    </w:rPr>
                  </w:pPr>
                  <w:r>
                    <w:rPr>
                      <w:rFonts w:hint="eastAsia"/>
                      <w:color w:val="auto"/>
                      <w:szCs w:val="21"/>
                      <w:lang w:val="en-US" w:eastAsia="zh-CN"/>
                    </w:rPr>
                    <w:t>200</w:t>
                  </w:r>
                </w:p>
              </w:tc>
              <w:tc>
                <w:tcPr>
                  <w:tcW w:w="945" w:type="dxa"/>
                  <w:noWrap w:val="0"/>
                  <w:vAlign w:val="center"/>
                </w:tcPr>
                <w:p w14:paraId="6D5D9592">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21B807C7">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1524556E">
                  <w:pPr>
                    <w:tabs>
                      <w:tab w:val="left" w:pos="3225"/>
                    </w:tabs>
                    <w:spacing w:line="240" w:lineRule="exact"/>
                    <w:jc w:val="center"/>
                    <w:rPr>
                      <w:rFonts w:hint="eastAsia"/>
                      <w:color w:val="0000FF"/>
                      <w:szCs w:val="21"/>
                      <w:lang w:val="en-US" w:eastAsia="zh-CN"/>
                    </w:rPr>
                  </w:pPr>
                  <w:r>
                    <w:rPr>
                      <w:rFonts w:hint="eastAsia"/>
                      <w:color w:val="auto"/>
                      <w:szCs w:val="21"/>
                      <w:u w:val="none"/>
                      <w:lang w:val="en-US" w:eastAsia="zh-CN"/>
                    </w:rPr>
                    <w:t>4号仓库危险化学品隔间B（酸储间）</w:t>
                  </w:r>
                </w:p>
              </w:tc>
              <w:tc>
                <w:tcPr>
                  <w:tcW w:w="540" w:type="dxa"/>
                  <w:vMerge w:val="continue"/>
                  <w:noWrap w:val="0"/>
                  <w:vAlign w:val="center"/>
                </w:tcPr>
                <w:p w14:paraId="359C84F9">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4F49346E">
                  <w:pPr>
                    <w:tabs>
                      <w:tab w:val="left" w:pos="3225"/>
                    </w:tabs>
                    <w:spacing w:line="240" w:lineRule="exact"/>
                    <w:jc w:val="center"/>
                    <w:rPr>
                      <w:rFonts w:hint="eastAsia"/>
                      <w:color w:val="0000FF"/>
                      <w:szCs w:val="21"/>
                      <w:lang w:eastAsia="zh-CN"/>
                    </w:rPr>
                  </w:pPr>
                </w:p>
              </w:tc>
            </w:tr>
            <w:tr w14:paraId="5627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06B0E9D">
                  <w:pPr>
                    <w:tabs>
                      <w:tab w:val="left" w:pos="3225"/>
                    </w:tabs>
                    <w:spacing w:line="240" w:lineRule="exact"/>
                    <w:jc w:val="center"/>
                    <w:rPr>
                      <w:rFonts w:hint="default"/>
                      <w:color w:val="auto"/>
                      <w:szCs w:val="21"/>
                      <w:lang w:val="en-US" w:eastAsia="zh-CN"/>
                    </w:rPr>
                  </w:pPr>
                  <w:r>
                    <w:rPr>
                      <w:rFonts w:hint="eastAsia"/>
                      <w:color w:val="auto"/>
                      <w:szCs w:val="21"/>
                      <w:lang w:val="en-US" w:eastAsia="zh-CN"/>
                    </w:rPr>
                    <w:t>85</w:t>
                  </w:r>
                </w:p>
              </w:tc>
              <w:tc>
                <w:tcPr>
                  <w:tcW w:w="1585" w:type="dxa"/>
                  <w:noWrap w:val="0"/>
                  <w:vAlign w:val="center"/>
                </w:tcPr>
                <w:p w14:paraId="51C6C7AE">
                  <w:pPr>
                    <w:tabs>
                      <w:tab w:val="left" w:pos="3225"/>
                    </w:tabs>
                    <w:spacing w:line="240" w:lineRule="auto"/>
                    <w:jc w:val="center"/>
                    <w:rPr>
                      <w:rFonts w:hint="eastAsia"/>
                      <w:color w:val="auto"/>
                      <w:szCs w:val="21"/>
                      <w:lang w:val="en-US" w:eastAsia="zh-CN"/>
                    </w:rPr>
                  </w:pPr>
                  <w:r>
                    <w:rPr>
                      <w:rFonts w:hint="eastAsia"/>
                      <w:color w:val="auto"/>
                      <w:szCs w:val="21"/>
                      <w:lang w:val="en-US" w:eastAsia="zh-CN"/>
                    </w:rPr>
                    <w:t>正磷酸</w:t>
                  </w:r>
                </w:p>
              </w:tc>
              <w:tc>
                <w:tcPr>
                  <w:tcW w:w="615" w:type="dxa"/>
                  <w:noWrap w:val="0"/>
                  <w:vAlign w:val="center"/>
                </w:tcPr>
                <w:p w14:paraId="1CE03724">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63C0263A">
                  <w:pPr>
                    <w:tabs>
                      <w:tab w:val="left" w:pos="3225"/>
                    </w:tabs>
                    <w:spacing w:line="240" w:lineRule="auto"/>
                    <w:jc w:val="center"/>
                    <w:rPr>
                      <w:rFonts w:hint="eastAsia"/>
                      <w:color w:val="auto"/>
                      <w:szCs w:val="21"/>
                      <w:lang w:val="en-US" w:eastAsia="zh-CN"/>
                    </w:rPr>
                  </w:pPr>
                  <w:r>
                    <w:rPr>
                      <w:rFonts w:hint="eastAsia"/>
                      <w:color w:val="auto"/>
                      <w:szCs w:val="21"/>
                      <w:lang w:val="en-US" w:eastAsia="zh-CN"/>
                    </w:rPr>
                    <w:t>2000</w:t>
                  </w:r>
                </w:p>
              </w:tc>
              <w:tc>
                <w:tcPr>
                  <w:tcW w:w="825" w:type="dxa"/>
                  <w:noWrap w:val="0"/>
                  <w:vAlign w:val="center"/>
                </w:tcPr>
                <w:p w14:paraId="2B03D63E">
                  <w:pPr>
                    <w:spacing w:line="240" w:lineRule="auto"/>
                    <w:jc w:val="center"/>
                    <w:rPr>
                      <w:rFonts w:hint="eastAsia"/>
                      <w:color w:val="auto"/>
                      <w:szCs w:val="21"/>
                      <w:lang w:val="en-US" w:eastAsia="zh-CN"/>
                    </w:rPr>
                  </w:pPr>
                  <w:r>
                    <w:rPr>
                      <w:rFonts w:hint="eastAsia"/>
                      <w:color w:val="auto"/>
                      <w:szCs w:val="21"/>
                      <w:lang w:val="en-US" w:eastAsia="zh-CN"/>
                    </w:rPr>
                    <w:t>200</w:t>
                  </w:r>
                </w:p>
              </w:tc>
              <w:tc>
                <w:tcPr>
                  <w:tcW w:w="945" w:type="dxa"/>
                  <w:noWrap w:val="0"/>
                  <w:vAlign w:val="center"/>
                </w:tcPr>
                <w:p w14:paraId="5A5CFF9B">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10204359">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4F09FA5">
                  <w:pPr>
                    <w:spacing w:line="240" w:lineRule="exact"/>
                    <w:jc w:val="center"/>
                    <w:rPr>
                      <w:rFonts w:hint="eastAsia"/>
                      <w:color w:val="0000FF"/>
                      <w:szCs w:val="21"/>
                      <w:lang w:val="en-US" w:eastAsia="zh-CN"/>
                    </w:rPr>
                  </w:pPr>
                </w:p>
              </w:tc>
              <w:tc>
                <w:tcPr>
                  <w:tcW w:w="540" w:type="dxa"/>
                  <w:vMerge w:val="continue"/>
                  <w:noWrap w:val="0"/>
                  <w:vAlign w:val="center"/>
                </w:tcPr>
                <w:p w14:paraId="2EF365F2">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6EBAE9B">
                  <w:pPr>
                    <w:tabs>
                      <w:tab w:val="left" w:pos="3225"/>
                    </w:tabs>
                    <w:spacing w:line="240" w:lineRule="exact"/>
                    <w:jc w:val="center"/>
                    <w:rPr>
                      <w:rFonts w:hint="eastAsia"/>
                      <w:color w:val="0000FF"/>
                      <w:szCs w:val="21"/>
                      <w:lang w:eastAsia="zh-CN"/>
                    </w:rPr>
                  </w:pPr>
                </w:p>
              </w:tc>
            </w:tr>
            <w:tr w14:paraId="4C5F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CA261BE">
                  <w:pPr>
                    <w:tabs>
                      <w:tab w:val="left" w:pos="3225"/>
                    </w:tabs>
                    <w:spacing w:line="240" w:lineRule="exact"/>
                    <w:jc w:val="center"/>
                    <w:rPr>
                      <w:rFonts w:hint="default"/>
                      <w:color w:val="auto"/>
                      <w:szCs w:val="21"/>
                      <w:lang w:val="en-US" w:eastAsia="zh-CN"/>
                    </w:rPr>
                  </w:pPr>
                  <w:r>
                    <w:rPr>
                      <w:rFonts w:hint="eastAsia"/>
                      <w:color w:val="auto"/>
                      <w:szCs w:val="21"/>
                      <w:lang w:val="en-US" w:eastAsia="zh-CN"/>
                    </w:rPr>
                    <w:t>86</w:t>
                  </w:r>
                </w:p>
              </w:tc>
              <w:tc>
                <w:tcPr>
                  <w:tcW w:w="1585" w:type="dxa"/>
                  <w:noWrap w:val="0"/>
                  <w:vAlign w:val="center"/>
                </w:tcPr>
                <w:p w14:paraId="081624D3">
                  <w:pPr>
                    <w:tabs>
                      <w:tab w:val="left" w:pos="3225"/>
                    </w:tabs>
                    <w:spacing w:line="240" w:lineRule="auto"/>
                    <w:jc w:val="center"/>
                    <w:rPr>
                      <w:rFonts w:hint="eastAsia"/>
                      <w:color w:val="auto"/>
                      <w:szCs w:val="21"/>
                      <w:lang w:val="en-US" w:eastAsia="zh-CN"/>
                    </w:rPr>
                  </w:pPr>
                  <w:r>
                    <w:rPr>
                      <w:rFonts w:hint="eastAsia"/>
                      <w:color w:val="auto"/>
                      <w:szCs w:val="21"/>
                      <w:lang w:val="en-US" w:eastAsia="zh-CN"/>
                    </w:rPr>
                    <w:t>多聚磷酸</w:t>
                  </w:r>
                </w:p>
              </w:tc>
              <w:tc>
                <w:tcPr>
                  <w:tcW w:w="615" w:type="dxa"/>
                  <w:noWrap w:val="0"/>
                  <w:vAlign w:val="center"/>
                </w:tcPr>
                <w:p w14:paraId="6F9F71D7">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1FE841BA">
                  <w:pPr>
                    <w:tabs>
                      <w:tab w:val="left" w:pos="3225"/>
                    </w:tabs>
                    <w:spacing w:line="240" w:lineRule="auto"/>
                    <w:jc w:val="center"/>
                    <w:rPr>
                      <w:rFonts w:hint="eastAsia"/>
                      <w:color w:val="auto"/>
                      <w:szCs w:val="21"/>
                      <w:lang w:val="en-US" w:eastAsia="zh-CN"/>
                    </w:rPr>
                  </w:pPr>
                  <w:r>
                    <w:rPr>
                      <w:rFonts w:hint="eastAsia"/>
                      <w:color w:val="auto"/>
                      <w:szCs w:val="21"/>
                      <w:lang w:val="en-US" w:eastAsia="zh-CN"/>
                    </w:rPr>
                    <w:t>2000</w:t>
                  </w:r>
                </w:p>
              </w:tc>
              <w:tc>
                <w:tcPr>
                  <w:tcW w:w="825" w:type="dxa"/>
                  <w:noWrap w:val="0"/>
                  <w:vAlign w:val="center"/>
                </w:tcPr>
                <w:p w14:paraId="76B06444">
                  <w:pPr>
                    <w:spacing w:line="240" w:lineRule="auto"/>
                    <w:jc w:val="center"/>
                    <w:rPr>
                      <w:rFonts w:hint="eastAsia"/>
                      <w:color w:val="auto"/>
                      <w:szCs w:val="21"/>
                      <w:lang w:val="en-US" w:eastAsia="zh-CN"/>
                    </w:rPr>
                  </w:pPr>
                  <w:r>
                    <w:rPr>
                      <w:rFonts w:hint="eastAsia"/>
                      <w:color w:val="auto"/>
                      <w:szCs w:val="21"/>
                      <w:lang w:val="en-US" w:eastAsia="zh-CN"/>
                    </w:rPr>
                    <w:t>200</w:t>
                  </w:r>
                </w:p>
              </w:tc>
              <w:tc>
                <w:tcPr>
                  <w:tcW w:w="945" w:type="dxa"/>
                  <w:noWrap w:val="0"/>
                  <w:vAlign w:val="center"/>
                </w:tcPr>
                <w:p w14:paraId="2EF0B476">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0A51EEB2">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0FE6E6A">
                  <w:pPr>
                    <w:spacing w:line="240" w:lineRule="exact"/>
                    <w:jc w:val="center"/>
                    <w:rPr>
                      <w:rFonts w:hint="eastAsia"/>
                      <w:color w:val="0000FF"/>
                      <w:szCs w:val="21"/>
                      <w:lang w:val="en-US" w:eastAsia="zh-CN"/>
                    </w:rPr>
                  </w:pPr>
                </w:p>
              </w:tc>
              <w:tc>
                <w:tcPr>
                  <w:tcW w:w="540" w:type="dxa"/>
                  <w:vMerge w:val="continue"/>
                  <w:noWrap w:val="0"/>
                  <w:vAlign w:val="center"/>
                </w:tcPr>
                <w:p w14:paraId="1CB82E40">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13F34EC">
                  <w:pPr>
                    <w:tabs>
                      <w:tab w:val="left" w:pos="3225"/>
                    </w:tabs>
                    <w:spacing w:line="240" w:lineRule="exact"/>
                    <w:jc w:val="center"/>
                    <w:rPr>
                      <w:rFonts w:hint="eastAsia"/>
                      <w:color w:val="0000FF"/>
                      <w:szCs w:val="21"/>
                      <w:lang w:eastAsia="zh-CN"/>
                    </w:rPr>
                  </w:pPr>
                </w:p>
              </w:tc>
            </w:tr>
            <w:tr w14:paraId="20B3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2F0C9318">
                  <w:pPr>
                    <w:tabs>
                      <w:tab w:val="left" w:pos="3225"/>
                    </w:tabs>
                    <w:spacing w:line="240" w:lineRule="exact"/>
                    <w:jc w:val="center"/>
                    <w:rPr>
                      <w:rFonts w:hint="default"/>
                      <w:color w:val="auto"/>
                      <w:szCs w:val="21"/>
                      <w:lang w:val="en-US" w:eastAsia="zh-CN"/>
                    </w:rPr>
                  </w:pPr>
                  <w:r>
                    <w:rPr>
                      <w:rFonts w:hint="eastAsia"/>
                      <w:color w:val="auto"/>
                      <w:szCs w:val="21"/>
                      <w:lang w:val="en-US" w:eastAsia="zh-CN"/>
                    </w:rPr>
                    <w:t>87</w:t>
                  </w:r>
                </w:p>
              </w:tc>
              <w:tc>
                <w:tcPr>
                  <w:tcW w:w="1585" w:type="dxa"/>
                  <w:noWrap w:val="0"/>
                  <w:vAlign w:val="center"/>
                </w:tcPr>
                <w:p w14:paraId="6EA58A7A">
                  <w:pPr>
                    <w:tabs>
                      <w:tab w:val="left" w:pos="3225"/>
                    </w:tabs>
                    <w:spacing w:line="240" w:lineRule="auto"/>
                    <w:jc w:val="center"/>
                    <w:rPr>
                      <w:rFonts w:hint="eastAsia"/>
                      <w:color w:val="auto"/>
                      <w:szCs w:val="21"/>
                      <w:lang w:val="en-US" w:eastAsia="zh-CN"/>
                    </w:rPr>
                  </w:pPr>
                  <w:r>
                    <w:rPr>
                      <w:rFonts w:hint="eastAsia"/>
                      <w:color w:val="auto"/>
                      <w:szCs w:val="21"/>
                      <w:lang w:val="en-US" w:eastAsia="zh-CN"/>
                    </w:rPr>
                    <w:t>硫酸镍</w:t>
                  </w:r>
                </w:p>
              </w:tc>
              <w:tc>
                <w:tcPr>
                  <w:tcW w:w="615" w:type="dxa"/>
                  <w:noWrap w:val="0"/>
                  <w:vAlign w:val="center"/>
                </w:tcPr>
                <w:p w14:paraId="763BAA29">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527368E5">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6D9E1ED6">
                  <w:pPr>
                    <w:tabs>
                      <w:tab w:val="left" w:pos="3225"/>
                    </w:tabs>
                    <w:spacing w:line="240" w:lineRule="auto"/>
                    <w:jc w:val="center"/>
                    <w:rPr>
                      <w:rFonts w:hint="default"/>
                      <w:color w:val="auto"/>
                      <w:szCs w:val="21"/>
                      <w:lang w:val="en-US" w:eastAsia="zh-CN"/>
                    </w:rPr>
                  </w:pPr>
                  <w:r>
                    <w:rPr>
                      <w:rFonts w:hint="eastAsia"/>
                      <w:color w:val="auto"/>
                      <w:szCs w:val="21"/>
                      <w:lang w:val="en-US" w:eastAsia="zh-CN"/>
                    </w:rPr>
                    <w:t>100</w:t>
                  </w:r>
                </w:p>
              </w:tc>
              <w:tc>
                <w:tcPr>
                  <w:tcW w:w="945" w:type="dxa"/>
                  <w:noWrap w:val="0"/>
                  <w:vAlign w:val="center"/>
                </w:tcPr>
                <w:p w14:paraId="33503EB4">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629CF229">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15F5D94C">
                  <w:pPr>
                    <w:tabs>
                      <w:tab w:val="left" w:pos="3225"/>
                    </w:tabs>
                    <w:spacing w:line="240" w:lineRule="exact"/>
                    <w:jc w:val="center"/>
                    <w:rPr>
                      <w:rFonts w:hint="eastAsia"/>
                      <w:color w:val="0000FF"/>
                      <w:szCs w:val="21"/>
                      <w:lang w:val="en-US" w:eastAsia="zh-CN"/>
                    </w:rPr>
                  </w:pPr>
                  <w:r>
                    <w:rPr>
                      <w:rFonts w:hint="eastAsia" w:ascii="Times New Roman" w:hAnsi="Times New Roman" w:eastAsia="宋体" w:cs="Times New Roman"/>
                      <w:color w:val="auto"/>
                      <w:szCs w:val="21"/>
                      <w:u w:val="none"/>
                      <w:lang w:val="en-US" w:eastAsia="zh-CN"/>
                    </w:rPr>
                    <w:t>4号仓库危险化学品隔间C（毒害品储间）</w:t>
                  </w:r>
                </w:p>
              </w:tc>
              <w:tc>
                <w:tcPr>
                  <w:tcW w:w="540" w:type="dxa"/>
                  <w:vMerge w:val="continue"/>
                  <w:noWrap w:val="0"/>
                  <w:vAlign w:val="center"/>
                </w:tcPr>
                <w:p w14:paraId="5E9880EC">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0D7B1528">
                  <w:pPr>
                    <w:tabs>
                      <w:tab w:val="left" w:pos="3225"/>
                    </w:tabs>
                    <w:spacing w:line="240" w:lineRule="exact"/>
                    <w:jc w:val="center"/>
                    <w:rPr>
                      <w:rFonts w:hint="eastAsia"/>
                      <w:color w:val="0000FF"/>
                      <w:szCs w:val="21"/>
                      <w:lang w:eastAsia="zh-CN"/>
                    </w:rPr>
                  </w:pPr>
                </w:p>
              </w:tc>
            </w:tr>
            <w:tr w14:paraId="1447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16ED6B79">
                  <w:pPr>
                    <w:tabs>
                      <w:tab w:val="left" w:pos="3225"/>
                    </w:tabs>
                    <w:spacing w:line="240" w:lineRule="exact"/>
                    <w:jc w:val="center"/>
                    <w:rPr>
                      <w:rFonts w:hint="default"/>
                      <w:color w:val="auto"/>
                      <w:szCs w:val="21"/>
                      <w:lang w:val="en-US" w:eastAsia="zh-CN"/>
                    </w:rPr>
                  </w:pPr>
                  <w:r>
                    <w:rPr>
                      <w:rFonts w:hint="eastAsia"/>
                      <w:color w:val="auto"/>
                      <w:szCs w:val="21"/>
                      <w:lang w:val="en-US" w:eastAsia="zh-CN"/>
                    </w:rPr>
                    <w:t>88</w:t>
                  </w:r>
                </w:p>
              </w:tc>
              <w:tc>
                <w:tcPr>
                  <w:tcW w:w="1585" w:type="dxa"/>
                  <w:noWrap w:val="0"/>
                  <w:vAlign w:val="center"/>
                </w:tcPr>
                <w:p w14:paraId="40B2CCF4">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氟硅酸钾</w:t>
                  </w:r>
                </w:p>
              </w:tc>
              <w:tc>
                <w:tcPr>
                  <w:tcW w:w="615" w:type="dxa"/>
                  <w:noWrap w:val="0"/>
                  <w:vAlign w:val="center"/>
                </w:tcPr>
                <w:p w14:paraId="6AF57AD9">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2C61DD6A">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3F67E8F5">
                  <w:pPr>
                    <w:tabs>
                      <w:tab w:val="left" w:pos="3225"/>
                    </w:tabs>
                    <w:spacing w:line="240" w:lineRule="auto"/>
                    <w:jc w:val="center"/>
                    <w:rPr>
                      <w:rFonts w:hint="eastAsia"/>
                      <w:color w:val="auto"/>
                      <w:szCs w:val="21"/>
                      <w:lang w:val="en-US" w:eastAsia="zh-CN"/>
                    </w:rPr>
                  </w:pPr>
                  <w:r>
                    <w:rPr>
                      <w:rFonts w:hint="eastAsia"/>
                      <w:color w:val="auto"/>
                      <w:szCs w:val="21"/>
                      <w:lang w:val="en-US" w:eastAsia="zh-CN"/>
                    </w:rPr>
                    <w:t>100</w:t>
                  </w:r>
                </w:p>
              </w:tc>
              <w:tc>
                <w:tcPr>
                  <w:tcW w:w="945" w:type="dxa"/>
                  <w:noWrap w:val="0"/>
                  <w:vAlign w:val="center"/>
                </w:tcPr>
                <w:p w14:paraId="61CF957D">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7AE1CC24">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65EBC37">
                  <w:pPr>
                    <w:spacing w:line="240" w:lineRule="exact"/>
                    <w:jc w:val="center"/>
                    <w:rPr>
                      <w:rFonts w:hint="eastAsia"/>
                      <w:color w:val="0000FF"/>
                      <w:szCs w:val="21"/>
                      <w:lang w:val="en-US" w:eastAsia="zh-CN"/>
                    </w:rPr>
                  </w:pPr>
                </w:p>
              </w:tc>
              <w:tc>
                <w:tcPr>
                  <w:tcW w:w="540" w:type="dxa"/>
                  <w:vMerge w:val="continue"/>
                  <w:noWrap w:val="0"/>
                  <w:vAlign w:val="center"/>
                </w:tcPr>
                <w:p w14:paraId="205D493A">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A3C23E3">
                  <w:pPr>
                    <w:tabs>
                      <w:tab w:val="left" w:pos="3225"/>
                    </w:tabs>
                    <w:spacing w:line="240" w:lineRule="exact"/>
                    <w:jc w:val="center"/>
                    <w:rPr>
                      <w:rFonts w:hint="eastAsia"/>
                      <w:color w:val="0000FF"/>
                      <w:szCs w:val="21"/>
                      <w:lang w:eastAsia="zh-CN"/>
                    </w:rPr>
                  </w:pPr>
                </w:p>
              </w:tc>
            </w:tr>
            <w:tr w14:paraId="786B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DC3705E">
                  <w:pPr>
                    <w:tabs>
                      <w:tab w:val="left" w:pos="3225"/>
                    </w:tabs>
                    <w:spacing w:line="240" w:lineRule="exact"/>
                    <w:jc w:val="center"/>
                    <w:rPr>
                      <w:rFonts w:hint="default"/>
                      <w:color w:val="auto"/>
                      <w:szCs w:val="21"/>
                      <w:lang w:val="en-US" w:eastAsia="zh-CN"/>
                    </w:rPr>
                  </w:pPr>
                  <w:r>
                    <w:rPr>
                      <w:rFonts w:hint="eastAsia"/>
                      <w:color w:val="auto"/>
                      <w:szCs w:val="21"/>
                      <w:lang w:val="en-US" w:eastAsia="zh-CN"/>
                    </w:rPr>
                    <w:t>89</w:t>
                  </w:r>
                </w:p>
              </w:tc>
              <w:tc>
                <w:tcPr>
                  <w:tcW w:w="1585" w:type="dxa"/>
                  <w:noWrap w:val="0"/>
                  <w:vAlign w:val="center"/>
                </w:tcPr>
                <w:p w14:paraId="43E7C63F">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氟硅酸钠</w:t>
                  </w:r>
                </w:p>
              </w:tc>
              <w:tc>
                <w:tcPr>
                  <w:tcW w:w="615" w:type="dxa"/>
                  <w:noWrap w:val="0"/>
                  <w:vAlign w:val="center"/>
                </w:tcPr>
                <w:p w14:paraId="570DA1AF">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71AA8496">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795DA7E6">
                  <w:pPr>
                    <w:tabs>
                      <w:tab w:val="left" w:pos="3225"/>
                    </w:tabs>
                    <w:spacing w:line="240" w:lineRule="auto"/>
                    <w:jc w:val="center"/>
                    <w:rPr>
                      <w:rFonts w:hint="eastAsia"/>
                      <w:color w:val="auto"/>
                      <w:szCs w:val="21"/>
                      <w:lang w:val="en-US" w:eastAsia="zh-CN"/>
                    </w:rPr>
                  </w:pPr>
                  <w:r>
                    <w:rPr>
                      <w:rFonts w:hint="eastAsia"/>
                      <w:color w:val="auto"/>
                      <w:szCs w:val="21"/>
                      <w:lang w:val="en-US" w:eastAsia="zh-CN"/>
                    </w:rPr>
                    <w:t>100</w:t>
                  </w:r>
                </w:p>
              </w:tc>
              <w:tc>
                <w:tcPr>
                  <w:tcW w:w="945" w:type="dxa"/>
                  <w:noWrap w:val="0"/>
                  <w:vAlign w:val="center"/>
                </w:tcPr>
                <w:p w14:paraId="5E601241">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6A67C94C">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0872AA9">
                  <w:pPr>
                    <w:spacing w:line="240" w:lineRule="exact"/>
                    <w:jc w:val="center"/>
                    <w:rPr>
                      <w:rFonts w:hint="eastAsia"/>
                      <w:color w:val="0000FF"/>
                      <w:szCs w:val="21"/>
                      <w:lang w:val="en-US" w:eastAsia="zh-CN"/>
                    </w:rPr>
                  </w:pPr>
                </w:p>
              </w:tc>
              <w:tc>
                <w:tcPr>
                  <w:tcW w:w="540" w:type="dxa"/>
                  <w:vMerge w:val="continue"/>
                  <w:noWrap w:val="0"/>
                  <w:vAlign w:val="center"/>
                </w:tcPr>
                <w:p w14:paraId="3FB7CA4E">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515E38D">
                  <w:pPr>
                    <w:tabs>
                      <w:tab w:val="left" w:pos="3225"/>
                    </w:tabs>
                    <w:spacing w:line="240" w:lineRule="exact"/>
                    <w:jc w:val="center"/>
                    <w:rPr>
                      <w:rFonts w:hint="eastAsia"/>
                      <w:color w:val="0000FF"/>
                      <w:szCs w:val="21"/>
                      <w:lang w:eastAsia="zh-CN"/>
                    </w:rPr>
                  </w:pPr>
                </w:p>
              </w:tc>
            </w:tr>
            <w:tr w14:paraId="2EB8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A8D6CAE">
                  <w:pPr>
                    <w:tabs>
                      <w:tab w:val="left" w:pos="3225"/>
                    </w:tabs>
                    <w:spacing w:line="240" w:lineRule="exact"/>
                    <w:jc w:val="center"/>
                    <w:rPr>
                      <w:rFonts w:hint="default"/>
                      <w:color w:val="auto"/>
                      <w:szCs w:val="21"/>
                      <w:lang w:val="en-US" w:eastAsia="zh-CN"/>
                    </w:rPr>
                  </w:pPr>
                  <w:r>
                    <w:rPr>
                      <w:rFonts w:hint="eastAsia"/>
                      <w:color w:val="auto"/>
                      <w:szCs w:val="21"/>
                      <w:lang w:val="en-US" w:eastAsia="zh-CN"/>
                    </w:rPr>
                    <w:t>90</w:t>
                  </w:r>
                </w:p>
              </w:tc>
              <w:tc>
                <w:tcPr>
                  <w:tcW w:w="1585" w:type="dxa"/>
                  <w:noWrap w:val="0"/>
                  <w:vAlign w:val="center"/>
                </w:tcPr>
                <w:p w14:paraId="0B423A05">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氟化铵</w:t>
                  </w:r>
                </w:p>
              </w:tc>
              <w:tc>
                <w:tcPr>
                  <w:tcW w:w="615" w:type="dxa"/>
                  <w:noWrap w:val="0"/>
                  <w:vAlign w:val="center"/>
                </w:tcPr>
                <w:p w14:paraId="3F8F8A2F">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39C0BD29">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7DA36C73">
                  <w:pPr>
                    <w:tabs>
                      <w:tab w:val="left" w:pos="3225"/>
                    </w:tabs>
                    <w:spacing w:line="240" w:lineRule="auto"/>
                    <w:jc w:val="center"/>
                    <w:rPr>
                      <w:rFonts w:hint="eastAsia"/>
                      <w:color w:val="auto"/>
                      <w:szCs w:val="21"/>
                      <w:lang w:val="en-US" w:eastAsia="zh-CN"/>
                    </w:rPr>
                  </w:pPr>
                  <w:r>
                    <w:rPr>
                      <w:rFonts w:hint="eastAsia"/>
                      <w:color w:val="auto"/>
                      <w:szCs w:val="21"/>
                      <w:lang w:val="en-US" w:eastAsia="zh-CN"/>
                    </w:rPr>
                    <w:t>100</w:t>
                  </w:r>
                </w:p>
              </w:tc>
              <w:tc>
                <w:tcPr>
                  <w:tcW w:w="945" w:type="dxa"/>
                  <w:noWrap w:val="0"/>
                  <w:vAlign w:val="center"/>
                </w:tcPr>
                <w:p w14:paraId="61E36CD2">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01449959">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16F9C756">
                  <w:pPr>
                    <w:spacing w:line="240" w:lineRule="exact"/>
                    <w:jc w:val="center"/>
                    <w:rPr>
                      <w:rFonts w:hint="eastAsia"/>
                      <w:color w:val="0000FF"/>
                      <w:szCs w:val="21"/>
                      <w:lang w:val="en-US" w:eastAsia="zh-CN"/>
                    </w:rPr>
                  </w:pPr>
                </w:p>
              </w:tc>
              <w:tc>
                <w:tcPr>
                  <w:tcW w:w="540" w:type="dxa"/>
                  <w:vMerge w:val="continue"/>
                  <w:noWrap w:val="0"/>
                  <w:vAlign w:val="center"/>
                </w:tcPr>
                <w:p w14:paraId="3AB7219C">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9A019B6">
                  <w:pPr>
                    <w:tabs>
                      <w:tab w:val="left" w:pos="3225"/>
                    </w:tabs>
                    <w:spacing w:line="240" w:lineRule="exact"/>
                    <w:jc w:val="center"/>
                    <w:rPr>
                      <w:rFonts w:hint="eastAsia"/>
                      <w:color w:val="0000FF"/>
                      <w:szCs w:val="21"/>
                      <w:lang w:eastAsia="zh-CN"/>
                    </w:rPr>
                  </w:pPr>
                </w:p>
              </w:tc>
            </w:tr>
            <w:tr w14:paraId="28CE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8B51A45">
                  <w:pPr>
                    <w:tabs>
                      <w:tab w:val="left" w:pos="3225"/>
                    </w:tabs>
                    <w:spacing w:line="240" w:lineRule="exact"/>
                    <w:jc w:val="center"/>
                    <w:rPr>
                      <w:rFonts w:hint="default"/>
                      <w:color w:val="auto"/>
                      <w:szCs w:val="21"/>
                      <w:lang w:val="en-US" w:eastAsia="zh-CN"/>
                    </w:rPr>
                  </w:pPr>
                  <w:r>
                    <w:rPr>
                      <w:rFonts w:hint="eastAsia"/>
                      <w:color w:val="auto"/>
                      <w:szCs w:val="21"/>
                      <w:lang w:val="en-US" w:eastAsia="zh-CN"/>
                    </w:rPr>
                    <w:t>91</w:t>
                  </w:r>
                </w:p>
              </w:tc>
              <w:tc>
                <w:tcPr>
                  <w:tcW w:w="1585" w:type="dxa"/>
                  <w:noWrap w:val="0"/>
                  <w:vAlign w:val="center"/>
                </w:tcPr>
                <w:p w14:paraId="31C99608">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氟化钡</w:t>
                  </w:r>
                </w:p>
              </w:tc>
              <w:tc>
                <w:tcPr>
                  <w:tcW w:w="615" w:type="dxa"/>
                  <w:noWrap w:val="0"/>
                  <w:vAlign w:val="center"/>
                </w:tcPr>
                <w:p w14:paraId="6D15826C">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10ACC582">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1F3F8BF4">
                  <w:pPr>
                    <w:tabs>
                      <w:tab w:val="left" w:pos="3225"/>
                    </w:tabs>
                    <w:spacing w:line="240" w:lineRule="auto"/>
                    <w:jc w:val="center"/>
                    <w:rPr>
                      <w:rFonts w:hint="eastAsia"/>
                      <w:color w:val="auto"/>
                      <w:szCs w:val="21"/>
                      <w:lang w:val="en-US" w:eastAsia="zh-CN"/>
                    </w:rPr>
                  </w:pPr>
                  <w:r>
                    <w:rPr>
                      <w:rFonts w:hint="eastAsia"/>
                      <w:color w:val="auto"/>
                      <w:szCs w:val="21"/>
                      <w:lang w:val="en-US" w:eastAsia="zh-CN"/>
                    </w:rPr>
                    <w:t>100</w:t>
                  </w:r>
                </w:p>
              </w:tc>
              <w:tc>
                <w:tcPr>
                  <w:tcW w:w="945" w:type="dxa"/>
                  <w:noWrap w:val="0"/>
                  <w:vAlign w:val="center"/>
                </w:tcPr>
                <w:p w14:paraId="20ABDC2E">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25467EA7">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E86B98A">
                  <w:pPr>
                    <w:spacing w:line="240" w:lineRule="exact"/>
                    <w:jc w:val="center"/>
                    <w:rPr>
                      <w:rFonts w:hint="eastAsia"/>
                      <w:color w:val="0000FF"/>
                      <w:szCs w:val="21"/>
                      <w:lang w:val="en-US" w:eastAsia="zh-CN"/>
                    </w:rPr>
                  </w:pPr>
                </w:p>
              </w:tc>
              <w:tc>
                <w:tcPr>
                  <w:tcW w:w="540" w:type="dxa"/>
                  <w:vMerge w:val="continue"/>
                  <w:noWrap w:val="0"/>
                  <w:vAlign w:val="center"/>
                </w:tcPr>
                <w:p w14:paraId="0978B004">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1663A78C">
                  <w:pPr>
                    <w:tabs>
                      <w:tab w:val="left" w:pos="3225"/>
                    </w:tabs>
                    <w:spacing w:line="240" w:lineRule="exact"/>
                    <w:jc w:val="center"/>
                    <w:rPr>
                      <w:rFonts w:hint="eastAsia"/>
                      <w:color w:val="0000FF"/>
                      <w:szCs w:val="21"/>
                      <w:lang w:eastAsia="zh-CN"/>
                    </w:rPr>
                  </w:pPr>
                </w:p>
              </w:tc>
            </w:tr>
            <w:tr w14:paraId="2C8A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2117B046">
                  <w:pPr>
                    <w:tabs>
                      <w:tab w:val="left" w:pos="3225"/>
                    </w:tabs>
                    <w:spacing w:line="240" w:lineRule="exact"/>
                    <w:jc w:val="center"/>
                    <w:rPr>
                      <w:rFonts w:hint="default"/>
                      <w:color w:val="auto"/>
                      <w:szCs w:val="21"/>
                      <w:lang w:val="en-US" w:eastAsia="zh-CN"/>
                    </w:rPr>
                  </w:pPr>
                  <w:r>
                    <w:rPr>
                      <w:rFonts w:hint="eastAsia"/>
                      <w:color w:val="auto"/>
                      <w:szCs w:val="21"/>
                      <w:lang w:val="en-US" w:eastAsia="zh-CN"/>
                    </w:rPr>
                    <w:t>92</w:t>
                  </w:r>
                </w:p>
              </w:tc>
              <w:tc>
                <w:tcPr>
                  <w:tcW w:w="1585" w:type="dxa"/>
                  <w:noWrap w:val="0"/>
                  <w:vAlign w:val="center"/>
                </w:tcPr>
                <w:p w14:paraId="2E9DC595">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氟化钾</w:t>
                  </w:r>
                </w:p>
              </w:tc>
              <w:tc>
                <w:tcPr>
                  <w:tcW w:w="615" w:type="dxa"/>
                  <w:noWrap w:val="0"/>
                  <w:vAlign w:val="center"/>
                </w:tcPr>
                <w:p w14:paraId="11C49F59">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5348183D">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1387605E">
                  <w:pPr>
                    <w:tabs>
                      <w:tab w:val="left" w:pos="3225"/>
                    </w:tabs>
                    <w:spacing w:line="240" w:lineRule="auto"/>
                    <w:jc w:val="center"/>
                    <w:rPr>
                      <w:rFonts w:hint="eastAsia"/>
                      <w:color w:val="auto"/>
                      <w:szCs w:val="21"/>
                      <w:lang w:val="en-US" w:eastAsia="zh-CN"/>
                    </w:rPr>
                  </w:pPr>
                  <w:r>
                    <w:rPr>
                      <w:rFonts w:hint="eastAsia"/>
                      <w:color w:val="auto"/>
                      <w:szCs w:val="21"/>
                      <w:lang w:val="en-US" w:eastAsia="zh-CN"/>
                    </w:rPr>
                    <w:t>100</w:t>
                  </w:r>
                </w:p>
              </w:tc>
              <w:tc>
                <w:tcPr>
                  <w:tcW w:w="945" w:type="dxa"/>
                  <w:noWrap w:val="0"/>
                  <w:vAlign w:val="center"/>
                </w:tcPr>
                <w:p w14:paraId="33251B9D">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66E3AA14">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7172C4B">
                  <w:pPr>
                    <w:spacing w:line="240" w:lineRule="exact"/>
                    <w:jc w:val="center"/>
                    <w:rPr>
                      <w:rFonts w:hint="eastAsia"/>
                      <w:color w:val="0000FF"/>
                      <w:szCs w:val="21"/>
                      <w:lang w:val="en-US" w:eastAsia="zh-CN"/>
                    </w:rPr>
                  </w:pPr>
                </w:p>
              </w:tc>
              <w:tc>
                <w:tcPr>
                  <w:tcW w:w="540" w:type="dxa"/>
                  <w:vMerge w:val="continue"/>
                  <w:noWrap w:val="0"/>
                  <w:vAlign w:val="center"/>
                </w:tcPr>
                <w:p w14:paraId="26859276">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156EDEAC">
                  <w:pPr>
                    <w:tabs>
                      <w:tab w:val="left" w:pos="3225"/>
                    </w:tabs>
                    <w:spacing w:line="240" w:lineRule="exact"/>
                    <w:jc w:val="center"/>
                    <w:rPr>
                      <w:rFonts w:hint="eastAsia"/>
                      <w:color w:val="0000FF"/>
                      <w:szCs w:val="21"/>
                      <w:lang w:eastAsia="zh-CN"/>
                    </w:rPr>
                  </w:pPr>
                </w:p>
              </w:tc>
            </w:tr>
            <w:tr w14:paraId="27DC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E119CC7">
                  <w:pPr>
                    <w:tabs>
                      <w:tab w:val="left" w:pos="3225"/>
                    </w:tabs>
                    <w:spacing w:line="240" w:lineRule="exact"/>
                    <w:jc w:val="center"/>
                    <w:rPr>
                      <w:rFonts w:hint="default"/>
                      <w:color w:val="auto"/>
                      <w:szCs w:val="21"/>
                      <w:lang w:val="en-US" w:eastAsia="zh-CN"/>
                    </w:rPr>
                  </w:pPr>
                  <w:r>
                    <w:rPr>
                      <w:rFonts w:hint="eastAsia"/>
                      <w:color w:val="auto"/>
                      <w:szCs w:val="21"/>
                      <w:lang w:val="en-US" w:eastAsia="zh-CN"/>
                    </w:rPr>
                    <w:t>93</w:t>
                  </w:r>
                </w:p>
              </w:tc>
              <w:tc>
                <w:tcPr>
                  <w:tcW w:w="1585" w:type="dxa"/>
                  <w:noWrap w:val="0"/>
                  <w:vAlign w:val="center"/>
                </w:tcPr>
                <w:p w14:paraId="5DDA3DB6">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氟化钠</w:t>
                  </w:r>
                </w:p>
              </w:tc>
              <w:tc>
                <w:tcPr>
                  <w:tcW w:w="615" w:type="dxa"/>
                  <w:noWrap w:val="0"/>
                  <w:vAlign w:val="center"/>
                </w:tcPr>
                <w:p w14:paraId="2AF1C157">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4A47C2BB">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02B28926">
                  <w:pPr>
                    <w:tabs>
                      <w:tab w:val="left" w:pos="3225"/>
                    </w:tabs>
                    <w:spacing w:line="240" w:lineRule="auto"/>
                    <w:jc w:val="center"/>
                    <w:rPr>
                      <w:rFonts w:hint="eastAsia"/>
                      <w:color w:val="auto"/>
                      <w:szCs w:val="21"/>
                      <w:lang w:val="en-US" w:eastAsia="zh-CN"/>
                    </w:rPr>
                  </w:pPr>
                  <w:r>
                    <w:rPr>
                      <w:rFonts w:hint="eastAsia"/>
                      <w:color w:val="auto"/>
                      <w:szCs w:val="21"/>
                      <w:lang w:val="en-US" w:eastAsia="zh-CN"/>
                    </w:rPr>
                    <w:t>100</w:t>
                  </w:r>
                </w:p>
              </w:tc>
              <w:tc>
                <w:tcPr>
                  <w:tcW w:w="945" w:type="dxa"/>
                  <w:noWrap w:val="0"/>
                  <w:vAlign w:val="center"/>
                </w:tcPr>
                <w:p w14:paraId="278C34A7">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7BB6FD23">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C8FF411">
                  <w:pPr>
                    <w:spacing w:line="240" w:lineRule="exact"/>
                    <w:jc w:val="center"/>
                    <w:rPr>
                      <w:rFonts w:hint="eastAsia"/>
                      <w:color w:val="0000FF"/>
                      <w:szCs w:val="21"/>
                      <w:lang w:val="en-US" w:eastAsia="zh-CN"/>
                    </w:rPr>
                  </w:pPr>
                </w:p>
              </w:tc>
              <w:tc>
                <w:tcPr>
                  <w:tcW w:w="540" w:type="dxa"/>
                  <w:vMerge w:val="continue"/>
                  <w:noWrap w:val="0"/>
                  <w:vAlign w:val="center"/>
                </w:tcPr>
                <w:p w14:paraId="30C95FDD">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15B8053">
                  <w:pPr>
                    <w:tabs>
                      <w:tab w:val="left" w:pos="3225"/>
                    </w:tabs>
                    <w:spacing w:line="240" w:lineRule="exact"/>
                    <w:jc w:val="center"/>
                    <w:rPr>
                      <w:rFonts w:hint="eastAsia"/>
                      <w:color w:val="0000FF"/>
                      <w:szCs w:val="21"/>
                      <w:lang w:eastAsia="zh-CN"/>
                    </w:rPr>
                  </w:pPr>
                </w:p>
              </w:tc>
            </w:tr>
            <w:tr w14:paraId="5A08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5025520">
                  <w:pPr>
                    <w:tabs>
                      <w:tab w:val="left" w:pos="3225"/>
                    </w:tabs>
                    <w:spacing w:line="240" w:lineRule="exact"/>
                    <w:jc w:val="center"/>
                    <w:rPr>
                      <w:rFonts w:hint="default"/>
                      <w:color w:val="auto"/>
                      <w:szCs w:val="21"/>
                      <w:lang w:val="en-US" w:eastAsia="zh-CN"/>
                    </w:rPr>
                  </w:pPr>
                  <w:r>
                    <w:rPr>
                      <w:rFonts w:hint="eastAsia"/>
                      <w:color w:val="auto"/>
                      <w:szCs w:val="21"/>
                      <w:lang w:val="en-US" w:eastAsia="zh-CN"/>
                    </w:rPr>
                    <w:t>94</w:t>
                  </w:r>
                </w:p>
              </w:tc>
              <w:tc>
                <w:tcPr>
                  <w:tcW w:w="1585" w:type="dxa"/>
                  <w:noWrap w:val="0"/>
                  <w:vAlign w:val="center"/>
                </w:tcPr>
                <w:p w14:paraId="276CEA9D">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氟化氢铵</w:t>
                  </w:r>
                </w:p>
              </w:tc>
              <w:tc>
                <w:tcPr>
                  <w:tcW w:w="615" w:type="dxa"/>
                  <w:noWrap w:val="0"/>
                  <w:vAlign w:val="center"/>
                </w:tcPr>
                <w:p w14:paraId="146B74C9">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12319C2A">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4E55C2DC">
                  <w:pPr>
                    <w:tabs>
                      <w:tab w:val="left" w:pos="3225"/>
                    </w:tabs>
                    <w:spacing w:line="240" w:lineRule="auto"/>
                    <w:jc w:val="center"/>
                    <w:rPr>
                      <w:rFonts w:hint="eastAsia"/>
                      <w:color w:val="auto"/>
                      <w:szCs w:val="21"/>
                      <w:lang w:val="en-US" w:eastAsia="zh-CN"/>
                    </w:rPr>
                  </w:pPr>
                  <w:r>
                    <w:rPr>
                      <w:rFonts w:hint="eastAsia"/>
                      <w:color w:val="auto"/>
                      <w:szCs w:val="21"/>
                      <w:lang w:val="en-US" w:eastAsia="zh-CN"/>
                    </w:rPr>
                    <w:t>100</w:t>
                  </w:r>
                </w:p>
              </w:tc>
              <w:tc>
                <w:tcPr>
                  <w:tcW w:w="945" w:type="dxa"/>
                  <w:noWrap w:val="0"/>
                  <w:vAlign w:val="center"/>
                </w:tcPr>
                <w:p w14:paraId="17459BE4">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6C401FEC">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440F18FF">
                  <w:pPr>
                    <w:spacing w:line="240" w:lineRule="exact"/>
                    <w:jc w:val="center"/>
                    <w:rPr>
                      <w:rFonts w:hint="eastAsia"/>
                      <w:color w:val="0000FF"/>
                      <w:szCs w:val="21"/>
                      <w:lang w:val="en-US" w:eastAsia="zh-CN"/>
                    </w:rPr>
                  </w:pPr>
                </w:p>
              </w:tc>
              <w:tc>
                <w:tcPr>
                  <w:tcW w:w="540" w:type="dxa"/>
                  <w:vMerge w:val="continue"/>
                  <w:noWrap w:val="0"/>
                  <w:vAlign w:val="center"/>
                </w:tcPr>
                <w:p w14:paraId="6F1F03EA">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B852701">
                  <w:pPr>
                    <w:tabs>
                      <w:tab w:val="left" w:pos="3225"/>
                    </w:tabs>
                    <w:spacing w:line="240" w:lineRule="exact"/>
                    <w:jc w:val="center"/>
                    <w:rPr>
                      <w:rFonts w:hint="eastAsia"/>
                      <w:color w:val="0000FF"/>
                      <w:szCs w:val="21"/>
                      <w:lang w:eastAsia="zh-CN"/>
                    </w:rPr>
                  </w:pPr>
                </w:p>
              </w:tc>
            </w:tr>
            <w:tr w14:paraId="129B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F2319DA">
                  <w:pPr>
                    <w:tabs>
                      <w:tab w:val="left" w:pos="3225"/>
                    </w:tabs>
                    <w:spacing w:line="240" w:lineRule="exact"/>
                    <w:jc w:val="center"/>
                    <w:rPr>
                      <w:rFonts w:hint="default"/>
                      <w:color w:val="auto"/>
                      <w:szCs w:val="21"/>
                      <w:lang w:val="en-US" w:eastAsia="zh-CN"/>
                    </w:rPr>
                  </w:pPr>
                  <w:r>
                    <w:rPr>
                      <w:rFonts w:hint="eastAsia"/>
                      <w:color w:val="auto"/>
                      <w:szCs w:val="21"/>
                      <w:lang w:val="en-US" w:eastAsia="zh-CN"/>
                    </w:rPr>
                    <w:t>95</w:t>
                  </w:r>
                </w:p>
              </w:tc>
              <w:tc>
                <w:tcPr>
                  <w:tcW w:w="1585" w:type="dxa"/>
                  <w:noWrap w:val="0"/>
                  <w:vAlign w:val="center"/>
                </w:tcPr>
                <w:p w14:paraId="0C35B0AA">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氟化锌</w:t>
                  </w:r>
                </w:p>
              </w:tc>
              <w:tc>
                <w:tcPr>
                  <w:tcW w:w="615" w:type="dxa"/>
                  <w:noWrap w:val="0"/>
                  <w:vAlign w:val="center"/>
                </w:tcPr>
                <w:p w14:paraId="4377E224">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45F4C116">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4BFD8FCE">
                  <w:pPr>
                    <w:tabs>
                      <w:tab w:val="left" w:pos="3225"/>
                    </w:tabs>
                    <w:spacing w:line="240" w:lineRule="auto"/>
                    <w:jc w:val="center"/>
                    <w:rPr>
                      <w:rFonts w:hint="eastAsia"/>
                      <w:color w:val="auto"/>
                      <w:szCs w:val="21"/>
                      <w:lang w:val="en-US" w:eastAsia="zh-CN"/>
                    </w:rPr>
                  </w:pPr>
                  <w:r>
                    <w:rPr>
                      <w:rFonts w:hint="eastAsia"/>
                      <w:color w:val="auto"/>
                      <w:szCs w:val="21"/>
                      <w:lang w:val="en-US" w:eastAsia="zh-CN"/>
                    </w:rPr>
                    <w:t>100</w:t>
                  </w:r>
                </w:p>
              </w:tc>
              <w:tc>
                <w:tcPr>
                  <w:tcW w:w="945" w:type="dxa"/>
                  <w:noWrap w:val="0"/>
                  <w:vAlign w:val="center"/>
                </w:tcPr>
                <w:p w14:paraId="43ABD4B7">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63153F3E">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592748EC">
                  <w:pPr>
                    <w:spacing w:line="240" w:lineRule="exact"/>
                    <w:jc w:val="center"/>
                    <w:rPr>
                      <w:rFonts w:hint="eastAsia"/>
                      <w:color w:val="0000FF"/>
                      <w:szCs w:val="21"/>
                      <w:lang w:val="en-US" w:eastAsia="zh-CN"/>
                    </w:rPr>
                  </w:pPr>
                </w:p>
              </w:tc>
              <w:tc>
                <w:tcPr>
                  <w:tcW w:w="540" w:type="dxa"/>
                  <w:vMerge w:val="continue"/>
                  <w:noWrap w:val="0"/>
                  <w:vAlign w:val="center"/>
                </w:tcPr>
                <w:p w14:paraId="3940298C">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34D40DB">
                  <w:pPr>
                    <w:tabs>
                      <w:tab w:val="left" w:pos="3225"/>
                    </w:tabs>
                    <w:spacing w:line="240" w:lineRule="exact"/>
                    <w:jc w:val="center"/>
                    <w:rPr>
                      <w:rFonts w:hint="eastAsia"/>
                      <w:color w:val="0000FF"/>
                      <w:szCs w:val="21"/>
                      <w:lang w:eastAsia="zh-CN"/>
                    </w:rPr>
                  </w:pPr>
                </w:p>
              </w:tc>
            </w:tr>
            <w:tr w14:paraId="5DCD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2EDA3A93">
                  <w:pPr>
                    <w:tabs>
                      <w:tab w:val="left" w:pos="3225"/>
                    </w:tabs>
                    <w:spacing w:line="240" w:lineRule="exact"/>
                    <w:jc w:val="center"/>
                    <w:rPr>
                      <w:rFonts w:hint="default"/>
                      <w:color w:val="auto"/>
                      <w:szCs w:val="21"/>
                      <w:lang w:val="en-US" w:eastAsia="zh-CN"/>
                    </w:rPr>
                  </w:pPr>
                  <w:r>
                    <w:rPr>
                      <w:rFonts w:hint="eastAsia"/>
                      <w:color w:val="auto"/>
                      <w:szCs w:val="21"/>
                      <w:lang w:val="en-US" w:eastAsia="zh-CN"/>
                    </w:rPr>
                    <w:t>96</w:t>
                  </w:r>
                </w:p>
              </w:tc>
              <w:tc>
                <w:tcPr>
                  <w:tcW w:w="1585" w:type="dxa"/>
                  <w:noWrap w:val="0"/>
                  <w:vAlign w:val="center"/>
                </w:tcPr>
                <w:p w14:paraId="5ADF0A7F">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氟硅酸锌</w:t>
                  </w:r>
                </w:p>
              </w:tc>
              <w:tc>
                <w:tcPr>
                  <w:tcW w:w="615" w:type="dxa"/>
                  <w:noWrap w:val="0"/>
                  <w:vAlign w:val="center"/>
                </w:tcPr>
                <w:p w14:paraId="274E7215">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51B15905">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0FCADAF3">
                  <w:pPr>
                    <w:tabs>
                      <w:tab w:val="left" w:pos="3225"/>
                    </w:tabs>
                    <w:spacing w:line="240" w:lineRule="auto"/>
                    <w:jc w:val="center"/>
                    <w:rPr>
                      <w:rFonts w:hint="eastAsia"/>
                      <w:color w:val="auto"/>
                      <w:szCs w:val="21"/>
                      <w:lang w:val="en-US" w:eastAsia="zh-CN"/>
                    </w:rPr>
                  </w:pPr>
                  <w:r>
                    <w:rPr>
                      <w:rFonts w:hint="eastAsia"/>
                      <w:color w:val="auto"/>
                      <w:szCs w:val="21"/>
                      <w:lang w:val="en-US" w:eastAsia="zh-CN"/>
                    </w:rPr>
                    <w:t>100</w:t>
                  </w:r>
                </w:p>
              </w:tc>
              <w:tc>
                <w:tcPr>
                  <w:tcW w:w="945" w:type="dxa"/>
                  <w:noWrap w:val="0"/>
                  <w:vAlign w:val="center"/>
                </w:tcPr>
                <w:p w14:paraId="51D5DBD9">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5CEF883A">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CC4373A">
                  <w:pPr>
                    <w:spacing w:line="240" w:lineRule="exact"/>
                    <w:jc w:val="center"/>
                    <w:rPr>
                      <w:rFonts w:hint="eastAsia"/>
                      <w:color w:val="0000FF"/>
                      <w:szCs w:val="21"/>
                      <w:lang w:val="en-US" w:eastAsia="zh-CN"/>
                    </w:rPr>
                  </w:pPr>
                </w:p>
              </w:tc>
              <w:tc>
                <w:tcPr>
                  <w:tcW w:w="540" w:type="dxa"/>
                  <w:vMerge w:val="continue"/>
                  <w:noWrap w:val="0"/>
                  <w:vAlign w:val="center"/>
                </w:tcPr>
                <w:p w14:paraId="28268048">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140F871A">
                  <w:pPr>
                    <w:tabs>
                      <w:tab w:val="left" w:pos="3225"/>
                    </w:tabs>
                    <w:spacing w:line="240" w:lineRule="exact"/>
                    <w:jc w:val="center"/>
                    <w:rPr>
                      <w:rFonts w:hint="eastAsia"/>
                      <w:color w:val="0000FF"/>
                      <w:szCs w:val="21"/>
                      <w:lang w:eastAsia="zh-CN"/>
                    </w:rPr>
                  </w:pPr>
                </w:p>
              </w:tc>
            </w:tr>
            <w:tr w14:paraId="5AD2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03F409E">
                  <w:pPr>
                    <w:tabs>
                      <w:tab w:val="left" w:pos="3225"/>
                    </w:tabs>
                    <w:spacing w:line="240" w:lineRule="exact"/>
                    <w:jc w:val="center"/>
                    <w:rPr>
                      <w:rFonts w:hint="default"/>
                      <w:color w:val="auto"/>
                      <w:szCs w:val="21"/>
                      <w:lang w:val="en-US" w:eastAsia="zh-CN"/>
                    </w:rPr>
                  </w:pPr>
                  <w:r>
                    <w:rPr>
                      <w:rFonts w:hint="eastAsia"/>
                      <w:color w:val="auto"/>
                      <w:szCs w:val="21"/>
                      <w:lang w:val="en-US" w:eastAsia="zh-CN"/>
                    </w:rPr>
                    <w:t>97</w:t>
                  </w:r>
                </w:p>
              </w:tc>
              <w:tc>
                <w:tcPr>
                  <w:tcW w:w="1585" w:type="dxa"/>
                  <w:noWrap w:val="0"/>
                  <w:vAlign w:val="center"/>
                </w:tcPr>
                <w:p w14:paraId="3DD22588">
                  <w:pPr>
                    <w:tabs>
                      <w:tab w:val="left" w:pos="3225"/>
                    </w:tabs>
                    <w:spacing w:line="240" w:lineRule="auto"/>
                    <w:jc w:val="center"/>
                    <w:rPr>
                      <w:rFonts w:hint="eastAsia"/>
                      <w:color w:val="auto"/>
                      <w:szCs w:val="21"/>
                      <w:lang w:val="en-US" w:eastAsia="zh-CN"/>
                    </w:rPr>
                  </w:pPr>
                  <w:r>
                    <w:rPr>
                      <w:rFonts w:hint="eastAsia"/>
                      <w:color w:val="auto"/>
                      <w:szCs w:val="21"/>
                      <w:lang w:val="en-US" w:eastAsia="zh-CN"/>
                    </w:rPr>
                    <w:t>二水氯化钡</w:t>
                  </w:r>
                </w:p>
              </w:tc>
              <w:tc>
                <w:tcPr>
                  <w:tcW w:w="615" w:type="dxa"/>
                  <w:noWrap w:val="0"/>
                  <w:vAlign w:val="center"/>
                </w:tcPr>
                <w:p w14:paraId="6299DE5C">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3FD1A11C">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40D7CDCD">
                  <w:pPr>
                    <w:tabs>
                      <w:tab w:val="left" w:pos="3225"/>
                    </w:tabs>
                    <w:spacing w:line="240" w:lineRule="auto"/>
                    <w:jc w:val="center"/>
                    <w:rPr>
                      <w:rFonts w:hint="eastAsia"/>
                      <w:color w:val="auto"/>
                      <w:szCs w:val="21"/>
                      <w:lang w:val="en-US" w:eastAsia="zh-CN"/>
                    </w:rPr>
                  </w:pPr>
                  <w:r>
                    <w:rPr>
                      <w:rFonts w:hint="eastAsia"/>
                      <w:color w:val="auto"/>
                      <w:szCs w:val="21"/>
                      <w:lang w:val="en-US" w:eastAsia="zh-CN"/>
                    </w:rPr>
                    <w:t>100</w:t>
                  </w:r>
                </w:p>
              </w:tc>
              <w:tc>
                <w:tcPr>
                  <w:tcW w:w="945" w:type="dxa"/>
                  <w:noWrap w:val="0"/>
                  <w:vAlign w:val="center"/>
                </w:tcPr>
                <w:p w14:paraId="7157B037">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68521D03">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5A6452B">
                  <w:pPr>
                    <w:spacing w:line="240" w:lineRule="exact"/>
                    <w:jc w:val="center"/>
                    <w:rPr>
                      <w:rFonts w:hint="eastAsia"/>
                      <w:color w:val="0000FF"/>
                      <w:szCs w:val="21"/>
                      <w:lang w:val="en-US" w:eastAsia="zh-CN"/>
                    </w:rPr>
                  </w:pPr>
                </w:p>
              </w:tc>
              <w:tc>
                <w:tcPr>
                  <w:tcW w:w="540" w:type="dxa"/>
                  <w:vMerge w:val="continue"/>
                  <w:noWrap w:val="0"/>
                  <w:vAlign w:val="center"/>
                </w:tcPr>
                <w:p w14:paraId="3F13EBEB">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D157314">
                  <w:pPr>
                    <w:tabs>
                      <w:tab w:val="left" w:pos="3225"/>
                    </w:tabs>
                    <w:spacing w:line="240" w:lineRule="exact"/>
                    <w:jc w:val="center"/>
                    <w:rPr>
                      <w:rFonts w:hint="eastAsia"/>
                      <w:color w:val="0000FF"/>
                      <w:szCs w:val="21"/>
                      <w:lang w:eastAsia="zh-CN"/>
                    </w:rPr>
                  </w:pPr>
                </w:p>
              </w:tc>
            </w:tr>
            <w:tr w14:paraId="6631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3749D28">
                  <w:pPr>
                    <w:tabs>
                      <w:tab w:val="left" w:pos="3225"/>
                    </w:tabs>
                    <w:spacing w:line="240" w:lineRule="exact"/>
                    <w:jc w:val="center"/>
                    <w:rPr>
                      <w:rFonts w:hint="default"/>
                      <w:color w:val="auto"/>
                      <w:szCs w:val="21"/>
                      <w:lang w:val="en-US" w:eastAsia="zh-CN"/>
                    </w:rPr>
                  </w:pPr>
                  <w:r>
                    <w:rPr>
                      <w:rFonts w:hint="eastAsia"/>
                      <w:color w:val="auto"/>
                      <w:szCs w:val="21"/>
                      <w:lang w:val="en-US" w:eastAsia="zh-CN"/>
                    </w:rPr>
                    <w:t>98</w:t>
                  </w:r>
                </w:p>
              </w:tc>
              <w:tc>
                <w:tcPr>
                  <w:tcW w:w="1585" w:type="dxa"/>
                  <w:noWrap w:val="0"/>
                  <w:vAlign w:val="center"/>
                </w:tcPr>
                <w:p w14:paraId="68A3B624">
                  <w:pPr>
                    <w:tabs>
                      <w:tab w:val="left" w:pos="3225"/>
                    </w:tabs>
                    <w:spacing w:line="240" w:lineRule="auto"/>
                    <w:jc w:val="center"/>
                    <w:rPr>
                      <w:rFonts w:hint="eastAsia"/>
                      <w:color w:val="auto"/>
                      <w:szCs w:val="21"/>
                      <w:lang w:val="en-US" w:eastAsia="zh-CN"/>
                    </w:rPr>
                  </w:pPr>
                  <w:r>
                    <w:rPr>
                      <w:rFonts w:hint="eastAsia"/>
                      <w:color w:val="auto"/>
                      <w:szCs w:val="21"/>
                      <w:lang w:val="en-US" w:eastAsia="zh-CN"/>
                    </w:rPr>
                    <w:t>石棉[含：阳起石石棉、铁石棉、透闪石石棉、直闪石石棉、青石棉]</w:t>
                  </w:r>
                </w:p>
              </w:tc>
              <w:tc>
                <w:tcPr>
                  <w:tcW w:w="615" w:type="dxa"/>
                  <w:noWrap w:val="0"/>
                  <w:vAlign w:val="center"/>
                </w:tcPr>
                <w:p w14:paraId="43F87254">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54BAE834">
                  <w:pPr>
                    <w:spacing w:line="240" w:lineRule="auto"/>
                    <w:jc w:val="center"/>
                    <w:rPr>
                      <w:rFonts w:hint="eastAsia"/>
                      <w:color w:val="auto"/>
                      <w:szCs w:val="21"/>
                      <w:lang w:val="en-US" w:eastAsia="zh-CN"/>
                    </w:rPr>
                  </w:pPr>
                  <w:r>
                    <w:rPr>
                      <w:rFonts w:hint="eastAsia"/>
                      <w:color w:val="auto"/>
                      <w:szCs w:val="21"/>
                      <w:lang w:val="en-US" w:eastAsia="zh-CN"/>
                    </w:rPr>
                    <w:t>1500</w:t>
                  </w:r>
                </w:p>
              </w:tc>
              <w:tc>
                <w:tcPr>
                  <w:tcW w:w="825" w:type="dxa"/>
                  <w:noWrap w:val="0"/>
                  <w:vAlign w:val="center"/>
                </w:tcPr>
                <w:p w14:paraId="77DFAB9E">
                  <w:pPr>
                    <w:tabs>
                      <w:tab w:val="left" w:pos="3225"/>
                    </w:tabs>
                    <w:spacing w:line="240" w:lineRule="auto"/>
                    <w:jc w:val="center"/>
                    <w:rPr>
                      <w:rFonts w:hint="eastAsia"/>
                      <w:color w:val="auto"/>
                      <w:szCs w:val="21"/>
                      <w:lang w:val="en-US" w:eastAsia="zh-CN"/>
                    </w:rPr>
                  </w:pPr>
                  <w:r>
                    <w:rPr>
                      <w:rFonts w:hint="eastAsia"/>
                      <w:color w:val="auto"/>
                      <w:szCs w:val="21"/>
                      <w:lang w:val="en-US" w:eastAsia="zh-CN"/>
                    </w:rPr>
                    <w:t>100</w:t>
                  </w:r>
                </w:p>
              </w:tc>
              <w:tc>
                <w:tcPr>
                  <w:tcW w:w="945" w:type="dxa"/>
                  <w:noWrap w:val="0"/>
                  <w:vAlign w:val="center"/>
                </w:tcPr>
                <w:p w14:paraId="1FA1C504">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138CDC0D">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1449AA67">
                  <w:pPr>
                    <w:spacing w:line="240" w:lineRule="exact"/>
                    <w:jc w:val="center"/>
                    <w:rPr>
                      <w:rFonts w:hint="eastAsia"/>
                      <w:color w:val="0000FF"/>
                      <w:szCs w:val="21"/>
                      <w:lang w:val="en-US" w:eastAsia="zh-CN"/>
                    </w:rPr>
                  </w:pPr>
                </w:p>
              </w:tc>
              <w:tc>
                <w:tcPr>
                  <w:tcW w:w="540" w:type="dxa"/>
                  <w:vMerge w:val="continue"/>
                  <w:noWrap w:val="0"/>
                  <w:vAlign w:val="center"/>
                </w:tcPr>
                <w:p w14:paraId="62CBA301">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2723ED8">
                  <w:pPr>
                    <w:tabs>
                      <w:tab w:val="left" w:pos="3225"/>
                    </w:tabs>
                    <w:spacing w:line="240" w:lineRule="exact"/>
                    <w:jc w:val="center"/>
                    <w:rPr>
                      <w:rFonts w:hint="eastAsia"/>
                      <w:color w:val="0000FF"/>
                      <w:szCs w:val="21"/>
                      <w:lang w:eastAsia="zh-CN"/>
                    </w:rPr>
                  </w:pPr>
                </w:p>
              </w:tc>
            </w:tr>
            <w:tr w14:paraId="62A2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D09EB1B">
                  <w:pPr>
                    <w:tabs>
                      <w:tab w:val="left" w:pos="3225"/>
                    </w:tabs>
                    <w:spacing w:line="240" w:lineRule="exact"/>
                    <w:jc w:val="center"/>
                    <w:rPr>
                      <w:rFonts w:hint="default"/>
                      <w:color w:val="auto"/>
                      <w:szCs w:val="21"/>
                      <w:lang w:val="en-US" w:eastAsia="zh-CN"/>
                    </w:rPr>
                  </w:pPr>
                  <w:r>
                    <w:rPr>
                      <w:rFonts w:hint="eastAsia"/>
                      <w:color w:val="auto"/>
                      <w:szCs w:val="21"/>
                      <w:lang w:val="en-US" w:eastAsia="zh-CN"/>
                    </w:rPr>
                    <w:t>99</w:t>
                  </w:r>
                </w:p>
              </w:tc>
              <w:tc>
                <w:tcPr>
                  <w:tcW w:w="1585" w:type="dxa"/>
                  <w:noWrap w:val="0"/>
                  <w:vAlign w:val="center"/>
                </w:tcPr>
                <w:p w14:paraId="1D59F40C">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氢氧化钾</w:t>
                  </w:r>
                </w:p>
              </w:tc>
              <w:tc>
                <w:tcPr>
                  <w:tcW w:w="615" w:type="dxa"/>
                  <w:noWrap w:val="0"/>
                  <w:vAlign w:val="center"/>
                </w:tcPr>
                <w:p w14:paraId="52885355">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60F8003B">
                  <w:pPr>
                    <w:spacing w:line="240" w:lineRule="auto"/>
                    <w:jc w:val="center"/>
                    <w:rPr>
                      <w:rFonts w:hint="default"/>
                      <w:color w:val="auto"/>
                      <w:szCs w:val="21"/>
                      <w:lang w:val="en-US" w:eastAsia="zh-CN"/>
                    </w:rPr>
                  </w:pPr>
                  <w:r>
                    <w:rPr>
                      <w:rFonts w:hint="eastAsia"/>
                      <w:color w:val="auto"/>
                      <w:szCs w:val="21"/>
                      <w:lang w:val="en-US" w:eastAsia="zh-CN"/>
                    </w:rPr>
                    <w:t>4000</w:t>
                  </w:r>
                </w:p>
              </w:tc>
              <w:tc>
                <w:tcPr>
                  <w:tcW w:w="825" w:type="dxa"/>
                  <w:noWrap w:val="0"/>
                  <w:vAlign w:val="center"/>
                </w:tcPr>
                <w:p w14:paraId="006ABD49">
                  <w:pPr>
                    <w:tabs>
                      <w:tab w:val="left" w:pos="3225"/>
                    </w:tabs>
                    <w:spacing w:line="240" w:lineRule="auto"/>
                    <w:jc w:val="center"/>
                    <w:rPr>
                      <w:rFonts w:hint="default"/>
                      <w:color w:val="auto"/>
                      <w:szCs w:val="21"/>
                      <w:lang w:val="en-US" w:eastAsia="zh-CN"/>
                    </w:rPr>
                  </w:pPr>
                  <w:r>
                    <w:rPr>
                      <w:rFonts w:hint="eastAsia"/>
                      <w:color w:val="auto"/>
                      <w:szCs w:val="21"/>
                      <w:lang w:val="en-US" w:eastAsia="zh-CN"/>
                    </w:rPr>
                    <w:t>1000</w:t>
                  </w:r>
                </w:p>
              </w:tc>
              <w:tc>
                <w:tcPr>
                  <w:tcW w:w="945" w:type="dxa"/>
                  <w:noWrap w:val="0"/>
                  <w:vAlign w:val="center"/>
                </w:tcPr>
                <w:p w14:paraId="33615FAF">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09DE94B0">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365C1A3D">
                  <w:pPr>
                    <w:spacing w:line="240" w:lineRule="auto"/>
                    <w:jc w:val="center"/>
                    <w:rPr>
                      <w:rFonts w:hint="eastAsia"/>
                      <w:color w:val="0000FF"/>
                      <w:szCs w:val="21"/>
                      <w:lang w:val="en-US" w:eastAsia="zh-CN"/>
                    </w:rPr>
                  </w:pPr>
                  <w:r>
                    <w:rPr>
                      <w:rFonts w:hint="eastAsia" w:ascii="Times New Roman" w:hAnsi="Times New Roman" w:eastAsia="宋体" w:cs="Times New Roman"/>
                      <w:color w:val="auto"/>
                      <w:szCs w:val="21"/>
                      <w:u w:val="none"/>
                      <w:lang w:val="en-US" w:eastAsia="zh-CN"/>
                    </w:rPr>
                    <w:t>5号仓库危险化学品隔间A（碱储间）</w:t>
                  </w:r>
                </w:p>
              </w:tc>
              <w:tc>
                <w:tcPr>
                  <w:tcW w:w="540" w:type="dxa"/>
                  <w:vMerge w:val="continue"/>
                  <w:noWrap w:val="0"/>
                  <w:vAlign w:val="center"/>
                </w:tcPr>
                <w:p w14:paraId="692D698B">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F511DF6">
                  <w:pPr>
                    <w:tabs>
                      <w:tab w:val="left" w:pos="3225"/>
                    </w:tabs>
                    <w:spacing w:line="240" w:lineRule="exact"/>
                    <w:jc w:val="center"/>
                    <w:rPr>
                      <w:rFonts w:hint="eastAsia"/>
                      <w:color w:val="0000FF"/>
                      <w:szCs w:val="21"/>
                      <w:lang w:eastAsia="zh-CN"/>
                    </w:rPr>
                  </w:pPr>
                </w:p>
              </w:tc>
            </w:tr>
            <w:tr w14:paraId="6E10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34A0144">
                  <w:pPr>
                    <w:tabs>
                      <w:tab w:val="left" w:pos="3225"/>
                    </w:tabs>
                    <w:spacing w:line="240" w:lineRule="exact"/>
                    <w:jc w:val="center"/>
                    <w:rPr>
                      <w:rFonts w:hint="default"/>
                      <w:color w:val="auto"/>
                      <w:szCs w:val="21"/>
                      <w:lang w:val="en-US" w:eastAsia="zh-CN"/>
                    </w:rPr>
                  </w:pPr>
                  <w:r>
                    <w:rPr>
                      <w:rFonts w:hint="eastAsia"/>
                      <w:color w:val="auto"/>
                      <w:szCs w:val="21"/>
                      <w:lang w:val="en-US" w:eastAsia="zh-CN"/>
                    </w:rPr>
                    <w:t>100</w:t>
                  </w:r>
                </w:p>
              </w:tc>
              <w:tc>
                <w:tcPr>
                  <w:tcW w:w="1585" w:type="dxa"/>
                  <w:noWrap w:val="0"/>
                  <w:vAlign w:val="center"/>
                </w:tcPr>
                <w:p w14:paraId="51A910FA">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氢氧化钾溶液[含量≥30%]</w:t>
                  </w:r>
                </w:p>
              </w:tc>
              <w:tc>
                <w:tcPr>
                  <w:tcW w:w="615" w:type="dxa"/>
                  <w:noWrap w:val="0"/>
                  <w:vAlign w:val="center"/>
                </w:tcPr>
                <w:p w14:paraId="11DAFD9E">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5C121B6E">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28F80458">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2811466B">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6CB06C4D">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4A3D6629">
                  <w:pPr>
                    <w:spacing w:line="240" w:lineRule="exact"/>
                    <w:jc w:val="center"/>
                    <w:rPr>
                      <w:rFonts w:hint="eastAsia"/>
                      <w:color w:val="0000FF"/>
                      <w:szCs w:val="21"/>
                      <w:lang w:val="en-US" w:eastAsia="zh-CN"/>
                    </w:rPr>
                  </w:pPr>
                </w:p>
              </w:tc>
              <w:tc>
                <w:tcPr>
                  <w:tcW w:w="540" w:type="dxa"/>
                  <w:vMerge w:val="continue"/>
                  <w:noWrap w:val="0"/>
                  <w:vAlign w:val="center"/>
                </w:tcPr>
                <w:p w14:paraId="78F00A29">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68B54599">
                  <w:pPr>
                    <w:tabs>
                      <w:tab w:val="left" w:pos="3225"/>
                    </w:tabs>
                    <w:spacing w:line="240" w:lineRule="exact"/>
                    <w:jc w:val="center"/>
                    <w:rPr>
                      <w:rFonts w:hint="eastAsia"/>
                      <w:color w:val="0000FF"/>
                      <w:szCs w:val="21"/>
                      <w:lang w:eastAsia="zh-CN"/>
                    </w:rPr>
                  </w:pPr>
                </w:p>
              </w:tc>
            </w:tr>
            <w:tr w14:paraId="2B2D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7CBE1D0">
                  <w:pPr>
                    <w:tabs>
                      <w:tab w:val="left" w:pos="3225"/>
                    </w:tabs>
                    <w:spacing w:line="240" w:lineRule="exact"/>
                    <w:jc w:val="center"/>
                    <w:rPr>
                      <w:rFonts w:hint="default"/>
                      <w:color w:val="auto"/>
                      <w:szCs w:val="21"/>
                      <w:lang w:val="en-US" w:eastAsia="zh-CN"/>
                    </w:rPr>
                  </w:pPr>
                  <w:r>
                    <w:rPr>
                      <w:rFonts w:hint="eastAsia"/>
                      <w:color w:val="auto"/>
                      <w:szCs w:val="21"/>
                      <w:lang w:val="en-US" w:eastAsia="zh-CN"/>
                    </w:rPr>
                    <w:t>101</w:t>
                  </w:r>
                </w:p>
              </w:tc>
              <w:tc>
                <w:tcPr>
                  <w:tcW w:w="1585" w:type="dxa"/>
                  <w:noWrap w:val="0"/>
                  <w:vAlign w:val="center"/>
                </w:tcPr>
                <w:p w14:paraId="5B5140C7">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氢氧化锂</w:t>
                  </w:r>
                </w:p>
              </w:tc>
              <w:tc>
                <w:tcPr>
                  <w:tcW w:w="615" w:type="dxa"/>
                  <w:noWrap w:val="0"/>
                  <w:vAlign w:val="center"/>
                </w:tcPr>
                <w:p w14:paraId="0A09AD82">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1334F23A">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2C9589B3">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7795FE52">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74E66BE5">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50B3183">
                  <w:pPr>
                    <w:spacing w:line="240" w:lineRule="exact"/>
                    <w:jc w:val="center"/>
                    <w:rPr>
                      <w:rFonts w:hint="eastAsia"/>
                      <w:color w:val="0000FF"/>
                      <w:szCs w:val="21"/>
                      <w:lang w:val="en-US" w:eastAsia="zh-CN"/>
                    </w:rPr>
                  </w:pPr>
                </w:p>
              </w:tc>
              <w:tc>
                <w:tcPr>
                  <w:tcW w:w="540" w:type="dxa"/>
                  <w:vMerge w:val="continue"/>
                  <w:noWrap w:val="0"/>
                  <w:vAlign w:val="center"/>
                </w:tcPr>
                <w:p w14:paraId="65257503">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0A48F194">
                  <w:pPr>
                    <w:tabs>
                      <w:tab w:val="left" w:pos="3225"/>
                    </w:tabs>
                    <w:spacing w:line="240" w:lineRule="exact"/>
                    <w:jc w:val="center"/>
                    <w:rPr>
                      <w:rFonts w:hint="eastAsia"/>
                      <w:color w:val="0000FF"/>
                      <w:szCs w:val="21"/>
                      <w:lang w:eastAsia="zh-CN"/>
                    </w:rPr>
                  </w:pPr>
                </w:p>
              </w:tc>
            </w:tr>
            <w:tr w14:paraId="69F5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FAACFD7">
                  <w:pPr>
                    <w:tabs>
                      <w:tab w:val="left" w:pos="3225"/>
                    </w:tabs>
                    <w:spacing w:line="240" w:lineRule="exact"/>
                    <w:jc w:val="center"/>
                    <w:rPr>
                      <w:rFonts w:hint="default"/>
                      <w:color w:val="auto"/>
                      <w:szCs w:val="21"/>
                      <w:lang w:val="en-US" w:eastAsia="zh-CN"/>
                    </w:rPr>
                  </w:pPr>
                  <w:r>
                    <w:rPr>
                      <w:rFonts w:hint="eastAsia"/>
                      <w:color w:val="auto"/>
                      <w:szCs w:val="21"/>
                      <w:lang w:val="en-US" w:eastAsia="zh-CN"/>
                    </w:rPr>
                    <w:t>102</w:t>
                  </w:r>
                </w:p>
              </w:tc>
              <w:tc>
                <w:tcPr>
                  <w:tcW w:w="1585" w:type="dxa"/>
                  <w:noWrap w:val="0"/>
                  <w:vAlign w:val="center"/>
                </w:tcPr>
                <w:p w14:paraId="69A571A5">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氢氧化锂溶液</w:t>
                  </w:r>
                </w:p>
              </w:tc>
              <w:tc>
                <w:tcPr>
                  <w:tcW w:w="615" w:type="dxa"/>
                  <w:noWrap w:val="0"/>
                  <w:vAlign w:val="center"/>
                </w:tcPr>
                <w:p w14:paraId="56DAA994">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7B7222F3">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403C95D3">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5370598D">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40CF8C40">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7E9207C2">
                  <w:pPr>
                    <w:spacing w:line="240" w:lineRule="exact"/>
                    <w:jc w:val="center"/>
                    <w:rPr>
                      <w:rFonts w:hint="eastAsia"/>
                      <w:color w:val="0000FF"/>
                      <w:szCs w:val="21"/>
                      <w:lang w:val="en-US" w:eastAsia="zh-CN"/>
                    </w:rPr>
                  </w:pPr>
                </w:p>
              </w:tc>
              <w:tc>
                <w:tcPr>
                  <w:tcW w:w="540" w:type="dxa"/>
                  <w:vMerge w:val="continue"/>
                  <w:noWrap w:val="0"/>
                  <w:vAlign w:val="center"/>
                </w:tcPr>
                <w:p w14:paraId="5C985D9F">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4F903DE">
                  <w:pPr>
                    <w:tabs>
                      <w:tab w:val="left" w:pos="3225"/>
                    </w:tabs>
                    <w:spacing w:line="240" w:lineRule="exact"/>
                    <w:jc w:val="center"/>
                    <w:rPr>
                      <w:rFonts w:hint="eastAsia"/>
                      <w:color w:val="0000FF"/>
                      <w:szCs w:val="21"/>
                      <w:lang w:eastAsia="zh-CN"/>
                    </w:rPr>
                  </w:pPr>
                </w:p>
              </w:tc>
            </w:tr>
            <w:tr w14:paraId="2C81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178E4B6">
                  <w:pPr>
                    <w:tabs>
                      <w:tab w:val="left" w:pos="3225"/>
                    </w:tabs>
                    <w:spacing w:line="240" w:lineRule="exact"/>
                    <w:jc w:val="center"/>
                    <w:rPr>
                      <w:rFonts w:hint="default"/>
                      <w:color w:val="auto"/>
                      <w:szCs w:val="21"/>
                      <w:lang w:val="en-US" w:eastAsia="zh-CN"/>
                    </w:rPr>
                  </w:pPr>
                  <w:r>
                    <w:rPr>
                      <w:rFonts w:hint="eastAsia"/>
                      <w:color w:val="auto"/>
                      <w:szCs w:val="21"/>
                      <w:lang w:val="en-US" w:eastAsia="zh-CN"/>
                    </w:rPr>
                    <w:t>103</w:t>
                  </w:r>
                </w:p>
              </w:tc>
              <w:tc>
                <w:tcPr>
                  <w:tcW w:w="1585" w:type="dxa"/>
                  <w:noWrap w:val="0"/>
                  <w:vAlign w:val="center"/>
                </w:tcPr>
                <w:p w14:paraId="04ED951F">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氢氧化钠</w:t>
                  </w:r>
                </w:p>
              </w:tc>
              <w:tc>
                <w:tcPr>
                  <w:tcW w:w="615" w:type="dxa"/>
                  <w:noWrap w:val="0"/>
                  <w:vAlign w:val="center"/>
                </w:tcPr>
                <w:p w14:paraId="1EB9992B">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034F6679">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1920F5ED">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5ECF737F">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1280B495">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4E807899">
                  <w:pPr>
                    <w:spacing w:line="240" w:lineRule="exact"/>
                    <w:jc w:val="center"/>
                    <w:rPr>
                      <w:rFonts w:hint="eastAsia"/>
                      <w:color w:val="0000FF"/>
                      <w:szCs w:val="21"/>
                      <w:lang w:val="en-US" w:eastAsia="zh-CN"/>
                    </w:rPr>
                  </w:pPr>
                </w:p>
              </w:tc>
              <w:tc>
                <w:tcPr>
                  <w:tcW w:w="540" w:type="dxa"/>
                  <w:vMerge w:val="continue"/>
                  <w:noWrap w:val="0"/>
                  <w:vAlign w:val="center"/>
                </w:tcPr>
                <w:p w14:paraId="38960511">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7C3BAB6">
                  <w:pPr>
                    <w:tabs>
                      <w:tab w:val="left" w:pos="3225"/>
                    </w:tabs>
                    <w:spacing w:line="240" w:lineRule="exact"/>
                    <w:jc w:val="center"/>
                    <w:rPr>
                      <w:rFonts w:hint="eastAsia"/>
                      <w:color w:val="0000FF"/>
                      <w:szCs w:val="21"/>
                      <w:lang w:eastAsia="zh-CN"/>
                    </w:rPr>
                  </w:pPr>
                </w:p>
              </w:tc>
            </w:tr>
            <w:tr w14:paraId="57A4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2F00DB0">
                  <w:pPr>
                    <w:tabs>
                      <w:tab w:val="left" w:pos="3225"/>
                    </w:tabs>
                    <w:spacing w:line="240" w:lineRule="exact"/>
                    <w:jc w:val="center"/>
                    <w:rPr>
                      <w:rFonts w:hint="default"/>
                      <w:color w:val="auto"/>
                      <w:szCs w:val="21"/>
                      <w:lang w:val="en-US" w:eastAsia="zh-CN"/>
                    </w:rPr>
                  </w:pPr>
                  <w:r>
                    <w:rPr>
                      <w:rFonts w:hint="eastAsia"/>
                      <w:color w:val="auto"/>
                      <w:szCs w:val="21"/>
                      <w:lang w:val="en-US" w:eastAsia="zh-CN"/>
                    </w:rPr>
                    <w:t>104</w:t>
                  </w:r>
                </w:p>
              </w:tc>
              <w:tc>
                <w:tcPr>
                  <w:tcW w:w="1585" w:type="dxa"/>
                  <w:noWrap w:val="0"/>
                  <w:vAlign w:val="center"/>
                </w:tcPr>
                <w:p w14:paraId="0C497EC4">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氢氧化钠溶液[含量≥30%]</w:t>
                  </w:r>
                </w:p>
              </w:tc>
              <w:tc>
                <w:tcPr>
                  <w:tcW w:w="615" w:type="dxa"/>
                  <w:noWrap w:val="0"/>
                  <w:vAlign w:val="center"/>
                </w:tcPr>
                <w:p w14:paraId="77D657BB">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7F19096B">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7E95F958">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12C3A368">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5B953293">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6FCA109">
                  <w:pPr>
                    <w:spacing w:line="240" w:lineRule="exact"/>
                    <w:jc w:val="center"/>
                    <w:rPr>
                      <w:rFonts w:hint="eastAsia"/>
                      <w:color w:val="0000FF"/>
                      <w:szCs w:val="21"/>
                      <w:lang w:val="en-US" w:eastAsia="zh-CN"/>
                    </w:rPr>
                  </w:pPr>
                </w:p>
              </w:tc>
              <w:tc>
                <w:tcPr>
                  <w:tcW w:w="540" w:type="dxa"/>
                  <w:vMerge w:val="continue"/>
                  <w:noWrap w:val="0"/>
                  <w:vAlign w:val="center"/>
                </w:tcPr>
                <w:p w14:paraId="33361997">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44202724">
                  <w:pPr>
                    <w:tabs>
                      <w:tab w:val="left" w:pos="3225"/>
                    </w:tabs>
                    <w:spacing w:line="240" w:lineRule="exact"/>
                    <w:jc w:val="center"/>
                    <w:rPr>
                      <w:rFonts w:hint="eastAsia"/>
                      <w:color w:val="0000FF"/>
                      <w:szCs w:val="21"/>
                      <w:lang w:eastAsia="zh-CN"/>
                    </w:rPr>
                  </w:pPr>
                </w:p>
              </w:tc>
            </w:tr>
            <w:tr w14:paraId="6BD4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5A1C231">
                  <w:pPr>
                    <w:tabs>
                      <w:tab w:val="left" w:pos="3225"/>
                    </w:tabs>
                    <w:spacing w:line="240" w:lineRule="exact"/>
                    <w:jc w:val="center"/>
                    <w:rPr>
                      <w:rFonts w:hint="default"/>
                      <w:color w:val="auto"/>
                      <w:szCs w:val="21"/>
                      <w:lang w:val="en-US" w:eastAsia="zh-CN"/>
                    </w:rPr>
                  </w:pPr>
                  <w:r>
                    <w:rPr>
                      <w:rFonts w:hint="eastAsia"/>
                      <w:color w:val="auto"/>
                      <w:szCs w:val="21"/>
                      <w:lang w:val="en-US" w:eastAsia="zh-CN"/>
                    </w:rPr>
                    <w:t>105</w:t>
                  </w:r>
                </w:p>
              </w:tc>
              <w:tc>
                <w:tcPr>
                  <w:tcW w:w="1585" w:type="dxa"/>
                  <w:noWrap w:val="0"/>
                  <w:vAlign w:val="center"/>
                </w:tcPr>
                <w:p w14:paraId="66261470">
                  <w:pPr>
                    <w:tabs>
                      <w:tab w:val="left" w:pos="3225"/>
                    </w:tabs>
                    <w:spacing w:line="240" w:lineRule="auto"/>
                    <w:jc w:val="center"/>
                    <w:rPr>
                      <w:rFonts w:hint="eastAsia"/>
                      <w:color w:val="auto"/>
                      <w:szCs w:val="21"/>
                      <w:lang w:val="en-US" w:eastAsia="zh-CN"/>
                    </w:rPr>
                  </w:pPr>
                  <w:r>
                    <w:rPr>
                      <w:rFonts w:hint="eastAsia"/>
                      <w:color w:val="auto"/>
                      <w:szCs w:val="21"/>
                      <w:lang w:val="en-US" w:eastAsia="zh-CN"/>
                    </w:rPr>
                    <w:t>盐酸</w:t>
                  </w:r>
                </w:p>
              </w:tc>
              <w:tc>
                <w:tcPr>
                  <w:tcW w:w="615" w:type="dxa"/>
                  <w:noWrap w:val="0"/>
                  <w:vAlign w:val="center"/>
                </w:tcPr>
                <w:p w14:paraId="5EE9C1D4">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1186311D">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13C229A0">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091A407A">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43FB12C5">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41DE64BA">
                  <w:pPr>
                    <w:spacing w:line="240" w:lineRule="exact"/>
                    <w:jc w:val="center"/>
                    <w:rPr>
                      <w:rFonts w:hint="eastAsia"/>
                      <w:color w:val="0000FF"/>
                      <w:szCs w:val="21"/>
                      <w:lang w:val="en-US" w:eastAsia="zh-CN"/>
                    </w:rPr>
                  </w:pPr>
                  <w:r>
                    <w:rPr>
                      <w:rFonts w:hint="eastAsia"/>
                      <w:color w:val="auto"/>
                      <w:szCs w:val="21"/>
                      <w:u w:val="none"/>
                      <w:lang w:val="en-US" w:eastAsia="zh-CN"/>
                    </w:rPr>
                    <w:t>5号仓库危险化学品隔间B（酸储间）</w:t>
                  </w:r>
                </w:p>
              </w:tc>
              <w:tc>
                <w:tcPr>
                  <w:tcW w:w="540" w:type="dxa"/>
                  <w:vMerge w:val="continue"/>
                  <w:noWrap w:val="0"/>
                  <w:vAlign w:val="center"/>
                </w:tcPr>
                <w:p w14:paraId="119A8E3C">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47C5B22">
                  <w:pPr>
                    <w:tabs>
                      <w:tab w:val="left" w:pos="3225"/>
                    </w:tabs>
                    <w:spacing w:line="240" w:lineRule="exact"/>
                    <w:jc w:val="center"/>
                    <w:rPr>
                      <w:rFonts w:hint="eastAsia"/>
                      <w:color w:val="0000FF"/>
                      <w:szCs w:val="21"/>
                      <w:lang w:eastAsia="zh-CN"/>
                    </w:rPr>
                  </w:pPr>
                </w:p>
              </w:tc>
            </w:tr>
            <w:tr w14:paraId="0C45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10A4DCA">
                  <w:pPr>
                    <w:tabs>
                      <w:tab w:val="left" w:pos="3225"/>
                    </w:tabs>
                    <w:spacing w:line="240" w:lineRule="exact"/>
                    <w:jc w:val="center"/>
                    <w:rPr>
                      <w:rFonts w:hint="default"/>
                      <w:color w:val="auto"/>
                      <w:szCs w:val="21"/>
                      <w:lang w:val="en-US" w:eastAsia="zh-CN"/>
                    </w:rPr>
                  </w:pPr>
                  <w:r>
                    <w:rPr>
                      <w:rFonts w:hint="eastAsia"/>
                      <w:color w:val="auto"/>
                      <w:szCs w:val="21"/>
                      <w:lang w:val="en-US" w:eastAsia="zh-CN"/>
                    </w:rPr>
                    <w:t>106</w:t>
                  </w:r>
                </w:p>
              </w:tc>
              <w:tc>
                <w:tcPr>
                  <w:tcW w:w="1585" w:type="dxa"/>
                  <w:noWrap w:val="0"/>
                  <w:vAlign w:val="center"/>
                </w:tcPr>
                <w:p w14:paraId="45040E5E">
                  <w:pPr>
                    <w:tabs>
                      <w:tab w:val="left" w:pos="3225"/>
                    </w:tabs>
                    <w:spacing w:line="240" w:lineRule="auto"/>
                    <w:jc w:val="center"/>
                    <w:rPr>
                      <w:rFonts w:hint="eastAsia"/>
                      <w:color w:val="auto"/>
                      <w:szCs w:val="21"/>
                      <w:lang w:val="en-US" w:eastAsia="zh-CN"/>
                    </w:rPr>
                  </w:pPr>
                  <w:r>
                    <w:rPr>
                      <w:rFonts w:hint="eastAsia"/>
                      <w:color w:val="auto"/>
                      <w:szCs w:val="21"/>
                      <w:lang w:val="en-US" w:eastAsia="zh-CN"/>
                    </w:rPr>
                    <w:t>正磷酸</w:t>
                  </w:r>
                </w:p>
              </w:tc>
              <w:tc>
                <w:tcPr>
                  <w:tcW w:w="615" w:type="dxa"/>
                  <w:noWrap w:val="0"/>
                  <w:vAlign w:val="center"/>
                </w:tcPr>
                <w:p w14:paraId="0B3A19C1">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5B409EB8">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3BB1CFE1">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26E48C85">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177322FD">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F4CCD64">
                  <w:pPr>
                    <w:spacing w:line="240" w:lineRule="exact"/>
                    <w:jc w:val="center"/>
                    <w:rPr>
                      <w:rFonts w:hint="eastAsia"/>
                      <w:color w:val="0000FF"/>
                      <w:szCs w:val="21"/>
                      <w:lang w:val="en-US" w:eastAsia="zh-CN"/>
                    </w:rPr>
                  </w:pPr>
                </w:p>
              </w:tc>
              <w:tc>
                <w:tcPr>
                  <w:tcW w:w="540" w:type="dxa"/>
                  <w:vMerge w:val="continue"/>
                  <w:noWrap w:val="0"/>
                  <w:vAlign w:val="center"/>
                </w:tcPr>
                <w:p w14:paraId="4B517D95">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2025F0F">
                  <w:pPr>
                    <w:tabs>
                      <w:tab w:val="left" w:pos="3225"/>
                    </w:tabs>
                    <w:spacing w:line="240" w:lineRule="exact"/>
                    <w:jc w:val="center"/>
                    <w:rPr>
                      <w:rFonts w:hint="eastAsia"/>
                      <w:color w:val="0000FF"/>
                      <w:szCs w:val="21"/>
                      <w:lang w:eastAsia="zh-CN"/>
                    </w:rPr>
                  </w:pPr>
                </w:p>
              </w:tc>
            </w:tr>
            <w:tr w14:paraId="511F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45B8D08">
                  <w:pPr>
                    <w:tabs>
                      <w:tab w:val="left" w:pos="3225"/>
                    </w:tabs>
                    <w:spacing w:line="240" w:lineRule="exact"/>
                    <w:jc w:val="center"/>
                    <w:rPr>
                      <w:rFonts w:hint="default"/>
                      <w:color w:val="auto"/>
                      <w:szCs w:val="21"/>
                      <w:lang w:val="en-US" w:eastAsia="zh-CN"/>
                    </w:rPr>
                  </w:pPr>
                  <w:r>
                    <w:rPr>
                      <w:rFonts w:hint="eastAsia"/>
                      <w:color w:val="auto"/>
                      <w:szCs w:val="21"/>
                      <w:lang w:val="en-US" w:eastAsia="zh-CN"/>
                    </w:rPr>
                    <w:t>107</w:t>
                  </w:r>
                </w:p>
              </w:tc>
              <w:tc>
                <w:tcPr>
                  <w:tcW w:w="1585" w:type="dxa"/>
                  <w:noWrap w:val="0"/>
                  <w:vAlign w:val="center"/>
                </w:tcPr>
                <w:p w14:paraId="54FDD453">
                  <w:pPr>
                    <w:tabs>
                      <w:tab w:val="left" w:pos="3225"/>
                    </w:tabs>
                    <w:spacing w:line="240" w:lineRule="auto"/>
                    <w:jc w:val="center"/>
                    <w:rPr>
                      <w:rFonts w:hint="eastAsia"/>
                      <w:color w:val="auto"/>
                      <w:szCs w:val="21"/>
                      <w:lang w:val="en-US" w:eastAsia="zh-CN"/>
                    </w:rPr>
                  </w:pPr>
                  <w:r>
                    <w:rPr>
                      <w:rFonts w:hint="eastAsia"/>
                      <w:color w:val="auto"/>
                      <w:szCs w:val="21"/>
                      <w:lang w:val="en-US" w:eastAsia="zh-CN"/>
                    </w:rPr>
                    <w:t>多聚磷酸</w:t>
                  </w:r>
                </w:p>
              </w:tc>
              <w:tc>
                <w:tcPr>
                  <w:tcW w:w="615" w:type="dxa"/>
                  <w:noWrap w:val="0"/>
                  <w:vAlign w:val="center"/>
                </w:tcPr>
                <w:p w14:paraId="4057265A">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011D6500">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3B1830C9">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0A829C84">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5996CE45">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239001C">
                  <w:pPr>
                    <w:spacing w:line="240" w:lineRule="exact"/>
                    <w:jc w:val="center"/>
                    <w:rPr>
                      <w:rFonts w:hint="eastAsia"/>
                      <w:color w:val="0000FF"/>
                      <w:szCs w:val="21"/>
                      <w:lang w:val="en-US" w:eastAsia="zh-CN"/>
                    </w:rPr>
                  </w:pPr>
                </w:p>
              </w:tc>
              <w:tc>
                <w:tcPr>
                  <w:tcW w:w="540" w:type="dxa"/>
                  <w:vMerge w:val="continue"/>
                  <w:noWrap w:val="0"/>
                  <w:vAlign w:val="center"/>
                </w:tcPr>
                <w:p w14:paraId="369113B2">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6C3E97D7">
                  <w:pPr>
                    <w:tabs>
                      <w:tab w:val="left" w:pos="3225"/>
                    </w:tabs>
                    <w:spacing w:line="240" w:lineRule="exact"/>
                    <w:jc w:val="center"/>
                    <w:rPr>
                      <w:rFonts w:hint="eastAsia"/>
                      <w:color w:val="0000FF"/>
                      <w:szCs w:val="21"/>
                      <w:lang w:eastAsia="zh-CN"/>
                    </w:rPr>
                  </w:pPr>
                </w:p>
              </w:tc>
            </w:tr>
            <w:tr w14:paraId="2CC8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FEEFB49">
                  <w:pPr>
                    <w:tabs>
                      <w:tab w:val="left" w:pos="3225"/>
                    </w:tabs>
                    <w:spacing w:line="240" w:lineRule="exact"/>
                    <w:jc w:val="center"/>
                    <w:rPr>
                      <w:rFonts w:hint="default"/>
                      <w:color w:val="auto"/>
                      <w:szCs w:val="21"/>
                      <w:lang w:val="en-US" w:eastAsia="zh-CN"/>
                    </w:rPr>
                  </w:pPr>
                  <w:r>
                    <w:rPr>
                      <w:rFonts w:hint="eastAsia"/>
                      <w:color w:val="auto"/>
                      <w:szCs w:val="21"/>
                      <w:lang w:val="en-US" w:eastAsia="zh-CN"/>
                    </w:rPr>
                    <w:t>108</w:t>
                  </w:r>
                </w:p>
              </w:tc>
              <w:tc>
                <w:tcPr>
                  <w:tcW w:w="1585" w:type="dxa"/>
                  <w:noWrap w:val="0"/>
                  <w:vAlign w:val="center"/>
                </w:tcPr>
                <w:p w14:paraId="348E399F">
                  <w:pPr>
                    <w:tabs>
                      <w:tab w:val="left" w:pos="3225"/>
                    </w:tabs>
                    <w:spacing w:line="240" w:lineRule="auto"/>
                    <w:jc w:val="center"/>
                    <w:rPr>
                      <w:rFonts w:hint="eastAsia"/>
                      <w:color w:val="auto"/>
                      <w:szCs w:val="21"/>
                      <w:lang w:val="en-US" w:eastAsia="zh-CN"/>
                    </w:rPr>
                  </w:pPr>
                  <w:r>
                    <w:rPr>
                      <w:rFonts w:hint="eastAsia"/>
                      <w:color w:val="auto"/>
                      <w:szCs w:val="21"/>
                      <w:lang w:val="en-US" w:eastAsia="zh-CN"/>
                    </w:rPr>
                    <w:t>硫酸镍</w:t>
                  </w:r>
                </w:p>
              </w:tc>
              <w:tc>
                <w:tcPr>
                  <w:tcW w:w="615" w:type="dxa"/>
                  <w:noWrap w:val="0"/>
                  <w:vAlign w:val="center"/>
                </w:tcPr>
                <w:p w14:paraId="435B1301">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4C203CE1">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3FD6FD3A">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52FD369C">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514F0056">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restart"/>
                  <w:noWrap w:val="0"/>
                  <w:vAlign w:val="center"/>
                </w:tcPr>
                <w:p w14:paraId="183065C2">
                  <w:pPr>
                    <w:spacing w:line="240" w:lineRule="exact"/>
                    <w:jc w:val="center"/>
                    <w:rPr>
                      <w:rFonts w:hint="eastAsia"/>
                      <w:color w:val="0000FF"/>
                      <w:szCs w:val="21"/>
                      <w:lang w:val="en-US" w:eastAsia="zh-CN"/>
                    </w:rPr>
                  </w:pPr>
                  <w:r>
                    <w:rPr>
                      <w:rFonts w:hint="eastAsia"/>
                      <w:color w:val="auto"/>
                      <w:szCs w:val="21"/>
                      <w:u w:val="none"/>
                      <w:lang w:val="en-US" w:eastAsia="zh-CN"/>
                    </w:rPr>
                    <w:t>5号仓库危险化学品隔间C（毒害品储间）</w:t>
                  </w:r>
                </w:p>
              </w:tc>
              <w:tc>
                <w:tcPr>
                  <w:tcW w:w="540" w:type="dxa"/>
                  <w:vMerge w:val="continue"/>
                  <w:noWrap w:val="0"/>
                  <w:vAlign w:val="center"/>
                </w:tcPr>
                <w:p w14:paraId="78B9CDF2">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CCFC776">
                  <w:pPr>
                    <w:tabs>
                      <w:tab w:val="left" w:pos="3225"/>
                    </w:tabs>
                    <w:spacing w:line="240" w:lineRule="exact"/>
                    <w:jc w:val="center"/>
                    <w:rPr>
                      <w:rFonts w:hint="eastAsia"/>
                      <w:color w:val="0000FF"/>
                      <w:szCs w:val="21"/>
                      <w:lang w:eastAsia="zh-CN"/>
                    </w:rPr>
                  </w:pPr>
                </w:p>
              </w:tc>
            </w:tr>
            <w:tr w14:paraId="17F5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F019DA2">
                  <w:pPr>
                    <w:tabs>
                      <w:tab w:val="left" w:pos="3225"/>
                    </w:tabs>
                    <w:spacing w:line="240" w:lineRule="exact"/>
                    <w:jc w:val="center"/>
                    <w:rPr>
                      <w:rFonts w:hint="default"/>
                      <w:color w:val="auto"/>
                      <w:szCs w:val="21"/>
                      <w:lang w:val="en-US" w:eastAsia="zh-CN"/>
                    </w:rPr>
                  </w:pPr>
                  <w:r>
                    <w:rPr>
                      <w:rFonts w:hint="eastAsia"/>
                      <w:color w:val="auto"/>
                      <w:szCs w:val="21"/>
                      <w:lang w:val="en-US" w:eastAsia="zh-CN"/>
                    </w:rPr>
                    <w:t>109</w:t>
                  </w:r>
                </w:p>
              </w:tc>
              <w:tc>
                <w:tcPr>
                  <w:tcW w:w="1585" w:type="dxa"/>
                  <w:noWrap w:val="0"/>
                  <w:vAlign w:val="center"/>
                </w:tcPr>
                <w:p w14:paraId="72A636A8">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氟硅酸钾</w:t>
                  </w:r>
                </w:p>
              </w:tc>
              <w:tc>
                <w:tcPr>
                  <w:tcW w:w="615" w:type="dxa"/>
                  <w:noWrap w:val="0"/>
                  <w:vAlign w:val="center"/>
                </w:tcPr>
                <w:p w14:paraId="14653977">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4623B842">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3595AD81">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7A9AC0A3">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3CE7DC54">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47A6943">
                  <w:pPr>
                    <w:spacing w:line="240" w:lineRule="exact"/>
                    <w:jc w:val="center"/>
                    <w:rPr>
                      <w:rFonts w:hint="eastAsia"/>
                      <w:color w:val="0000FF"/>
                      <w:szCs w:val="21"/>
                      <w:lang w:val="en-US" w:eastAsia="zh-CN"/>
                    </w:rPr>
                  </w:pPr>
                </w:p>
              </w:tc>
              <w:tc>
                <w:tcPr>
                  <w:tcW w:w="540" w:type="dxa"/>
                  <w:vMerge w:val="continue"/>
                  <w:noWrap w:val="0"/>
                  <w:vAlign w:val="center"/>
                </w:tcPr>
                <w:p w14:paraId="49F0EA4A">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65973914">
                  <w:pPr>
                    <w:tabs>
                      <w:tab w:val="left" w:pos="3225"/>
                    </w:tabs>
                    <w:spacing w:line="240" w:lineRule="exact"/>
                    <w:jc w:val="center"/>
                    <w:rPr>
                      <w:rFonts w:hint="eastAsia"/>
                      <w:color w:val="0000FF"/>
                      <w:szCs w:val="21"/>
                      <w:lang w:eastAsia="zh-CN"/>
                    </w:rPr>
                  </w:pPr>
                </w:p>
              </w:tc>
            </w:tr>
            <w:tr w14:paraId="5F7D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B6E3FFF">
                  <w:pPr>
                    <w:tabs>
                      <w:tab w:val="left" w:pos="3225"/>
                    </w:tabs>
                    <w:spacing w:line="240" w:lineRule="exact"/>
                    <w:jc w:val="center"/>
                    <w:rPr>
                      <w:rFonts w:hint="default"/>
                      <w:color w:val="auto"/>
                      <w:szCs w:val="21"/>
                      <w:lang w:val="en-US" w:eastAsia="zh-CN"/>
                    </w:rPr>
                  </w:pPr>
                  <w:r>
                    <w:rPr>
                      <w:rFonts w:hint="eastAsia"/>
                      <w:color w:val="auto"/>
                      <w:szCs w:val="21"/>
                      <w:lang w:val="en-US" w:eastAsia="zh-CN"/>
                    </w:rPr>
                    <w:t>110</w:t>
                  </w:r>
                </w:p>
              </w:tc>
              <w:tc>
                <w:tcPr>
                  <w:tcW w:w="1585" w:type="dxa"/>
                  <w:noWrap w:val="0"/>
                  <w:vAlign w:val="center"/>
                </w:tcPr>
                <w:p w14:paraId="6CD526F4">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氟硅酸钠</w:t>
                  </w:r>
                </w:p>
              </w:tc>
              <w:tc>
                <w:tcPr>
                  <w:tcW w:w="615" w:type="dxa"/>
                  <w:noWrap w:val="0"/>
                  <w:vAlign w:val="center"/>
                </w:tcPr>
                <w:p w14:paraId="5D395B35">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1CBE7DA6">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2C6B2F91">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3327D138">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17107B39">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52B251E">
                  <w:pPr>
                    <w:spacing w:line="240" w:lineRule="exact"/>
                    <w:jc w:val="center"/>
                    <w:rPr>
                      <w:rFonts w:hint="eastAsia"/>
                      <w:color w:val="0000FF"/>
                      <w:szCs w:val="21"/>
                      <w:lang w:val="en-US" w:eastAsia="zh-CN"/>
                    </w:rPr>
                  </w:pPr>
                </w:p>
              </w:tc>
              <w:tc>
                <w:tcPr>
                  <w:tcW w:w="540" w:type="dxa"/>
                  <w:vMerge w:val="continue"/>
                  <w:noWrap w:val="0"/>
                  <w:vAlign w:val="center"/>
                </w:tcPr>
                <w:p w14:paraId="29A6F21C">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6DB6151">
                  <w:pPr>
                    <w:tabs>
                      <w:tab w:val="left" w:pos="3225"/>
                    </w:tabs>
                    <w:spacing w:line="240" w:lineRule="exact"/>
                    <w:jc w:val="center"/>
                    <w:rPr>
                      <w:rFonts w:hint="eastAsia"/>
                      <w:color w:val="0000FF"/>
                      <w:szCs w:val="21"/>
                      <w:lang w:eastAsia="zh-CN"/>
                    </w:rPr>
                  </w:pPr>
                </w:p>
              </w:tc>
            </w:tr>
            <w:tr w14:paraId="5877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45027982">
                  <w:pPr>
                    <w:tabs>
                      <w:tab w:val="left" w:pos="3225"/>
                    </w:tabs>
                    <w:spacing w:line="240" w:lineRule="exact"/>
                    <w:jc w:val="center"/>
                    <w:rPr>
                      <w:rFonts w:hint="default"/>
                      <w:color w:val="auto"/>
                      <w:szCs w:val="21"/>
                      <w:lang w:val="en-US" w:eastAsia="zh-CN"/>
                    </w:rPr>
                  </w:pPr>
                  <w:r>
                    <w:rPr>
                      <w:rFonts w:hint="eastAsia"/>
                      <w:color w:val="auto"/>
                      <w:szCs w:val="21"/>
                      <w:lang w:val="en-US" w:eastAsia="zh-CN"/>
                    </w:rPr>
                    <w:t>111</w:t>
                  </w:r>
                </w:p>
              </w:tc>
              <w:tc>
                <w:tcPr>
                  <w:tcW w:w="1585" w:type="dxa"/>
                  <w:noWrap w:val="0"/>
                  <w:vAlign w:val="center"/>
                </w:tcPr>
                <w:p w14:paraId="758E9D56">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氟化铵</w:t>
                  </w:r>
                </w:p>
              </w:tc>
              <w:tc>
                <w:tcPr>
                  <w:tcW w:w="615" w:type="dxa"/>
                  <w:noWrap w:val="0"/>
                  <w:vAlign w:val="center"/>
                </w:tcPr>
                <w:p w14:paraId="12697AA8">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0A53AF99">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70506E48">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0E3E763F">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27949AC9">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17970F7C">
                  <w:pPr>
                    <w:spacing w:line="240" w:lineRule="exact"/>
                    <w:jc w:val="center"/>
                    <w:rPr>
                      <w:rFonts w:hint="eastAsia"/>
                      <w:color w:val="0000FF"/>
                      <w:szCs w:val="21"/>
                      <w:lang w:val="en-US" w:eastAsia="zh-CN"/>
                    </w:rPr>
                  </w:pPr>
                </w:p>
              </w:tc>
              <w:tc>
                <w:tcPr>
                  <w:tcW w:w="540" w:type="dxa"/>
                  <w:vMerge w:val="continue"/>
                  <w:noWrap w:val="0"/>
                  <w:vAlign w:val="center"/>
                </w:tcPr>
                <w:p w14:paraId="151145CE">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0A88C8A0">
                  <w:pPr>
                    <w:tabs>
                      <w:tab w:val="left" w:pos="3225"/>
                    </w:tabs>
                    <w:spacing w:line="240" w:lineRule="exact"/>
                    <w:jc w:val="center"/>
                    <w:rPr>
                      <w:rFonts w:hint="eastAsia"/>
                      <w:color w:val="0000FF"/>
                      <w:szCs w:val="21"/>
                      <w:lang w:eastAsia="zh-CN"/>
                    </w:rPr>
                  </w:pPr>
                </w:p>
              </w:tc>
            </w:tr>
            <w:tr w14:paraId="5186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72B29F6C">
                  <w:pPr>
                    <w:tabs>
                      <w:tab w:val="left" w:pos="3225"/>
                    </w:tabs>
                    <w:spacing w:line="240" w:lineRule="exact"/>
                    <w:jc w:val="center"/>
                    <w:rPr>
                      <w:rFonts w:hint="default"/>
                      <w:color w:val="auto"/>
                      <w:szCs w:val="21"/>
                      <w:lang w:val="en-US" w:eastAsia="zh-CN"/>
                    </w:rPr>
                  </w:pPr>
                  <w:r>
                    <w:rPr>
                      <w:rFonts w:hint="eastAsia"/>
                      <w:color w:val="auto"/>
                      <w:szCs w:val="21"/>
                      <w:lang w:val="en-US" w:eastAsia="zh-CN"/>
                    </w:rPr>
                    <w:t>112</w:t>
                  </w:r>
                </w:p>
              </w:tc>
              <w:tc>
                <w:tcPr>
                  <w:tcW w:w="1585" w:type="dxa"/>
                  <w:noWrap w:val="0"/>
                  <w:vAlign w:val="center"/>
                </w:tcPr>
                <w:p w14:paraId="7E4A2896">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氟化钡</w:t>
                  </w:r>
                </w:p>
              </w:tc>
              <w:tc>
                <w:tcPr>
                  <w:tcW w:w="615" w:type="dxa"/>
                  <w:noWrap w:val="0"/>
                  <w:vAlign w:val="center"/>
                </w:tcPr>
                <w:p w14:paraId="2B918589">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6B4727F1">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337F181D">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24C2ACB9">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511D3221">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6821F6C2">
                  <w:pPr>
                    <w:spacing w:line="240" w:lineRule="exact"/>
                    <w:jc w:val="center"/>
                    <w:rPr>
                      <w:rFonts w:hint="eastAsia"/>
                      <w:color w:val="0000FF"/>
                      <w:szCs w:val="21"/>
                      <w:lang w:val="en-US" w:eastAsia="zh-CN"/>
                    </w:rPr>
                  </w:pPr>
                </w:p>
              </w:tc>
              <w:tc>
                <w:tcPr>
                  <w:tcW w:w="540" w:type="dxa"/>
                  <w:vMerge w:val="continue"/>
                  <w:noWrap w:val="0"/>
                  <w:vAlign w:val="center"/>
                </w:tcPr>
                <w:p w14:paraId="3F6ACC17">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7F7FDF22">
                  <w:pPr>
                    <w:tabs>
                      <w:tab w:val="left" w:pos="3225"/>
                    </w:tabs>
                    <w:spacing w:line="240" w:lineRule="exact"/>
                    <w:jc w:val="center"/>
                    <w:rPr>
                      <w:rFonts w:hint="eastAsia"/>
                      <w:color w:val="0000FF"/>
                      <w:szCs w:val="21"/>
                      <w:lang w:eastAsia="zh-CN"/>
                    </w:rPr>
                  </w:pPr>
                </w:p>
              </w:tc>
            </w:tr>
            <w:tr w14:paraId="5FDD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EAFD45C">
                  <w:pPr>
                    <w:tabs>
                      <w:tab w:val="left" w:pos="3225"/>
                    </w:tabs>
                    <w:spacing w:line="240" w:lineRule="exact"/>
                    <w:jc w:val="center"/>
                    <w:rPr>
                      <w:rFonts w:hint="default"/>
                      <w:color w:val="auto"/>
                      <w:szCs w:val="21"/>
                      <w:lang w:val="en-US" w:eastAsia="zh-CN"/>
                    </w:rPr>
                  </w:pPr>
                  <w:r>
                    <w:rPr>
                      <w:rFonts w:hint="eastAsia"/>
                      <w:color w:val="auto"/>
                      <w:szCs w:val="21"/>
                      <w:lang w:val="en-US" w:eastAsia="zh-CN"/>
                    </w:rPr>
                    <w:t>113</w:t>
                  </w:r>
                </w:p>
              </w:tc>
              <w:tc>
                <w:tcPr>
                  <w:tcW w:w="1585" w:type="dxa"/>
                  <w:noWrap w:val="0"/>
                  <w:vAlign w:val="center"/>
                </w:tcPr>
                <w:p w14:paraId="67B99538">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氟化钾</w:t>
                  </w:r>
                </w:p>
              </w:tc>
              <w:tc>
                <w:tcPr>
                  <w:tcW w:w="615" w:type="dxa"/>
                  <w:noWrap w:val="0"/>
                  <w:vAlign w:val="center"/>
                </w:tcPr>
                <w:p w14:paraId="01EFAF85">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7603B4E4">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6B14D783">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578C87C0">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7CFE1B0D">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550794B1">
                  <w:pPr>
                    <w:spacing w:line="240" w:lineRule="exact"/>
                    <w:jc w:val="center"/>
                    <w:rPr>
                      <w:rFonts w:hint="eastAsia"/>
                      <w:color w:val="0000FF"/>
                      <w:szCs w:val="21"/>
                      <w:lang w:val="en-US" w:eastAsia="zh-CN"/>
                    </w:rPr>
                  </w:pPr>
                </w:p>
              </w:tc>
              <w:tc>
                <w:tcPr>
                  <w:tcW w:w="540" w:type="dxa"/>
                  <w:vMerge w:val="continue"/>
                  <w:noWrap w:val="0"/>
                  <w:vAlign w:val="center"/>
                </w:tcPr>
                <w:p w14:paraId="24D40B3B">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3F72A84B">
                  <w:pPr>
                    <w:tabs>
                      <w:tab w:val="left" w:pos="3225"/>
                    </w:tabs>
                    <w:spacing w:line="240" w:lineRule="exact"/>
                    <w:jc w:val="center"/>
                    <w:rPr>
                      <w:rFonts w:hint="eastAsia"/>
                      <w:color w:val="0000FF"/>
                      <w:szCs w:val="21"/>
                      <w:lang w:eastAsia="zh-CN"/>
                    </w:rPr>
                  </w:pPr>
                </w:p>
              </w:tc>
            </w:tr>
            <w:tr w14:paraId="6858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3A08337">
                  <w:pPr>
                    <w:tabs>
                      <w:tab w:val="left" w:pos="3225"/>
                    </w:tabs>
                    <w:spacing w:line="240" w:lineRule="exact"/>
                    <w:jc w:val="center"/>
                    <w:rPr>
                      <w:rFonts w:hint="default"/>
                      <w:color w:val="auto"/>
                      <w:szCs w:val="21"/>
                      <w:lang w:val="en-US" w:eastAsia="zh-CN"/>
                    </w:rPr>
                  </w:pPr>
                  <w:r>
                    <w:rPr>
                      <w:rFonts w:hint="eastAsia"/>
                      <w:color w:val="auto"/>
                      <w:szCs w:val="21"/>
                      <w:lang w:val="en-US" w:eastAsia="zh-CN"/>
                    </w:rPr>
                    <w:t>114</w:t>
                  </w:r>
                </w:p>
              </w:tc>
              <w:tc>
                <w:tcPr>
                  <w:tcW w:w="1585" w:type="dxa"/>
                  <w:noWrap w:val="0"/>
                  <w:vAlign w:val="center"/>
                </w:tcPr>
                <w:p w14:paraId="2E43A3C0">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氟化钠</w:t>
                  </w:r>
                </w:p>
              </w:tc>
              <w:tc>
                <w:tcPr>
                  <w:tcW w:w="615" w:type="dxa"/>
                  <w:noWrap w:val="0"/>
                  <w:vAlign w:val="center"/>
                </w:tcPr>
                <w:p w14:paraId="7931CBF1">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7DC212CA">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225CC839">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612F3482">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06B759D6">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0C6F9AFA">
                  <w:pPr>
                    <w:spacing w:line="240" w:lineRule="exact"/>
                    <w:jc w:val="center"/>
                    <w:rPr>
                      <w:rFonts w:hint="eastAsia"/>
                      <w:color w:val="0000FF"/>
                      <w:szCs w:val="21"/>
                      <w:lang w:val="en-US" w:eastAsia="zh-CN"/>
                    </w:rPr>
                  </w:pPr>
                </w:p>
              </w:tc>
              <w:tc>
                <w:tcPr>
                  <w:tcW w:w="540" w:type="dxa"/>
                  <w:vMerge w:val="continue"/>
                  <w:noWrap w:val="0"/>
                  <w:vAlign w:val="center"/>
                </w:tcPr>
                <w:p w14:paraId="72645AEF">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28137147">
                  <w:pPr>
                    <w:tabs>
                      <w:tab w:val="left" w:pos="3225"/>
                    </w:tabs>
                    <w:spacing w:line="240" w:lineRule="exact"/>
                    <w:jc w:val="center"/>
                    <w:rPr>
                      <w:rFonts w:hint="eastAsia"/>
                      <w:color w:val="0000FF"/>
                      <w:szCs w:val="21"/>
                      <w:lang w:eastAsia="zh-CN"/>
                    </w:rPr>
                  </w:pPr>
                </w:p>
              </w:tc>
            </w:tr>
            <w:tr w14:paraId="7D3A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57612494">
                  <w:pPr>
                    <w:tabs>
                      <w:tab w:val="left" w:pos="3225"/>
                    </w:tabs>
                    <w:spacing w:line="240" w:lineRule="exact"/>
                    <w:jc w:val="center"/>
                    <w:rPr>
                      <w:rFonts w:hint="default"/>
                      <w:color w:val="auto"/>
                      <w:szCs w:val="21"/>
                      <w:lang w:val="en-US" w:eastAsia="zh-CN"/>
                    </w:rPr>
                  </w:pPr>
                  <w:r>
                    <w:rPr>
                      <w:rFonts w:hint="eastAsia"/>
                      <w:color w:val="auto"/>
                      <w:szCs w:val="21"/>
                      <w:lang w:val="en-US" w:eastAsia="zh-CN"/>
                    </w:rPr>
                    <w:t>115</w:t>
                  </w:r>
                </w:p>
              </w:tc>
              <w:tc>
                <w:tcPr>
                  <w:tcW w:w="1585" w:type="dxa"/>
                  <w:noWrap w:val="0"/>
                  <w:vAlign w:val="center"/>
                </w:tcPr>
                <w:p w14:paraId="55690A28">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氟化氢铵</w:t>
                  </w:r>
                </w:p>
              </w:tc>
              <w:tc>
                <w:tcPr>
                  <w:tcW w:w="615" w:type="dxa"/>
                  <w:noWrap w:val="0"/>
                  <w:vAlign w:val="center"/>
                </w:tcPr>
                <w:p w14:paraId="1333E101">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3AB27A5F">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5587499B">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47225BC4">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5D4FFFB0">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10192F52">
                  <w:pPr>
                    <w:spacing w:line="240" w:lineRule="exact"/>
                    <w:jc w:val="center"/>
                    <w:rPr>
                      <w:rFonts w:hint="eastAsia"/>
                      <w:color w:val="0000FF"/>
                      <w:szCs w:val="21"/>
                      <w:lang w:val="en-US" w:eastAsia="zh-CN"/>
                    </w:rPr>
                  </w:pPr>
                </w:p>
              </w:tc>
              <w:tc>
                <w:tcPr>
                  <w:tcW w:w="540" w:type="dxa"/>
                  <w:vMerge w:val="continue"/>
                  <w:noWrap w:val="0"/>
                  <w:vAlign w:val="center"/>
                </w:tcPr>
                <w:p w14:paraId="38910142">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4455FDA2">
                  <w:pPr>
                    <w:tabs>
                      <w:tab w:val="left" w:pos="3225"/>
                    </w:tabs>
                    <w:spacing w:line="240" w:lineRule="exact"/>
                    <w:jc w:val="center"/>
                    <w:rPr>
                      <w:rFonts w:hint="eastAsia"/>
                      <w:color w:val="0000FF"/>
                      <w:szCs w:val="21"/>
                      <w:lang w:eastAsia="zh-CN"/>
                    </w:rPr>
                  </w:pPr>
                </w:p>
              </w:tc>
            </w:tr>
            <w:tr w14:paraId="435D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330D2F8E">
                  <w:pPr>
                    <w:tabs>
                      <w:tab w:val="left" w:pos="3225"/>
                    </w:tabs>
                    <w:spacing w:line="240" w:lineRule="exact"/>
                    <w:jc w:val="center"/>
                    <w:rPr>
                      <w:rFonts w:hint="default"/>
                      <w:color w:val="auto"/>
                      <w:szCs w:val="21"/>
                      <w:lang w:val="en-US" w:eastAsia="zh-CN"/>
                    </w:rPr>
                  </w:pPr>
                  <w:r>
                    <w:rPr>
                      <w:rFonts w:hint="eastAsia"/>
                      <w:color w:val="auto"/>
                      <w:szCs w:val="21"/>
                      <w:lang w:val="en-US" w:eastAsia="zh-CN"/>
                    </w:rPr>
                    <w:t>116</w:t>
                  </w:r>
                </w:p>
              </w:tc>
              <w:tc>
                <w:tcPr>
                  <w:tcW w:w="1585" w:type="dxa"/>
                  <w:noWrap w:val="0"/>
                  <w:vAlign w:val="center"/>
                </w:tcPr>
                <w:p w14:paraId="19E4CE2E">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氟化锌</w:t>
                  </w:r>
                </w:p>
              </w:tc>
              <w:tc>
                <w:tcPr>
                  <w:tcW w:w="615" w:type="dxa"/>
                  <w:noWrap w:val="0"/>
                  <w:vAlign w:val="center"/>
                </w:tcPr>
                <w:p w14:paraId="6F8DB4D1">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41E55BED">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74E40033">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4A2D3601">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749F8983">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203B3489">
                  <w:pPr>
                    <w:spacing w:line="240" w:lineRule="exact"/>
                    <w:jc w:val="center"/>
                    <w:rPr>
                      <w:rFonts w:hint="eastAsia"/>
                      <w:color w:val="0000FF"/>
                      <w:szCs w:val="21"/>
                      <w:lang w:val="en-US" w:eastAsia="zh-CN"/>
                    </w:rPr>
                  </w:pPr>
                </w:p>
              </w:tc>
              <w:tc>
                <w:tcPr>
                  <w:tcW w:w="540" w:type="dxa"/>
                  <w:vMerge w:val="continue"/>
                  <w:noWrap w:val="0"/>
                  <w:vAlign w:val="center"/>
                </w:tcPr>
                <w:p w14:paraId="547C0365">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036030D">
                  <w:pPr>
                    <w:tabs>
                      <w:tab w:val="left" w:pos="3225"/>
                    </w:tabs>
                    <w:spacing w:line="240" w:lineRule="exact"/>
                    <w:jc w:val="center"/>
                    <w:rPr>
                      <w:rFonts w:hint="eastAsia"/>
                      <w:color w:val="0000FF"/>
                      <w:szCs w:val="21"/>
                      <w:lang w:eastAsia="zh-CN"/>
                    </w:rPr>
                  </w:pPr>
                </w:p>
              </w:tc>
            </w:tr>
            <w:tr w14:paraId="55F9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06200DFE">
                  <w:pPr>
                    <w:tabs>
                      <w:tab w:val="left" w:pos="3225"/>
                    </w:tabs>
                    <w:spacing w:line="240" w:lineRule="exact"/>
                    <w:jc w:val="center"/>
                    <w:rPr>
                      <w:rFonts w:hint="default"/>
                      <w:color w:val="auto"/>
                      <w:szCs w:val="21"/>
                      <w:lang w:val="en-US" w:eastAsia="zh-CN"/>
                    </w:rPr>
                  </w:pPr>
                  <w:r>
                    <w:rPr>
                      <w:rFonts w:hint="eastAsia"/>
                      <w:color w:val="auto"/>
                      <w:szCs w:val="21"/>
                      <w:lang w:val="en-US" w:eastAsia="zh-CN"/>
                    </w:rPr>
                    <w:t>117</w:t>
                  </w:r>
                </w:p>
              </w:tc>
              <w:tc>
                <w:tcPr>
                  <w:tcW w:w="1585" w:type="dxa"/>
                  <w:noWrap w:val="0"/>
                  <w:vAlign w:val="center"/>
                </w:tcPr>
                <w:p w14:paraId="7389D95F">
                  <w:pPr>
                    <w:tabs>
                      <w:tab w:val="left" w:pos="3225"/>
                    </w:tabs>
                    <w:spacing w:line="240" w:lineRule="auto"/>
                    <w:jc w:val="center"/>
                    <w:rPr>
                      <w:rFonts w:hint="eastAsia"/>
                      <w:color w:val="auto"/>
                      <w:szCs w:val="21"/>
                      <w:lang w:val="en-US" w:eastAsia="zh-CN"/>
                    </w:rPr>
                  </w:pPr>
                  <w:r>
                    <w:rPr>
                      <w:rFonts w:hint="eastAsia"/>
                      <w:color w:val="auto"/>
                      <w:szCs w:val="21"/>
                      <w:lang w:val="en-US" w:eastAsia="zh-CN"/>
                    </w:rPr>
                    <w:t>氟硅酸锌</w:t>
                  </w:r>
                </w:p>
              </w:tc>
              <w:tc>
                <w:tcPr>
                  <w:tcW w:w="615" w:type="dxa"/>
                  <w:noWrap w:val="0"/>
                  <w:vAlign w:val="center"/>
                </w:tcPr>
                <w:p w14:paraId="0FAAF6A6">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0355B56A">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40FD3A5B">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2E6395CE">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1A9EFB83">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6B5192A9">
                  <w:pPr>
                    <w:spacing w:line="240" w:lineRule="exact"/>
                    <w:jc w:val="center"/>
                    <w:rPr>
                      <w:rFonts w:hint="eastAsia"/>
                      <w:color w:val="0000FF"/>
                      <w:szCs w:val="21"/>
                      <w:lang w:val="en-US" w:eastAsia="zh-CN"/>
                    </w:rPr>
                  </w:pPr>
                </w:p>
              </w:tc>
              <w:tc>
                <w:tcPr>
                  <w:tcW w:w="540" w:type="dxa"/>
                  <w:vMerge w:val="continue"/>
                  <w:noWrap w:val="0"/>
                  <w:vAlign w:val="center"/>
                </w:tcPr>
                <w:p w14:paraId="33FBAC1D">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6E5A66D">
                  <w:pPr>
                    <w:tabs>
                      <w:tab w:val="left" w:pos="3225"/>
                    </w:tabs>
                    <w:spacing w:line="240" w:lineRule="exact"/>
                    <w:jc w:val="center"/>
                    <w:rPr>
                      <w:rFonts w:hint="eastAsia"/>
                      <w:color w:val="0000FF"/>
                      <w:szCs w:val="21"/>
                      <w:lang w:eastAsia="zh-CN"/>
                    </w:rPr>
                  </w:pPr>
                </w:p>
              </w:tc>
            </w:tr>
            <w:tr w14:paraId="2DDD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F21EEE3">
                  <w:pPr>
                    <w:tabs>
                      <w:tab w:val="left" w:pos="3225"/>
                    </w:tabs>
                    <w:spacing w:line="240" w:lineRule="exact"/>
                    <w:jc w:val="center"/>
                    <w:rPr>
                      <w:rFonts w:hint="default"/>
                      <w:color w:val="auto"/>
                      <w:szCs w:val="21"/>
                      <w:lang w:val="en-US" w:eastAsia="zh-CN"/>
                    </w:rPr>
                  </w:pPr>
                  <w:r>
                    <w:rPr>
                      <w:rFonts w:hint="eastAsia"/>
                      <w:color w:val="auto"/>
                      <w:szCs w:val="21"/>
                      <w:lang w:val="en-US" w:eastAsia="zh-CN"/>
                    </w:rPr>
                    <w:t>118</w:t>
                  </w:r>
                </w:p>
              </w:tc>
              <w:tc>
                <w:tcPr>
                  <w:tcW w:w="1585" w:type="dxa"/>
                  <w:noWrap w:val="0"/>
                  <w:vAlign w:val="center"/>
                </w:tcPr>
                <w:p w14:paraId="005AD3A2">
                  <w:pPr>
                    <w:tabs>
                      <w:tab w:val="left" w:pos="3225"/>
                    </w:tabs>
                    <w:spacing w:line="240" w:lineRule="auto"/>
                    <w:jc w:val="center"/>
                    <w:rPr>
                      <w:rFonts w:hint="eastAsia"/>
                      <w:color w:val="auto"/>
                      <w:szCs w:val="21"/>
                      <w:lang w:val="en-US" w:eastAsia="zh-CN"/>
                    </w:rPr>
                  </w:pPr>
                  <w:r>
                    <w:rPr>
                      <w:rFonts w:hint="eastAsia"/>
                      <w:color w:val="auto"/>
                      <w:szCs w:val="21"/>
                      <w:lang w:val="en-US" w:eastAsia="zh-CN"/>
                    </w:rPr>
                    <w:t>二水氯化钡</w:t>
                  </w:r>
                </w:p>
              </w:tc>
              <w:tc>
                <w:tcPr>
                  <w:tcW w:w="615" w:type="dxa"/>
                  <w:noWrap w:val="0"/>
                  <w:vAlign w:val="center"/>
                </w:tcPr>
                <w:p w14:paraId="53FE2EBF">
                  <w:pPr>
                    <w:spacing w:line="240" w:lineRule="auto"/>
                    <w:jc w:val="center"/>
                    <w:rPr>
                      <w:rFonts w:hint="eastAsia"/>
                      <w:color w:val="auto"/>
                      <w:szCs w:val="21"/>
                      <w:lang w:val="en-US" w:eastAsia="zh-CN"/>
                    </w:rPr>
                  </w:pPr>
                  <w:r>
                    <w:rPr>
                      <w:rFonts w:hint="eastAsia"/>
                      <w:color w:val="auto"/>
                      <w:szCs w:val="21"/>
                      <w:lang w:val="en-US" w:eastAsia="zh-CN"/>
                    </w:rPr>
                    <w:t>液</w:t>
                  </w:r>
                </w:p>
              </w:tc>
              <w:tc>
                <w:tcPr>
                  <w:tcW w:w="780" w:type="dxa"/>
                  <w:noWrap w:val="0"/>
                  <w:vAlign w:val="center"/>
                </w:tcPr>
                <w:p w14:paraId="16F564C8">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0180EA7D">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411B3E10">
                  <w:pPr>
                    <w:spacing w:line="240" w:lineRule="auto"/>
                    <w:jc w:val="center"/>
                    <w:rPr>
                      <w:rFonts w:hint="eastAsia"/>
                      <w:color w:val="auto"/>
                      <w:szCs w:val="21"/>
                      <w:lang w:val="en-US" w:eastAsia="zh-CN"/>
                    </w:rPr>
                  </w:pPr>
                  <w:r>
                    <w:rPr>
                      <w:rFonts w:hint="eastAsia"/>
                      <w:color w:val="auto"/>
                      <w:szCs w:val="21"/>
                      <w:lang w:val="en-US" w:eastAsia="zh-CN"/>
                    </w:rPr>
                    <w:t>桶装</w:t>
                  </w:r>
                </w:p>
              </w:tc>
              <w:tc>
                <w:tcPr>
                  <w:tcW w:w="930" w:type="dxa"/>
                  <w:noWrap w:val="0"/>
                  <w:vAlign w:val="center"/>
                </w:tcPr>
                <w:p w14:paraId="0BECE89A">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396780A1">
                  <w:pPr>
                    <w:spacing w:line="240" w:lineRule="exact"/>
                    <w:jc w:val="center"/>
                    <w:rPr>
                      <w:rFonts w:hint="eastAsia"/>
                      <w:color w:val="0000FF"/>
                      <w:szCs w:val="21"/>
                      <w:lang w:val="en-US" w:eastAsia="zh-CN"/>
                    </w:rPr>
                  </w:pPr>
                </w:p>
              </w:tc>
              <w:tc>
                <w:tcPr>
                  <w:tcW w:w="540" w:type="dxa"/>
                  <w:vMerge w:val="continue"/>
                  <w:noWrap w:val="0"/>
                  <w:vAlign w:val="center"/>
                </w:tcPr>
                <w:p w14:paraId="5DFC96E3">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582593F8">
                  <w:pPr>
                    <w:tabs>
                      <w:tab w:val="left" w:pos="3225"/>
                    </w:tabs>
                    <w:spacing w:line="240" w:lineRule="exact"/>
                    <w:jc w:val="center"/>
                    <w:rPr>
                      <w:rFonts w:hint="eastAsia"/>
                      <w:color w:val="0000FF"/>
                      <w:szCs w:val="21"/>
                      <w:lang w:eastAsia="zh-CN"/>
                    </w:rPr>
                  </w:pPr>
                </w:p>
              </w:tc>
            </w:tr>
            <w:tr w14:paraId="568A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13" w:type="dxa"/>
                  <w:noWrap w:val="0"/>
                  <w:vAlign w:val="center"/>
                </w:tcPr>
                <w:p w14:paraId="69DB3E32">
                  <w:pPr>
                    <w:tabs>
                      <w:tab w:val="left" w:pos="3225"/>
                    </w:tabs>
                    <w:spacing w:line="240" w:lineRule="exact"/>
                    <w:jc w:val="center"/>
                    <w:rPr>
                      <w:rFonts w:hint="default"/>
                      <w:color w:val="auto"/>
                      <w:szCs w:val="21"/>
                      <w:lang w:val="en-US" w:eastAsia="zh-CN"/>
                    </w:rPr>
                  </w:pPr>
                  <w:r>
                    <w:rPr>
                      <w:rFonts w:hint="eastAsia"/>
                      <w:color w:val="auto"/>
                      <w:szCs w:val="21"/>
                      <w:lang w:val="en-US" w:eastAsia="zh-CN"/>
                    </w:rPr>
                    <w:t>119</w:t>
                  </w:r>
                </w:p>
              </w:tc>
              <w:tc>
                <w:tcPr>
                  <w:tcW w:w="1585" w:type="dxa"/>
                  <w:noWrap w:val="0"/>
                  <w:vAlign w:val="center"/>
                </w:tcPr>
                <w:p w14:paraId="12529916">
                  <w:pPr>
                    <w:tabs>
                      <w:tab w:val="left" w:pos="3225"/>
                    </w:tabs>
                    <w:spacing w:line="240" w:lineRule="auto"/>
                    <w:jc w:val="center"/>
                    <w:rPr>
                      <w:rFonts w:hint="eastAsia"/>
                      <w:color w:val="auto"/>
                      <w:szCs w:val="21"/>
                      <w:lang w:val="en-US" w:eastAsia="zh-CN"/>
                    </w:rPr>
                  </w:pPr>
                  <w:r>
                    <w:rPr>
                      <w:rFonts w:hint="eastAsia"/>
                      <w:color w:val="auto"/>
                      <w:szCs w:val="21"/>
                      <w:lang w:val="en-US" w:eastAsia="zh-CN"/>
                    </w:rPr>
                    <w:t>石棉[含：阳起石石棉、铁石棉、透闪石石棉、直闪石石棉、青石棉]</w:t>
                  </w:r>
                </w:p>
              </w:tc>
              <w:tc>
                <w:tcPr>
                  <w:tcW w:w="615" w:type="dxa"/>
                  <w:noWrap w:val="0"/>
                  <w:vAlign w:val="center"/>
                </w:tcPr>
                <w:p w14:paraId="51E64316">
                  <w:pPr>
                    <w:spacing w:line="240" w:lineRule="auto"/>
                    <w:jc w:val="center"/>
                    <w:rPr>
                      <w:rFonts w:hint="eastAsia"/>
                      <w:color w:val="auto"/>
                      <w:szCs w:val="21"/>
                      <w:lang w:val="en-US" w:eastAsia="zh-CN"/>
                    </w:rPr>
                  </w:pPr>
                  <w:r>
                    <w:rPr>
                      <w:rFonts w:hint="eastAsia"/>
                      <w:color w:val="auto"/>
                      <w:szCs w:val="21"/>
                      <w:lang w:val="en-US" w:eastAsia="zh-CN"/>
                    </w:rPr>
                    <w:t>固</w:t>
                  </w:r>
                </w:p>
              </w:tc>
              <w:tc>
                <w:tcPr>
                  <w:tcW w:w="780" w:type="dxa"/>
                  <w:noWrap w:val="0"/>
                  <w:vAlign w:val="center"/>
                </w:tcPr>
                <w:p w14:paraId="10C3E4F2">
                  <w:pPr>
                    <w:spacing w:line="240" w:lineRule="auto"/>
                    <w:jc w:val="center"/>
                    <w:rPr>
                      <w:rFonts w:hint="eastAsia"/>
                      <w:color w:val="auto"/>
                      <w:szCs w:val="21"/>
                      <w:lang w:val="en-US" w:eastAsia="zh-CN"/>
                    </w:rPr>
                  </w:pPr>
                  <w:r>
                    <w:rPr>
                      <w:rFonts w:hint="eastAsia"/>
                      <w:color w:val="auto"/>
                      <w:szCs w:val="21"/>
                      <w:lang w:val="en-US" w:eastAsia="zh-CN"/>
                    </w:rPr>
                    <w:t>4000</w:t>
                  </w:r>
                </w:p>
              </w:tc>
              <w:tc>
                <w:tcPr>
                  <w:tcW w:w="825" w:type="dxa"/>
                  <w:noWrap w:val="0"/>
                  <w:vAlign w:val="center"/>
                </w:tcPr>
                <w:p w14:paraId="35035BF3">
                  <w:pPr>
                    <w:spacing w:line="240" w:lineRule="auto"/>
                    <w:jc w:val="center"/>
                    <w:rPr>
                      <w:rFonts w:hint="eastAsia"/>
                      <w:color w:val="auto"/>
                      <w:szCs w:val="21"/>
                      <w:lang w:val="en-US" w:eastAsia="zh-CN"/>
                    </w:rPr>
                  </w:pPr>
                  <w:r>
                    <w:rPr>
                      <w:rFonts w:hint="eastAsia"/>
                      <w:color w:val="auto"/>
                      <w:szCs w:val="21"/>
                      <w:lang w:val="en-US" w:eastAsia="zh-CN"/>
                    </w:rPr>
                    <w:t>1000</w:t>
                  </w:r>
                </w:p>
              </w:tc>
              <w:tc>
                <w:tcPr>
                  <w:tcW w:w="945" w:type="dxa"/>
                  <w:noWrap w:val="0"/>
                  <w:vAlign w:val="center"/>
                </w:tcPr>
                <w:p w14:paraId="1A3B1E52">
                  <w:pPr>
                    <w:spacing w:line="240" w:lineRule="auto"/>
                    <w:jc w:val="center"/>
                    <w:rPr>
                      <w:rFonts w:hint="eastAsia"/>
                      <w:color w:val="auto"/>
                      <w:szCs w:val="21"/>
                      <w:lang w:val="en-US" w:eastAsia="zh-CN"/>
                    </w:rPr>
                  </w:pPr>
                  <w:r>
                    <w:rPr>
                      <w:rFonts w:hint="eastAsia"/>
                      <w:color w:val="auto"/>
                      <w:szCs w:val="21"/>
                      <w:lang w:val="en-US" w:eastAsia="zh-CN"/>
                    </w:rPr>
                    <w:t>袋装</w:t>
                  </w:r>
                </w:p>
              </w:tc>
              <w:tc>
                <w:tcPr>
                  <w:tcW w:w="930" w:type="dxa"/>
                  <w:noWrap w:val="0"/>
                  <w:vAlign w:val="center"/>
                </w:tcPr>
                <w:p w14:paraId="2D610022">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戊类</w:t>
                  </w:r>
                </w:p>
              </w:tc>
              <w:tc>
                <w:tcPr>
                  <w:tcW w:w="960" w:type="dxa"/>
                  <w:vMerge w:val="continue"/>
                  <w:noWrap w:val="0"/>
                  <w:vAlign w:val="center"/>
                </w:tcPr>
                <w:p w14:paraId="53751CCF">
                  <w:pPr>
                    <w:spacing w:line="240" w:lineRule="exact"/>
                    <w:jc w:val="center"/>
                    <w:rPr>
                      <w:rFonts w:hint="eastAsia"/>
                      <w:color w:val="0000FF"/>
                      <w:szCs w:val="21"/>
                      <w:lang w:val="en-US" w:eastAsia="zh-CN"/>
                    </w:rPr>
                  </w:pPr>
                </w:p>
              </w:tc>
              <w:tc>
                <w:tcPr>
                  <w:tcW w:w="540" w:type="dxa"/>
                  <w:vMerge w:val="continue"/>
                  <w:noWrap w:val="0"/>
                  <w:vAlign w:val="center"/>
                </w:tcPr>
                <w:p w14:paraId="2D37AA8C">
                  <w:pPr>
                    <w:tabs>
                      <w:tab w:val="left" w:pos="3225"/>
                    </w:tabs>
                    <w:spacing w:line="240" w:lineRule="exact"/>
                    <w:jc w:val="center"/>
                    <w:rPr>
                      <w:rFonts w:hint="eastAsia"/>
                      <w:color w:val="0000FF"/>
                      <w:szCs w:val="21"/>
                      <w:u w:val="none"/>
                      <w:lang w:eastAsia="zh-CN"/>
                    </w:rPr>
                  </w:pPr>
                </w:p>
              </w:tc>
              <w:tc>
                <w:tcPr>
                  <w:tcW w:w="611" w:type="dxa"/>
                  <w:vMerge w:val="continue"/>
                  <w:noWrap w:val="0"/>
                  <w:vAlign w:val="center"/>
                </w:tcPr>
                <w:p w14:paraId="034FE516">
                  <w:pPr>
                    <w:tabs>
                      <w:tab w:val="left" w:pos="3225"/>
                    </w:tabs>
                    <w:spacing w:line="240" w:lineRule="exact"/>
                    <w:jc w:val="center"/>
                    <w:rPr>
                      <w:rFonts w:hint="eastAsia"/>
                      <w:color w:val="0000FF"/>
                      <w:szCs w:val="21"/>
                      <w:lang w:eastAsia="zh-CN"/>
                    </w:rPr>
                  </w:pPr>
                </w:p>
              </w:tc>
            </w:tr>
          </w:tbl>
          <w:p w14:paraId="2D16D0A9">
            <w:pPr>
              <w:pStyle w:val="6"/>
              <w:spacing w:line="500" w:lineRule="exact"/>
              <w:ind w:firstLine="480"/>
              <w:rPr>
                <w:rFonts w:hint="eastAsia" w:ascii="Times New Roman" w:hAnsi="Times New Roman" w:eastAsia="宋体" w:cs="Times New Roman"/>
                <w:kern w:val="0"/>
                <w:sz w:val="24"/>
                <w:lang w:val="en-US" w:eastAsia="zh-CN"/>
              </w:rPr>
            </w:pPr>
          </w:p>
          <w:p w14:paraId="2BCD4425">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3、主要设备</w:t>
            </w:r>
          </w:p>
          <w:p w14:paraId="40D9F7CC">
            <w:pPr>
              <w:pStyle w:val="6"/>
              <w:spacing w:line="500" w:lineRule="exact"/>
              <w:ind w:firstLine="482"/>
              <w:jc w:val="center"/>
              <w:rPr>
                <w:rFonts w:hint="eastAsia" w:ascii="Times New Roman" w:hAnsi="Times New Roman" w:eastAsia="宋体" w:cs="Times New Roman"/>
                <w:b/>
                <w:bCs/>
                <w:color w:val="auto"/>
                <w:kern w:val="0"/>
                <w:sz w:val="24"/>
                <w:lang w:val="en-GB"/>
              </w:rPr>
            </w:pPr>
            <w:r>
              <w:rPr>
                <w:rFonts w:hint="eastAsia" w:ascii="Times New Roman" w:hAnsi="Times New Roman" w:eastAsia="宋体" w:cs="Times New Roman"/>
                <w:b/>
                <w:bCs/>
                <w:color w:val="auto"/>
                <w:kern w:val="0"/>
                <w:sz w:val="24"/>
                <w:lang w:val="en-GB"/>
              </w:rPr>
              <w:t>表2-</w:t>
            </w:r>
            <w:r>
              <w:rPr>
                <w:rFonts w:hint="eastAsia" w:ascii="Times New Roman" w:hAnsi="Times New Roman" w:eastAsia="宋体" w:cs="Times New Roman"/>
                <w:b/>
                <w:bCs/>
                <w:color w:val="auto"/>
                <w:kern w:val="0"/>
                <w:sz w:val="24"/>
                <w:lang w:val="en-US" w:eastAsia="zh-CN"/>
              </w:rPr>
              <w:t xml:space="preserve">3 </w:t>
            </w:r>
            <w:r>
              <w:rPr>
                <w:rFonts w:hint="eastAsia" w:ascii="Times New Roman" w:hAnsi="Times New Roman" w:eastAsia="宋体" w:cs="Times New Roman"/>
                <w:b/>
                <w:bCs/>
                <w:color w:val="auto"/>
                <w:kern w:val="0"/>
                <w:sz w:val="24"/>
                <w:lang w:val="en-GB"/>
              </w:rPr>
              <w:t>项目主要设备一览表</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796"/>
              <w:gridCol w:w="1328"/>
              <w:gridCol w:w="1148"/>
              <w:gridCol w:w="1106"/>
              <w:gridCol w:w="1106"/>
              <w:gridCol w:w="1183"/>
            </w:tblGrid>
            <w:tr w14:paraId="2962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pct"/>
                  <w:noWrap w:val="0"/>
                  <w:vAlign w:val="center"/>
                </w:tcPr>
                <w:p w14:paraId="33134467">
                  <w:pPr>
                    <w:ind w:right="-96"/>
                    <w:jc w:val="center"/>
                    <w:rPr>
                      <w:szCs w:val="21"/>
                    </w:rPr>
                  </w:pPr>
                  <w:r>
                    <w:rPr>
                      <w:szCs w:val="21"/>
                    </w:rPr>
                    <w:t>序号</w:t>
                  </w:r>
                </w:p>
              </w:tc>
              <w:tc>
                <w:tcPr>
                  <w:tcW w:w="1067" w:type="pct"/>
                  <w:noWrap w:val="0"/>
                  <w:vAlign w:val="center"/>
                </w:tcPr>
                <w:p w14:paraId="21770B8C">
                  <w:pPr>
                    <w:ind w:right="-96"/>
                    <w:jc w:val="center"/>
                    <w:rPr>
                      <w:szCs w:val="21"/>
                    </w:rPr>
                  </w:pPr>
                  <w:r>
                    <w:rPr>
                      <w:szCs w:val="21"/>
                    </w:rPr>
                    <w:t>设备名称</w:t>
                  </w:r>
                </w:p>
              </w:tc>
              <w:tc>
                <w:tcPr>
                  <w:tcW w:w="789" w:type="pct"/>
                  <w:noWrap w:val="0"/>
                  <w:vAlign w:val="center"/>
                </w:tcPr>
                <w:p w14:paraId="2D2834D5">
                  <w:pPr>
                    <w:ind w:right="-96"/>
                    <w:jc w:val="center"/>
                    <w:rPr>
                      <w:rFonts w:hint="eastAsia"/>
                      <w:szCs w:val="21"/>
                    </w:rPr>
                  </w:pPr>
                  <w:r>
                    <w:rPr>
                      <w:rFonts w:hint="eastAsia"/>
                      <w:szCs w:val="21"/>
                    </w:rPr>
                    <w:t>型号</w:t>
                  </w:r>
                </w:p>
              </w:tc>
              <w:tc>
                <w:tcPr>
                  <w:tcW w:w="682" w:type="pct"/>
                  <w:noWrap w:val="0"/>
                  <w:vAlign w:val="center"/>
                </w:tcPr>
                <w:p w14:paraId="187E8621">
                  <w:pPr>
                    <w:ind w:right="-96"/>
                    <w:jc w:val="center"/>
                    <w:rPr>
                      <w:rFonts w:hint="eastAsia"/>
                      <w:szCs w:val="21"/>
                    </w:rPr>
                  </w:pPr>
                  <w:r>
                    <w:rPr>
                      <w:rFonts w:hint="eastAsia"/>
                      <w:szCs w:val="21"/>
                    </w:rPr>
                    <w:t>单位</w:t>
                  </w:r>
                </w:p>
              </w:tc>
              <w:tc>
                <w:tcPr>
                  <w:tcW w:w="657" w:type="pct"/>
                  <w:noWrap w:val="0"/>
                  <w:vAlign w:val="center"/>
                </w:tcPr>
                <w:p w14:paraId="5360DB02">
                  <w:pPr>
                    <w:ind w:right="-96"/>
                    <w:jc w:val="center"/>
                    <w:rPr>
                      <w:rFonts w:hint="default" w:eastAsia="宋体"/>
                      <w:szCs w:val="21"/>
                      <w:lang w:val="en-US" w:eastAsia="zh-CN"/>
                    </w:rPr>
                  </w:pPr>
                  <w:r>
                    <w:rPr>
                      <w:rFonts w:hint="eastAsia"/>
                      <w:szCs w:val="21"/>
                      <w:lang w:val="en-US" w:eastAsia="zh-CN"/>
                    </w:rPr>
                    <w:t>改扩建项目数量</w:t>
                  </w:r>
                </w:p>
              </w:tc>
              <w:tc>
                <w:tcPr>
                  <w:tcW w:w="657" w:type="pct"/>
                  <w:noWrap w:val="0"/>
                  <w:vAlign w:val="center"/>
                </w:tcPr>
                <w:p w14:paraId="3C93781E">
                  <w:pPr>
                    <w:ind w:right="-96"/>
                    <w:jc w:val="center"/>
                    <w:rPr>
                      <w:rFonts w:hint="eastAsia"/>
                      <w:szCs w:val="21"/>
                    </w:rPr>
                  </w:pPr>
                  <w:r>
                    <w:rPr>
                      <w:rFonts w:hint="eastAsia"/>
                      <w:szCs w:val="21"/>
                      <w:lang w:val="en-US" w:eastAsia="zh-CN"/>
                    </w:rPr>
                    <w:t>现有工程</w:t>
                  </w:r>
                  <w:r>
                    <w:rPr>
                      <w:rFonts w:hint="eastAsia"/>
                      <w:szCs w:val="21"/>
                    </w:rPr>
                    <w:t>数量</w:t>
                  </w:r>
                </w:p>
              </w:tc>
              <w:tc>
                <w:tcPr>
                  <w:tcW w:w="703" w:type="pct"/>
                  <w:noWrap w:val="0"/>
                  <w:vAlign w:val="center"/>
                </w:tcPr>
                <w:p w14:paraId="18F901F9">
                  <w:pPr>
                    <w:ind w:right="-96"/>
                    <w:jc w:val="center"/>
                    <w:rPr>
                      <w:rFonts w:hint="default"/>
                      <w:szCs w:val="21"/>
                      <w:lang w:val="en-US" w:eastAsia="zh-CN"/>
                    </w:rPr>
                  </w:pPr>
                  <w:r>
                    <w:rPr>
                      <w:rFonts w:hint="eastAsia"/>
                      <w:szCs w:val="21"/>
                      <w:lang w:val="en-US" w:eastAsia="zh-CN"/>
                    </w:rPr>
                    <w:t>改扩建后全厂数量</w:t>
                  </w:r>
                </w:p>
              </w:tc>
            </w:tr>
            <w:tr w14:paraId="6696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pct"/>
                  <w:noWrap w:val="0"/>
                  <w:vAlign w:val="center"/>
                </w:tcPr>
                <w:p w14:paraId="1392453E">
                  <w:pPr>
                    <w:ind w:right="-96"/>
                    <w:jc w:val="center"/>
                    <w:rPr>
                      <w:szCs w:val="21"/>
                    </w:rPr>
                  </w:pPr>
                  <w:r>
                    <w:rPr>
                      <w:szCs w:val="21"/>
                    </w:rPr>
                    <w:t>1</w:t>
                  </w:r>
                </w:p>
              </w:tc>
              <w:tc>
                <w:tcPr>
                  <w:tcW w:w="1067" w:type="pct"/>
                  <w:noWrap w:val="0"/>
                  <w:vAlign w:val="center"/>
                </w:tcPr>
                <w:p w14:paraId="29ABC465">
                  <w:pPr>
                    <w:ind w:right="-96"/>
                    <w:jc w:val="center"/>
                    <w:rPr>
                      <w:rFonts w:hint="default" w:eastAsia="宋体"/>
                      <w:szCs w:val="21"/>
                      <w:lang w:val="en-US" w:eastAsia="zh-CN"/>
                    </w:rPr>
                  </w:pPr>
                  <w:r>
                    <w:rPr>
                      <w:rFonts w:hint="eastAsia" w:eastAsia="宋体"/>
                      <w:szCs w:val="21"/>
                      <w:lang w:val="en-US" w:eastAsia="zh-CN"/>
                    </w:rPr>
                    <w:t>正面吊</w:t>
                  </w:r>
                </w:p>
              </w:tc>
              <w:tc>
                <w:tcPr>
                  <w:tcW w:w="789" w:type="pct"/>
                  <w:noWrap w:val="0"/>
                  <w:vAlign w:val="center"/>
                </w:tcPr>
                <w:p w14:paraId="6F9DD757">
                  <w:pPr>
                    <w:widowControl/>
                    <w:jc w:val="center"/>
                    <w:rPr>
                      <w:rFonts w:hint="default" w:eastAsia="宋体"/>
                      <w:kern w:val="0"/>
                      <w:szCs w:val="21"/>
                      <w:lang w:val="en-US" w:eastAsia="zh-CN"/>
                    </w:rPr>
                  </w:pPr>
                  <w:r>
                    <w:rPr>
                      <w:rFonts w:hint="eastAsia"/>
                      <w:kern w:val="0"/>
                      <w:szCs w:val="21"/>
                      <w:lang w:val="en-US" w:eastAsia="zh-CN"/>
                    </w:rPr>
                    <w:t>45t</w:t>
                  </w:r>
                </w:p>
              </w:tc>
              <w:tc>
                <w:tcPr>
                  <w:tcW w:w="682" w:type="pct"/>
                  <w:noWrap w:val="0"/>
                  <w:vAlign w:val="center"/>
                </w:tcPr>
                <w:p w14:paraId="0489460B">
                  <w:pPr>
                    <w:ind w:right="-96"/>
                    <w:jc w:val="center"/>
                    <w:rPr>
                      <w:rFonts w:hint="eastAsia" w:eastAsia="宋体"/>
                      <w:szCs w:val="21"/>
                      <w:lang w:eastAsia="zh-CN"/>
                    </w:rPr>
                  </w:pPr>
                  <w:r>
                    <w:rPr>
                      <w:rFonts w:hint="eastAsia"/>
                      <w:szCs w:val="21"/>
                      <w:lang w:val="en-US" w:eastAsia="zh-CN"/>
                    </w:rPr>
                    <w:t>辆</w:t>
                  </w:r>
                </w:p>
              </w:tc>
              <w:tc>
                <w:tcPr>
                  <w:tcW w:w="657" w:type="pct"/>
                  <w:noWrap w:val="0"/>
                  <w:vAlign w:val="center"/>
                </w:tcPr>
                <w:p w14:paraId="6B4FDFCE">
                  <w:pPr>
                    <w:ind w:right="-96" w:rightChars="0"/>
                    <w:jc w:val="center"/>
                    <w:rPr>
                      <w:rFonts w:hint="eastAsia"/>
                      <w:color w:val="auto"/>
                      <w:szCs w:val="21"/>
                      <w:lang w:val="en-US" w:eastAsia="zh-CN"/>
                    </w:rPr>
                  </w:pPr>
                  <w:r>
                    <w:rPr>
                      <w:rFonts w:hint="eastAsia"/>
                      <w:color w:val="auto"/>
                      <w:szCs w:val="21"/>
                      <w:lang w:val="en-US" w:eastAsia="zh-CN"/>
                    </w:rPr>
                    <w:t>3</w:t>
                  </w:r>
                </w:p>
              </w:tc>
              <w:tc>
                <w:tcPr>
                  <w:tcW w:w="657" w:type="pct"/>
                  <w:noWrap w:val="0"/>
                  <w:vAlign w:val="center"/>
                </w:tcPr>
                <w:p w14:paraId="19A13BF6">
                  <w:pPr>
                    <w:ind w:right="-96" w:rightChars="0"/>
                    <w:jc w:val="center"/>
                    <w:rPr>
                      <w:rFonts w:hint="eastAsia" w:eastAsia="宋体"/>
                      <w:color w:val="auto"/>
                      <w:szCs w:val="21"/>
                      <w:lang w:eastAsia="zh-CN"/>
                    </w:rPr>
                  </w:pPr>
                  <w:r>
                    <w:rPr>
                      <w:rFonts w:hint="eastAsia"/>
                      <w:color w:val="auto"/>
                      <w:szCs w:val="21"/>
                      <w:lang w:val="en-US" w:eastAsia="zh-CN"/>
                    </w:rPr>
                    <w:t>2</w:t>
                  </w:r>
                </w:p>
              </w:tc>
              <w:tc>
                <w:tcPr>
                  <w:tcW w:w="703" w:type="pct"/>
                  <w:noWrap w:val="0"/>
                  <w:vAlign w:val="center"/>
                </w:tcPr>
                <w:p w14:paraId="1A0DE5A5">
                  <w:pPr>
                    <w:ind w:right="-96"/>
                    <w:jc w:val="center"/>
                    <w:rPr>
                      <w:rFonts w:hint="default"/>
                      <w:color w:val="auto"/>
                      <w:szCs w:val="21"/>
                      <w:lang w:val="en-US" w:eastAsia="zh-CN"/>
                    </w:rPr>
                  </w:pPr>
                  <w:r>
                    <w:rPr>
                      <w:rFonts w:hint="eastAsia"/>
                      <w:color w:val="auto"/>
                      <w:szCs w:val="21"/>
                      <w:lang w:val="en-US" w:eastAsia="zh-CN"/>
                    </w:rPr>
                    <w:t>5</w:t>
                  </w:r>
                </w:p>
              </w:tc>
            </w:tr>
            <w:tr w14:paraId="356C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pct"/>
                  <w:noWrap w:val="0"/>
                  <w:vAlign w:val="center"/>
                </w:tcPr>
                <w:p w14:paraId="2244C1D0">
                  <w:pPr>
                    <w:ind w:right="-96"/>
                    <w:jc w:val="center"/>
                    <w:rPr>
                      <w:rFonts w:hint="default"/>
                      <w:szCs w:val="21"/>
                      <w:lang w:val="en-US" w:eastAsia="zh-CN"/>
                    </w:rPr>
                  </w:pPr>
                  <w:r>
                    <w:rPr>
                      <w:rFonts w:hint="eastAsia"/>
                      <w:szCs w:val="21"/>
                      <w:lang w:val="en-US" w:eastAsia="zh-CN"/>
                    </w:rPr>
                    <w:t>2</w:t>
                  </w:r>
                </w:p>
              </w:tc>
              <w:tc>
                <w:tcPr>
                  <w:tcW w:w="1067" w:type="pct"/>
                  <w:noWrap w:val="0"/>
                  <w:vAlign w:val="center"/>
                </w:tcPr>
                <w:p w14:paraId="26A3A422">
                  <w:pPr>
                    <w:ind w:right="-96"/>
                    <w:jc w:val="center"/>
                    <w:rPr>
                      <w:rFonts w:hint="default" w:ascii="宋体" w:hAnsi="宋体"/>
                      <w:kern w:val="0"/>
                      <w:szCs w:val="21"/>
                      <w:lang w:val="en-US" w:eastAsia="zh-CN"/>
                    </w:rPr>
                  </w:pPr>
                  <w:r>
                    <w:rPr>
                      <w:rFonts w:hint="eastAsia" w:ascii="宋体" w:hAnsi="宋体"/>
                      <w:kern w:val="0"/>
                      <w:szCs w:val="21"/>
                      <w:lang w:val="en-US" w:eastAsia="zh-CN"/>
                    </w:rPr>
                    <w:t>叉车</w:t>
                  </w:r>
                </w:p>
              </w:tc>
              <w:tc>
                <w:tcPr>
                  <w:tcW w:w="789" w:type="pct"/>
                  <w:noWrap w:val="0"/>
                  <w:vAlign w:val="center"/>
                </w:tcPr>
                <w:p w14:paraId="7AFD9261">
                  <w:pPr>
                    <w:widowControl/>
                    <w:jc w:val="center"/>
                    <w:rPr>
                      <w:rFonts w:hint="default" w:eastAsia="宋体"/>
                      <w:kern w:val="0"/>
                      <w:szCs w:val="21"/>
                      <w:lang w:val="en-US" w:eastAsia="zh-CN"/>
                    </w:rPr>
                  </w:pPr>
                  <w:r>
                    <w:rPr>
                      <w:rFonts w:hint="eastAsia"/>
                      <w:kern w:val="0"/>
                      <w:szCs w:val="21"/>
                      <w:lang w:val="en-US" w:eastAsia="zh-CN"/>
                    </w:rPr>
                    <w:t>7t</w:t>
                  </w:r>
                </w:p>
              </w:tc>
              <w:tc>
                <w:tcPr>
                  <w:tcW w:w="682" w:type="pct"/>
                  <w:noWrap w:val="0"/>
                  <w:vAlign w:val="center"/>
                </w:tcPr>
                <w:p w14:paraId="522E6119">
                  <w:pPr>
                    <w:ind w:right="-96"/>
                    <w:jc w:val="center"/>
                    <w:rPr>
                      <w:rFonts w:hint="eastAsia"/>
                      <w:szCs w:val="21"/>
                      <w:lang w:val="en-US" w:eastAsia="zh-CN"/>
                    </w:rPr>
                  </w:pPr>
                  <w:r>
                    <w:rPr>
                      <w:rFonts w:hint="eastAsia"/>
                      <w:szCs w:val="21"/>
                      <w:lang w:val="en-US" w:eastAsia="zh-CN"/>
                    </w:rPr>
                    <w:t>辆</w:t>
                  </w:r>
                </w:p>
              </w:tc>
              <w:tc>
                <w:tcPr>
                  <w:tcW w:w="657" w:type="pct"/>
                  <w:noWrap w:val="0"/>
                  <w:vAlign w:val="center"/>
                </w:tcPr>
                <w:p w14:paraId="566FC779">
                  <w:pPr>
                    <w:ind w:right="-96" w:rightChars="0"/>
                    <w:jc w:val="center"/>
                    <w:rPr>
                      <w:rFonts w:hint="eastAsia"/>
                      <w:color w:val="auto"/>
                      <w:szCs w:val="21"/>
                      <w:lang w:val="en-US" w:eastAsia="zh-CN"/>
                    </w:rPr>
                  </w:pPr>
                  <w:r>
                    <w:rPr>
                      <w:rFonts w:hint="eastAsia"/>
                      <w:color w:val="auto"/>
                      <w:szCs w:val="21"/>
                      <w:lang w:val="en-US" w:eastAsia="zh-CN"/>
                    </w:rPr>
                    <w:t>0</w:t>
                  </w:r>
                </w:p>
              </w:tc>
              <w:tc>
                <w:tcPr>
                  <w:tcW w:w="657" w:type="pct"/>
                  <w:noWrap w:val="0"/>
                  <w:vAlign w:val="center"/>
                </w:tcPr>
                <w:p w14:paraId="27893545">
                  <w:pPr>
                    <w:ind w:right="-96" w:rightChars="0"/>
                    <w:jc w:val="center"/>
                    <w:rPr>
                      <w:rFonts w:hint="default"/>
                      <w:color w:val="auto"/>
                      <w:szCs w:val="21"/>
                      <w:lang w:val="en-US" w:eastAsia="zh-CN"/>
                    </w:rPr>
                  </w:pPr>
                  <w:r>
                    <w:rPr>
                      <w:rFonts w:hint="eastAsia"/>
                      <w:color w:val="auto"/>
                      <w:szCs w:val="21"/>
                      <w:lang w:val="en-US" w:eastAsia="zh-CN"/>
                    </w:rPr>
                    <w:t>8</w:t>
                  </w:r>
                </w:p>
              </w:tc>
              <w:tc>
                <w:tcPr>
                  <w:tcW w:w="703" w:type="pct"/>
                  <w:noWrap w:val="0"/>
                  <w:vAlign w:val="center"/>
                </w:tcPr>
                <w:p w14:paraId="0646700C">
                  <w:pPr>
                    <w:ind w:right="-96"/>
                    <w:jc w:val="center"/>
                    <w:rPr>
                      <w:rFonts w:hint="default"/>
                      <w:color w:val="auto"/>
                      <w:szCs w:val="21"/>
                      <w:lang w:val="en-US" w:eastAsia="zh-CN"/>
                    </w:rPr>
                  </w:pPr>
                  <w:r>
                    <w:rPr>
                      <w:rFonts w:hint="eastAsia"/>
                      <w:color w:val="auto"/>
                      <w:szCs w:val="21"/>
                      <w:lang w:val="en-US" w:eastAsia="zh-CN"/>
                    </w:rPr>
                    <w:t>8</w:t>
                  </w:r>
                </w:p>
              </w:tc>
            </w:tr>
            <w:tr w14:paraId="341B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pct"/>
                  <w:noWrap w:val="0"/>
                  <w:vAlign w:val="center"/>
                </w:tcPr>
                <w:p w14:paraId="5FCD3FDD">
                  <w:pPr>
                    <w:ind w:right="-96"/>
                    <w:jc w:val="center"/>
                    <w:rPr>
                      <w:rFonts w:hint="default"/>
                      <w:color w:val="auto"/>
                      <w:szCs w:val="21"/>
                      <w:lang w:val="en-US" w:eastAsia="zh-CN"/>
                    </w:rPr>
                  </w:pPr>
                  <w:r>
                    <w:rPr>
                      <w:rFonts w:hint="eastAsia"/>
                      <w:color w:val="auto"/>
                      <w:szCs w:val="21"/>
                      <w:lang w:val="en-US" w:eastAsia="zh-CN"/>
                    </w:rPr>
                    <w:t>3</w:t>
                  </w:r>
                </w:p>
              </w:tc>
              <w:tc>
                <w:tcPr>
                  <w:tcW w:w="1067" w:type="pct"/>
                  <w:noWrap w:val="0"/>
                  <w:vAlign w:val="center"/>
                </w:tcPr>
                <w:p w14:paraId="1CFDBC98">
                  <w:pPr>
                    <w:ind w:right="-96"/>
                    <w:jc w:val="center"/>
                    <w:rPr>
                      <w:rFonts w:hint="default" w:ascii="宋体" w:hAnsi="宋体"/>
                      <w:color w:val="auto"/>
                      <w:kern w:val="0"/>
                      <w:szCs w:val="21"/>
                      <w:lang w:val="en-US" w:eastAsia="zh-CN"/>
                    </w:rPr>
                  </w:pPr>
                  <w:r>
                    <w:rPr>
                      <w:rFonts w:hint="eastAsia" w:ascii="宋体" w:hAnsi="宋体"/>
                      <w:color w:val="auto"/>
                      <w:kern w:val="0"/>
                      <w:szCs w:val="21"/>
                      <w:lang w:val="en-US" w:eastAsia="zh-CN"/>
                    </w:rPr>
                    <w:t>风机</w:t>
                  </w:r>
                </w:p>
              </w:tc>
              <w:tc>
                <w:tcPr>
                  <w:tcW w:w="789" w:type="pct"/>
                  <w:noWrap w:val="0"/>
                  <w:vAlign w:val="center"/>
                </w:tcPr>
                <w:p w14:paraId="48B50A57">
                  <w:pPr>
                    <w:widowControl/>
                    <w:jc w:val="center"/>
                    <w:rPr>
                      <w:rFonts w:hint="default"/>
                      <w:color w:val="auto"/>
                      <w:kern w:val="0"/>
                      <w:szCs w:val="21"/>
                      <w:lang w:val="en-US" w:eastAsia="zh-CN"/>
                    </w:rPr>
                  </w:pPr>
                  <w:r>
                    <w:rPr>
                      <w:rFonts w:hint="eastAsia"/>
                      <w:color w:val="auto"/>
                      <w:kern w:val="0"/>
                      <w:szCs w:val="21"/>
                      <w:lang w:val="en-US" w:eastAsia="zh-CN"/>
                    </w:rPr>
                    <w:t>—</w:t>
                  </w:r>
                </w:p>
              </w:tc>
              <w:tc>
                <w:tcPr>
                  <w:tcW w:w="682" w:type="pct"/>
                  <w:noWrap w:val="0"/>
                  <w:vAlign w:val="center"/>
                </w:tcPr>
                <w:p w14:paraId="69B3A0AA">
                  <w:pPr>
                    <w:ind w:right="-96"/>
                    <w:jc w:val="center"/>
                    <w:rPr>
                      <w:rFonts w:hint="default"/>
                      <w:color w:val="auto"/>
                      <w:szCs w:val="21"/>
                      <w:lang w:val="en-US" w:eastAsia="zh-CN"/>
                    </w:rPr>
                  </w:pPr>
                  <w:r>
                    <w:rPr>
                      <w:rFonts w:hint="eastAsia"/>
                      <w:color w:val="auto"/>
                      <w:szCs w:val="21"/>
                      <w:lang w:val="en-US" w:eastAsia="zh-CN"/>
                    </w:rPr>
                    <w:t>台</w:t>
                  </w:r>
                </w:p>
              </w:tc>
              <w:tc>
                <w:tcPr>
                  <w:tcW w:w="657" w:type="pct"/>
                  <w:noWrap w:val="0"/>
                  <w:vAlign w:val="center"/>
                </w:tcPr>
                <w:p w14:paraId="30A021B3">
                  <w:pPr>
                    <w:ind w:right="-96"/>
                    <w:jc w:val="center"/>
                    <w:rPr>
                      <w:rFonts w:hint="default"/>
                      <w:color w:val="auto"/>
                      <w:szCs w:val="21"/>
                      <w:lang w:val="en-US" w:eastAsia="zh-CN"/>
                    </w:rPr>
                  </w:pPr>
                  <w:r>
                    <w:rPr>
                      <w:rFonts w:hint="eastAsia"/>
                      <w:color w:val="auto"/>
                      <w:szCs w:val="21"/>
                      <w:lang w:val="en-US" w:eastAsia="zh-CN"/>
                    </w:rPr>
                    <w:t>2</w:t>
                  </w:r>
                </w:p>
              </w:tc>
              <w:tc>
                <w:tcPr>
                  <w:tcW w:w="657" w:type="pct"/>
                  <w:noWrap w:val="0"/>
                  <w:vAlign w:val="center"/>
                </w:tcPr>
                <w:p w14:paraId="7C955EF4">
                  <w:pPr>
                    <w:ind w:right="-96"/>
                    <w:jc w:val="center"/>
                    <w:rPr>
                      <w:rFonts w:hint="default"/>
                      <w:color w:val="auto"/>
                      <w:szCs w:val="21"/>
                      <w:lang w:val="en-US" w:eastAsia="zh-CN"/>
                    </w:rPr>
                  </w:pPr>
                  <w:r>
                    <w:rPr>
                      <w:rFonts w:hint="eastAsia"/>
                      <w:color w:val="auto"/>
                      <w:szCs w:val="21"/>
                      <w:lang w:val="en-US" w:eastAsia="zh-CN"/>
                    </w:rPr>
                    <w:t>7</w:t>
                  </w:r>
                </w:p>
              </w:tc>
              <w:tc>
                <w:tcPr>
                  <w:tcW w:w="703" w:type="pct"/>
                  <w:noWrap w:val="0"/>
                  <w:vAlign w:val="center"/>
                </w:tcPr>
                <w:p w14:paraId="279D2D10">
                  <w:pPr>
                    <w:ind w:right="-96"/>
                    <w:jc w:val="center"/>
                    <w:rPr>
                      <w:rFonts w:hint="default"/>
                      <w:color w:val="auto"/>
                      <w:szCs w:val="21"/>
                      <w:lang w:val="en-US" w:eastAsia="zh-CN"/>
                    </w:rPr>
                  </w:pPr>
                  <w:r>
                    <w:rPr>
                      <w:rFonts w:hint="eastAsia"/>
                      <w:color w:val="auto"/>
                      <w:szCs w:val="21"/>
                      <w:lang w:val="en-US" w:eastAsia="zh-CN"/>
                    </w:rPr>
                    <w:t>9</w:t>
                  </w:r>
                </w:p>
              </w:tc>
            </w:tr>
          </w:tbl>
          <w:p w14:paraId="774FB363">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4、主要原辅料</w:t>
            </w:r>
          </w:p>
          <w:bookmarkEnd w:id="9"/>
          <w:bookmarkEnd w:id="10"/>
          <w:bookmarkEnd w:id="11"/>
          <w:bookmarkEnd w:id="12"/>
          <w:p w14:paraId="608797A2">
            <w:pPr>
              <w:pStyle w:val="6"/>
              <w:spacing w:line="500" w:lineRule="exact"/>
              <w:ind w:firstLine="480"/>
              <w:rPr>
                <w:rFonts w:hint="eastAsia" w:ascii="Times New Roman" w:hAnsi="Times New Roman" w:eastAsia="宋体" w:cs="Times New Roman"/>
                <w:kern w:val="0"/>
                <w:sz w:val="24"/>
                <w:lang w:val="en-US" w:eastAsia="zh-CN"/>
              </w:rPr>
            </w:pPr>
            <w:r>
              <w:rPr>
                <w:rFonts w:hint="eastAsia" w:cs="Times New Roman"/>
                <w:kern w:val="0"/>
                <w:sz w:val="24"/>
                <w:lang w:val="en-US" w:eastAsia="zh-CN"/>
              </w:rPr>
              <w:t>改</w:t>
            </w:r>
            <w:r>
              <w:rPr>
                <w:rFonts w:hint="eastAsia" w:ascii="Times New Roman" w:hAnsi="Times New Roman" w:eastAsia="宋体" w:cs="Times New Roman"/>
                <w:kern w:val="0"/>
                <w:sz w:val="24"/>
                <w:lang w:val="en-US" w:eastAsia="zh-CN"/>
              </w:rPr>
              <w:t>扩建项目不涉及</w:t>
            </w:r>
            <w:r>
              <w:rPr>
                <w:rFonts w:hint="eastAsia" w:cs="Times New Roman"/>
                <w:kern w:val="0"/>
                <w:sz w:val="24"/>
                <w:lang w:val="en-US" w:eastAsia="zh-CN"/>
              </w:rPr>
              <w:t>物料</w:t>
            </w:r>
            <w:r>
              <w:rPr>
                <w:rFonts w:hint="eastAsia" w:ascii="Times New Roman" w:hAnsi="Times New Roman" w:eastAsia="宋体" w:cs="Times New Roman"/>
                <w:kern w:val="0"/>
                <w:sz w:val="24"/>
                <w:lang w:val="en-US" w:eastAsia="zh-CN"/>
              </w:rPr>
              <w:t>生产工序，主要原辅料见表2-4。</w:t>
            </w:r>
          </w:p>
          <w:p w14:paraId="1BE7307D">
            <w:pPr>
              <w:pStyle w:val="6"/>
              <w:spacing w:line="500" w:lineRule="exact"/>
              <w:ind w:firstLine="482"/>
              <w:jc w:val="center"/>
              <w:rPr>
                <w:rFonts w:hint="eastAsia" w:ascii="Times New Roman" w:hAnsi="Times New Roman" w:eastAsia="宋体" w:cs="Times New Roman"/>
                <w:b/>
                <w:bCs/>
                <w:color w:val="auto"/>
                <w:kern w:val="0"/>
                <w:sz w:val="24"/>
                <w:lang w:val="en-GB"/>
              </w:rPr>
            </w:pPr>
            <w:r>
              <w:rPr>
                <w:rFonts w:hint="eastAsia" w:ascii="Times New Roman" w:hAnsi="Times New Roman" w:eastAsia="宋体" w:cs="Times New Roman"/>
                <w:b/>
                <w:bCs/>
                <w:color w:val="auto"/>
                <w:kern w:val="0"/>
                <w:sz w:val="24"/>
                <w:lang w:val="en-GB"/>
              </w:rPr>
              <w:t>表2-</w:t>
            </w:r>
            <w:r>
              <w:rPr>
                <w:rFonts w:hint="eastAsia" w:ascii="Times New Roman" w:hAnsi="Times New Roman" w:eastAsia="宋体" w:cs="Times New Roman"/>
                <w:b/>
                <w:bCs/>
                <w:color w:val="auto"/>
                <w:kern w:val="0"/>
                <w:sz w:val="24"/>
                <w:lang w:val="en-US" w:eastAsia="zh-CN"/>
              </w:rPr>
              <w:t>4</w:t>
            </w:r>
            <w:r>
              <w:rPr>
                <w:rFonts w:hint="eastAsia" w:ascii="Times New Roman" w:hAnsi="Times New Roman" w:eastAsia="宋体" w:cs="Times New Roman"/>
                <w:b/>
                <w:bCs/>
                <w:color w:val="auto"/>
                <w:kern w:val="0"/>
                <w:sz w:val="24"/>
                <w:lang w:val="en-GB"/>
              </w:rPr>
              <w:t xml:space="preserve">  主要原辅材料及动力消耗表</w:t>
            </w:r>
          </w:p>
          <w:tbl>
            <w:tblPr>
              <w:tblStyle w:val="1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2077"/>
              <w:gridCol w:w="1565"/>
              <w:gridCol w:w="1565"/>
              <w:gridCol w:w="2526"/>
            </w:tblGrid>
            <w:tr w14:paraId="5DF20F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85" w:type="dxa"/>
                  <w:tcBorders>
                    <w:left w:val="single" w:color="auto" w:sz="0" w:space="0"/>
                  </w:tcBorders>
                  <w:noWrap w:val="0"/>
                  <w:vAlign w:val="center"/>
                </w:tcPr>
                <w:p w14:paraId="154EE233">
                  <w:pPr>
                    <w:jc w:val="center"/>
                    <w:rPr>
                      <w:rFonts w:hint="eastAsia" w:ascii="Times New Roman" w:hAnsi="Times New Roman" w:eastAsia="宋体" w:cs="Times New Roman"/>
                    </w:rPr>
                  </w:pPr>
                  <w:r>
                    <w:rPr>
                      <w:rFonts w:hint="eastAsia" w:ascii="Times New Roman" w:hAnsi="Times New Roman" w:eastAsia="宋体" w:cs="Times New Roman"/>
                    </w:rPr>
                    <w:t>序号</w:t>
                  </w:r>
                </w:p>
              </w:tc>
              <w:tc>
                <w:tcPr>
                  <w:tcW w:w="2077" w:type="dxa"/>
                  <w:noWrap w:val="0"/>
                  <w:vAlign w:val="center"/>
                </w:tcPr>
                <w:p w14:paraId="1FF7C6C6">
                  <w:pPr>
                    <w:jc w:val="center"/>
                    <w:rPr>
                      <w:rFonts w:hint="eastAsia" w:ascii="Times New Roman" w:hAnsi="Times New Roman" w:eastAsia="宋体" w:cs="Times New Roman"/>
                    </w:rPr>
                  </w:pPr>
                  <w:r>
                    <w:rPr>
                      <w:rFonts w:hint="eastAsia" w:ascii="Times New Roman" w:hAnsi="Times New Roman" w:eastAsia="宋体" w:cs="Times New Roman"/>
                    </w:rPr>
                    <w:t>原料名称</w:t>
                  </w:r>
                </w:p>
              </w:tc>
              <w:tc>
                <w:tcPr>
                  <w:tcW w:w="1565" w:type="dxa"/>
                  <w:noWrap w:val="0"/>
                  <w:vAlign w:val="center"/>
                </w:tcPr>
                <w:p w14:paraId="6B443316">
                  <w:pPr>
                    <w:jc w:val="center"/>
                    <w:rPr>
                      <w:rFonts w:hint="eastAsia" w:ascii="Times New Roman" w:hAnsi="Times New Roman" w:eastAsia="宋体" w:cs="Times New Roman"/>
                    </w:rPr>
                  </w:pPr>
                  <w:r>
                    <w:rPr>
                      <w:rFonts w:hint="eastAsia" w:ascii="Times New Roman" w:hAnsi="Times New Roman" w:eastAsia="宋体" w:cs="Times New Roman"/>
                    </w:rPr>
                    <w:t>形态</w:t>
                  </w:r>
                </w:p>
              </w:tc>
              <w:tc>
                <w:tcPr>
                  <w:tcW w:w="1565" w:type="dxa"/>
                  <w:noWrap w:val="0"/>
                  <w:vAlign w:val="center"/>
                </w:tcPr>
                <w:p w14:paraId="1C161F90">
                  <w:pPr>
                    <w:jc w:val="center"/>
                    <w:rPr>
                      <w:rFonts w:hint="eastAsia" w:ascii="Times New Roman" w:hAnsi="Times New Roman" w:eastAsia="宋体" w:cs="Times New Roman"/>
                    </w:rPr>
                  </w:pPr>
                  <w:r>
                    <w:rPr>
                      <w:rFonts w:hint="eastAsia" w:ascii="Times New Roman" w:hAnsi="Times New Roman" w:eastAsia="宋体" w:cs="Times New Roman"/>
                    </w:rPr>
                    <w:t>数量</w:t>
                  </w:r>
                </w:p>
              </w:tc>
              <w:tc>
                <w:tcPr>
                  <w:tcW w:w="2526" w:type="dxa"/>
                  <w:tcBorders>
                    <w:right w:val="single" w:color="auto" w:sz="4" w:space="0"/>
                  </w:tcBorders>
                  <w:noWrap w:val="0"/>
                  <w:vAlign w:val="center"/>
                </w:tcPr>
                <w:p w14:paraId="3013C36F">
                  <w:pPr>
                    <w:jc w:val="center"/>
                    <w:rPr>
                      <w:rFonts w:hint="eastAsia" w:ascii="Times New Roman" w:hAnsi="Times New Roman" w:eastAsia="宋体" w:cs="Times New Roman"/>
                    </w:rPr>
                  </w:pPr>
                  <w:r>
                    <w:rPr>
                      <w:rFonts w:hint="eastAsia" w:ascii="Times New Roman" w:hAnsi="Times New Roman" w:eastAsia="宋体" w:cs="Times New Roman"/>
                    </w:rPr>
                    <w:t>备注</w:t>
                  </w:r>
                </w:p>
              </w:tc>
            </w:tr>
            <w:tr w14:paraId="61D3F4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5" w:type="dxa"/>
                  <w:tcBorders>
                    <w:left w:val="single" w:color="auto" w:sz="4" w:space="0"/>
                  </w:tcBorders>
                  <w:noWrap w:val="0"/>
                  <w:vAlign w:val="center"/>
                </w:tcPr>
                <w:p w14:paraId="46934BD4">
                  <w:pPr>
                    <w:jc w:val="center"/>
                    <w:rPr>
                      <w:rFonts w:hint="eastAsia" w:eastAsia="宋体"/>
                      <w:lang w:eastAsia="zh-CN"/>
                    </w:rPr>
                  </w:pPr>
                  <w:r>
                    <w:rPr>
                      <w:rFonts w:hint="eastAsia"/>
                      <w:lang w:val="en-US" w:eastAsia="zh-CN"/>
                    </w:rPr>
                    <w:t>1</w:t>
                  </w:r>
                </w:p>
              </w:tc>
              <w:tc>
                <w:tcPr>
                  <w:tcW w:w="2077" w:type="dxa"/>
                  <w:noWrap w:val="0"/>
                  <w:vAlign w:val="center"/>
                </w:tcPr>
                <w:p w14:paraId="38CA911E">
                  <w:pPr>
                    <w:jc w:val="center"/>
                    <w:rPr>
                      <w:rFonts w:hint="eastAsia"/>
                    </w:rPr>
                  </w:pPr>
                  <w:r>
                    <w:rPr>
                      <w:rFonts w:hint="eastAsia"/>
                    </w:rPr>
                    <w:t>电</w:t>
                  </w:r>
                </w:p>
              </w:tc>
              <w:tc>
                <w:tcPr>
                  <w:tcW w:w="1565" w:type="dxa"/>
                  <w:noWrap w:val="0"/>
                  <w:vAlign w:val="center"/>
                </w:tcPr>
                <w:p w14:paraId="435F1BCD">
                  <w:pPr>
                    <w:jc w:val="center"/>
                    <w:rPr>
                      <w:rFonts w:hint="eastAsia"/>
                      <w:color w:val="000000"/>
                    </w:rPr>
                  </w:pPr>
                  <w:r>
                    <w:rPr>
                      <w:rFonts w:hint="eastAsia"/>
                      <w:color w:val="000000"/>
                    </w:rPr>
                    <w:t>—</w:t>
                  </w:r>
                </w:p>
              </w:tc>
              <w:tc>
                <w:tcPr>
                  <w:tcW w:w="1565" w:type="dxa"/>
                  <w:noWrap w:val="0"/>
                  <w:vAlign w:val="center"/>
                </w:tcPr>
                <w:p w14:paraId="58751315">
                  <w:pPr>
                    <w:jc w:val="center"/>
                    <w:rPr>
                      <w:rFonts w:hint="eastAsia"/>
                      <w:color w:val="000000"/>
                    </w:rPr>
                  </w:pPr>
                  <w:r>
                    <w:rPr>
                      <w:rFonts w:hint="eastAsia"/>
                      <w:color w:val="000000"/>
                      <w:lang w:val="en-US" w:eastAsia="zh-CN"/>
                    </w:rPr>
                    <w:t>1500</w:t>
                  </w:r>
                  <w:r>
                    <w:rPr>
                      <w:rFonts w:hint="eastAsia"/>
                      <w:color w:val="000000"/>
                    </w:rPr>
                    <w:t>kW·h</w:t>
                  </w:r>
                </w:p>
              </w:tc>
              <w:tc>
                <w:tcPr>
                  <w:tcW w:w="2526" w:type="dxa"/>
                  <w:tcBorders>
                    <w:right w:val="single" w:color="auto" w:sz="4" w:space="0"/>
                  </w:tcBorders>
                  <w:noWrap w:val="0"/>
                  <w:vAlign w:val="center"/>
                </w:tcPr>
                <w:p w14:paraId="3128C021">
                  <w:pPr>
                    <w:jc w:val="center"/>
                    <w:rPr>
                      <w:rFonts w:hint="eastAsia"/>
                    </w:rPr>
                  </w:pPr>
                  <w:r>
                    <w:rPr>
                      <w:rFonts w:hint="eastAsia"/>
                      <w:lang w:eastAsia="zh-CN"/>
                    </w:rPr>
                    <w:t>园区</w:t>
                  </w:r>
                  <w:r>
                    <w:rPr>
                      <w:rFonts w:hint="eastAsia"/>
                    </w:rPr>
                    <w:t>电网</w:t>
                  </w:r>
                </w:p>
              </w:tc>
            </w:tr>
          </w:tbl>
          <w:p w14:paraId="2556FAEA">
            <w:pPr>
              <w:pStyle w:val="6"/>
              <w:spacing w:line="500" w:lineRule="exact"/>
              <w:ind w:firstLine="482"/>
              <w:jc w:val="center"/>
              <w:rPr>
                <w:rFonts w:hint="eastAsia" w:ascii="Times New Roman" w:hAnsi="Times New Roman" w:eastAsia="宋体" w:cs="Times New Roman"/>
                <w:b/>
                <w:bCs/>
                <w:color w:val="auto"/>
                <w:kern w:val="0"/>
                <w:sz w:val="24"/>
                <w:lang w:val="en-GB"/>
              </w:rPr>
            </w:pPr>
            <w:r>
              <w:rPr>
                <w:rFonts w:hint="eastAsia" w:ascii="Times New Roman" w:hAnsi="Times New Roman" w:eastAsia="宋体" w:cs="Times New Roman"/>
                <w:b/>
                <w:bCs/>
                <w:color w:val="auto"/>
                <w:kern w:val="0"/>
                <w:sz w:val="24"/>
                <w:lang w:val="en-GB"/>
              </w:rPr>
              <w:t>表2-</w:t>
            </w:r>
            <w:r>
              <w:rPr>
                <w:rFonts w:hint="eastAsia" w:ascii="Times New Roman" w:hAnsi="Times New Roman" w:eastAsia="宋体" w:cs="Times New Roman"/>
                <w:b/>
                <w:bCs/>
                <w:color w:val="auto"/>
                <w:kern w:val="0"/>
                <w:sz w:val="24"/>
                <w:lang w:val="en-US" w:eastAsia="zh-CN"/>
              </w:rPr>
              <w:t>5</w:t>
            </w:r>
            <w:r>
              <w:rPr>
                <w:rFonts w:hint="eastAsia" w:ascii="Times New Roman" w:hAnsi="Times New Roman" w:eastAsia="宋体" w:cs="Times New Roman"/>
                <w:b/>
                <w:bCs/>
                <w:color w:val="auto"/>
                <w:kern w:val="0"/>
                <w:sz w:val="24"/>
                <w:lang w:val="en-GB"/>
              </w:rPr>
              <w:t xml:space="preserve">  改扩建项目原辅材料与现有工程对比情况表</w:t>
            </w:r>
          </w:p>
          <w:tbl>
            <w:tblPr>
              <w:tblStyle w:val="19"/>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866"/>
              <w:gridCol w:w="681"/>
              <w:gridCol w:w="1255"/>
              <w:gridCol w:w="1159"/>
              <w:gridCol w:w="1373"/>
              <w:gridCol w:w="1271"/>
              <w:gridCol w:w="1272"/>
            </w:tblGrid>
            <w:tr w14:paraId="1D98EE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21" w:type="pct"/>
                  <w:tcBorders>
                    <w:left w:val="single" w:color="auto" w:sz="0" w:space="0"/>
                  </w:tcBorders>
                  <w:noWrap w:val="0"/>
                  <w:vAlign w:val="center"/>
                </w:tcPr>
                <w:p w14:paraId="414721C2">
                  <w:pPr>
                    <w:jc w:val="center"/>
                    <w:rPr>
                      <w:rFonts w:hint="eastAsia" w:ascii="Times New Roman" w:hAnsi="Times New Roman" w:eastAsia="宋体" w:cs="Times New Roman"/>
                    </w:rPr>
                  </w:pPr>
                  <w:r>
                    <w:rPr>
                      <w:rFonts w:hint="eastAsia" w:ascii="Times New Roman" w:hAnsi="Times New Roman" w:eastAsia="宋体" w:cs="Times New Roman"/>
                    </w:rPr>
                    <w:t>序号</w:t>
                  </w:r>
                </w:p>
              </w:tc>
              <w:tc>
                <w:tcPr>
                  <w:tcW w:w="514" w:type="pct"/>
                  <w:noWrap w:val="0"/>
                  <w:vAlign w:val="center"/>
                </w:tcPr>
                <w:p w14:paraId="1A92DF9D">
                  <w:pPr>
                    <w:jc w:val="center"/>
                    <w:rPr>
                      <w:rFonts w:hint="eastAsia" w:ascii="Times New Roman" w:hAnsi="Times New Roman" w:eastAsia="宋体" w:cs="Times New Roman"/>
                    </w:rPr>
                  </w:pPr>
                  <w:r>
                    <w:rPr>
                      <w:rFonts w:hint="eastAsia" w:ascii="Times New Roman" w:hAnsi="Times New Roman" w:eastAsia="宋体" w:cs="Times New Roman"/>
                    </w:rPr>
                    <w:t>原料名称</w:t>
                  </w:r>
                </w:p>
              </w:tc>
              <w:tc>
                <w:tcPr>
                  <w:tcW w:w="404" w:type="pct"/>
                  <w:noWrap w:val="0"/>
                  <w:vAlign w:val="center"/>
                </w:tcPr>
                <w:p w14:paraId="46698BCE">
                  <w:pPr>
                    <w:jc w:val="center"/>
                    <w:rPr>
                      <w:rFonts w:hint="eastAsia" w:ascii="Times New Roman" w:hAnsi="Times New Roman" w:eastAsia="宋体" w:cs="Times New Roman"/>
                    </w:rPr>
                  </w:pPr>
                  <w:r>
                    <w:rPr>
                      <w:rFonts w:hint="eastAsia" w:ascii="Times New Roman" w:hAnsi="Times New Roman" w:eastAsia="宋体" w:cs="Times New Roman"/>
                    </w:rPr>
                    <w:t>形态</w:t>
                  </w:r>
                </w:p>
              </w:tc>
              <w:tc>
                <w:tcPr>
                  <w:tcW w:w="745" w:type="pct"/>
                  <w:noWrap w:val="0"/>
                  <w:vAlign w:val="center"/>
                </w:tcPr>
                <w:p w14:paraId="43E5E4CD">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总消耗量</w:t>
                  </w:r>
                </w:p>
              </w:tc>
              <w:tc>
                <w:tcPr>
                  <w:tcW w:w="688" w:type="pct"/>
                  <w:tcBorders>
                    <w:right w:val="single" w:color="auto" w:sz="4" w:space="0"/>
                  </w:tcBorders>
                  <w:noWrap w:val="0"/>
                  <w:vAlign w:val="center"/>
                </w:tcPr>
                <w:p w14:paraId="599EFF57">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改扩建项目消耗量</w:t>
                  </w:r>
                </w:p>
              </w:tc>
              <w:tc>
                <w:tcPr>
                  <w:tcW w:w="815" w:type="pct"/>
                  <w:tcBorders>
                    <w:right w:val="single" w:color="auto" w:sz="4" w:space="0"/>
                  </w:tcBorders>
                  <w:noWrap w:val="0"/>
                  <w:vAlign w:val="center"/>
                </w:tcPr>
                <w:p w14:paraId="6DCFEE1C">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现有工程消耗量</w:t>
                  </w:r>
                </w:p>
              </w:tc>
              <w:tc>
                <w:tcPr>
                  <w:tcW w:w="754" w:type="pct"/>
                  <w:tcBorders>
                    <w:right w:val="single" w:color="auto" w:sz="4" w:space="0"/>
                  </w:tcBorders>
                  <w:noWrap w:val="0"/>
                  <w:vAlign w:val="center"/>
                </w:tcPr>
                <w:p w14:paraId="786554F0">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“以新带老”消减量</w:t>
                  </w:r>
                </w:p>
              </w:tc>
              <w:tc>
                <w:tcPr>
                  <w:tcW w:w="754" w:type="pct"/>
                  <w:tcBorders>
                    <w:right w:val="single" w:color="auto" w:sz="4" w:space="0"/>
                  </w:tcBorders>
                  <w:noWrap w:val="0"/>
                  <w:vAlign w:val="center"/>
                </w:tcPr>
                <w:p w14:paraId="4E836E91">
                  <w:pPr>
                    <w:jc w:val="center"/>
                    <w:rPr>
                      <w:rFonts w:hint="eastAsia" w:ascii="Times New Roman" w:hAnsi="Times New Roman" w:eastAsia="宋体" w:cs="Times New Roman"/>
                    </w:rPr>
                  </w:pPr>
                  <w:r>
                    <w:rPr>
                      <w:rFonts w:hint="eastAsia" w:ascii="Times New Roman" w:hAnsi="Times New Roman" w:eastAsia="宋体" w:cs="Times New Roman"/>
                    </w:rPr>
                    <w:t>备注</w:t>
                  </w:r>
                </w:p>
              </w:tc>
            </w:tr>
            <w:tr w14:paraId="52A554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1" w:type="pct"/>
                  <w:tcBorders>
                    <w:left w:val="single" w:color="auto" w:sz="4" w:space="0"/>
                  </w:tcBorders>
                  <w:noWrap w:val="0"/>
                  <w:vAlign w:val="center"/>
                </w:tcPr>
                <w:p w14:paraId="375C703C">
                  <w:pPr>
                    <w:jc w:val="center"/>
                    <w:rPr>
                      <w:rFonts w:hint="eastAsia" w:eastAsia="宋体"/>
                      <w:lang w:eastAsia="zh-CN"/>
                    </w:rPr>
                  </w:pPr>
                  <w:r>
                    <w:rPr>
                      <w:rFonts w:hint="eastAsia"/>
                      <w:lang w:val="en-US" w:eastAsia="zh-CN"/>
                    </w:rPr>
                    <w:t>1</w:t>
                  </w:r>
                </w:p>
              </w:tc>
              <w:tc>
                <w:tcPr>
                  <w:tcW w:w="514" w:type="pct"/>
                  <w:noWrap w:val="0"/>
                  <w:vAlign w:val="center"/>
                </w:tcPr>
                <w:p w14:paraId="4D64F20E">
                  <w:pPr>
                    <w:jc w:val="center"/>
                    <w:rPr>
                      <w:rFonts w:hint="eastAsia"/>
                    </w:rPr>
                  </w:pPr>
                  <w:r>
                    <w:rPr>
                      <w:rFonts w:hint="eastAsia"/>
                    </w:rPr>
                    <w:t>电</w:t>
                  </w:r>
                </w:p>
              </w:tc>
              <w:tc>
                <w:tcPr>
                  <w:tcW w:w="404" w:type="pct"/>
                  <w:noWrap w:val="0"/>
                  <w:vAlign w:val="center"/>
                </w:tcPr>
                <w:p w14:paraId="7402806D">
                  <w:pPr>
                    <w:jc w:val="center"/>
                    <w:rPr>
                      <w:rFonts w:hint="eastAsia"/>
                      <w:color w:val="000000"/>
                    </w:rPr>
                  </w:pPr>
                  <w:r>
                    <w:rPr>
                      <w:rFonts w:hint="eastAsia"/>
                      <w:color w:val="000000"/>
                    </w:rPr>
                    <w:t>—</w:t>
                  </w:r>
                </w:p>
              </w:tc>
              <w:tc>
                <w:tcPr>
                  <w:tcW w:w="745" w:type="pct"/>
                  <w:noWrap w:val="0"/>
                  <w:vAlign w:val="center"/>
                </w:tcPr>
                <w:p w14:paraId="71E3087F">
                  <w:pPr>
                    <w:jc w:val="center"/>
                    <w:rPr>
                      <w:rFonts w:hint="eastAsia"/>
                      <w:color w:val="000000"/>
                    </w:rPr>
                  </w:pPr>
                  <w:r>
                    <w:rPr>
                      <w:rFonts w:hint="eastAsia"/>
                      <w:color w:val="000000"/>
                      <w:lang w:val="en-US" w:eastAsia="zh-CN"/>
                    </w:rPr>
                    <w:t>1000</w:t>
                  </w:r>
                  <w:r>
                    <w:rPr>
                      <w:rFonts w:hint="eastAsia"/>
                      <w:color w:val="000000"/>
                    </w:rPr>
                    <w:t>kW·h</w:t>
                  </w:r>
                </w:p>
              </w:tc>
              <w:tc>
                <w:tcPr>
                  <w:tcW w:w="688" w:type="pct"/>
                  <w:tcBorders>
                    <w:right w:val="single" w:color="auto" w:sz="4" w:space="0"/>
                  </w:tcBorders>
                  <w:noWrap w:val="0"/>
                  <w:vAlign w:val="center"/>
                </w:tcPr>
                <w:p w14:paraId="39F4D9FB">
                  <w:pPr>
                    <w:jc w:val="center"/>
                    <w:rPr>
                      <w:rFonts w:hint="eastAsia"/>
                      <w:lang w:eastAsia="zh-CN"/>
                    </w:rPr>
                  </w:pPr>
                  <w:r>
                    <w:rPr>
                      <w:rFonts w:hint="eastAsia"/>
                      <w:color w:val="000000"/>
                      <w:lang w:val="en-US" w:eastAsia="zh-CN"/>
                    </w:rPr>
                    <w:t>500</w:t>
                  </w:r>
                  <w:r>
                    <w:rPr>
                      <w:rFonts w:hint="eastAsia"/>
                      <w:color w:val="000000"/>
                    </w:rPr>
                    <w:t>kW·h</w:t>
                  </w:r>
                </w:p>
              </w:tc>
              <w:tc>
                <w:tcPr>
                  <w:tcW w:w="815" w:type="pct"/>
                  <w:tcBorders>
                    <w:right w:val="single" w:color="auto" w:sz="4" w:space="0"/>
                  </w:tcBorders>
                  <w:noWrap w:val="0"/>
                  <w:vAlign w:val="center"/>
                </w:tcPr>
                <w:p w14:paraId="1566CE96">
                  <w:pPr>
                    <w:jc w:val="center"/>
                    <w:rPr>
                      <w:rFonts w:hint="eastAsia"/>
                      <w:lang w:eastAsia="zh-CN"/>
                    </w:rPr>
                  </w:pPr>
                  <w:r>
                    <w:rPr>
                      <w:rFonts w:hint="eastAsia"/>
                      <w:color w:val="000000"/>
                      <w:lang w:val="en-US" w:eastAsia="zh-CN"/>
                    </w:rPr>
                    <w:t>2500</w:t>
                  </w:r>
                  <w:r>
                    <w:rPr>
                      <w:rFonts w:hint="eastAsia"/>
                      <w:color w:val="000000"/>
                    </w:rPr>
                    <w:t>kW·h</w:t>
                  </w:r>
                </w:p>
              </w:tc>
              <w:tc>
                <w:tcPr>
                  <w:tcW w:w="754" w:type="pct"/>
                  <w:tcBorders>
                    <w:right w:val="single" w:color="auto" w:sz="4" w:space="0"/>
                  </w:tcBorders>
                  <w:noWrap w:val="0"/>
                  <w:vAlign w:val="center"/>
                </w:tcPr>
                <w:p w14:paraId="22250E9A">
                  <w:pPr>
                    <w:jc w:val="center"/>
                    <w:rPr>
                      <w:rFonts w:hint="default"/>
                      <w:color w:val="000000"/>
                      <w:lang w:val="en-US" w:eastAsia="zh-CN"/>
                    </w:rPr>
                  </w:pPr>
                  <w:r>
                    <w:rPr>
                      <w:rFonts w:hint="eastAsia"/>
                      <w:color w:val="000000"/>
                      <w:lang w:val="en-US" w:eastAsia="zh-CN"/>
                    </w:rPr>
                    <w:t>2000</w:t>
                  </w:r>
                  <w:r>
                    <w:rPr>
                      <w:rFonts w:hint="eastAsia"/>
                      <w:color w:val="000000"/>
                    </w:rPr>
                    <w:t>kW·h</w:t>
                  </w:r>
                </w:p>
              </w:tc>
              <w:tc>
                <w:tcPr>
                  <w:tcW w:w="754" w:type="pct"/>
                  <w:tcBorders>
                    <w:right w:val="single" w:color="auto" w:sz="4" w:space="0"/>
                  </w:tcBorders>
                  <w:noWrap w:val="0"/>
                  <w:vAlign w:val="center"/>
                </w:tcPr>
                <w:p w14:paraId="45FB6EBC">
                  <w:pPr>
                    <w:jc w:val="center"/>
                    <w:rPr>
                      <w:rFonts w:hint="eastAsia"/>
                      <w:lang w:eastAsia="zh-CN"/>
                    </w:rPr>
                  </w:pPr>
                  <w:r>
                    <w:rPr>
                      <w:rFonts w:hint="eastAsia"/>
                      <w:lang w:val="en-US" w:eastAsia="zh-CN"/>
                    </w:rPr>
                    <w:t>增加用量</w:t>
                  </w:r>
                </w:p>
              </w:tc>
            </w:tr>
            <w:tr w14:paraId="6A8CEB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1" w:type="pct"/>
                  <w:tcBorders>
                    <w:left w:val="single" w:color="auto" w:sz="4" w:space="0"/>
                  </w:tcBorders>
                  <w:noWrap w:val="0"/>
                  <w:vAlign w:val="center"/>
                </w:tcPr>
                <w:p w14:paraId="3DAE1C29">
                  <w:pPr>
                    <w:jc w:val="center"/>
                    <w:rPr>
                      <w:rFonts w:hint="default"/>
                      <w:lang w:val="en-US" w:eastAsia="zh-CN"/>
                    </w:rPr>
                  </w:pPr>
                  <w:r>
                    <w:rPr>
                      <w:rFonts w:hint="eastAsia"/>
                      <w:lang w:val="en-US" w:eastAsia="zh-CN"/>
                    </w:rPr>
                    <w:t>2</w:t>
                  </w:r>
                </w:p>
              </w:tc>
              <w:tc>
                <w:tcPr>
                  <w:tcW w:w="514" w:type="pct"/>
                  <w:noWrap w:val="0"/>
                  <w:vAlign w:val="center"/>
                </w:tcPr>
                <w:p w14:paraId="7F4B03B0">
                  <w:pPr>
                    <w:jc w:val="center"/>
                    <w:rPr>
                      <w:rFonts w:hint="eastAsia" w:eastAsia="宋体"/>
                      <w:lang w:eastAsia="zh-CN"/>
                    </w:rPr>
                  </w:pPr>
                  <w:r>
                    <w:rPr>
                      <w:rFonts w:hint="eastAsia"/>
                      <w:lang w:eastAsia="zh-CN"/>
                    </w:rPr>
                    <w:t>水</w:t>
                  </w:r>
                </w:p>
              </w:tc>
              <w:tc>
                <w:tcPr>
                  <w:tcW w:w="404" w:type="pct"/>
                  <w:noWrap w:val="0"/>
                  <w:vAlign w:val="center"/>
                </w:tcPr>
                <w:p w14:paraId="135CD8EA">
                  <w:pPr>
                    <w:jc w:val="center"/>
                    <w:rPr>
                      <w:rFonts w:hint="eastAsia"/>
                      <w:color w:val="auto"/>
                    </w:rPr>
                  </w:pPr>
                  <w:r>
                    <w:rPr>
                      <w:rFonts w:hint="eastAsia"/>
                      <w:color w:val="auto"/>
                      <w:lang w:val="en-US" w:eastAsia="zh-CN"/>
                    </w:rPr>
                    <w:t>液态</w:t>
                  </w:r>
                </w:p>
              </w:tc>
              <w:tc>
                <w:tcPr>
                  <w:tcW w:w="745" w:type="pct"/>
                  <w:noWrap w:val="0"/>
                  <w:vAlign w:val="center"/>
                </w:tcPr>
                <w:p w14:paraId="3AB4ED8D">
                  <w:pPr>
                    <w:jc w:val="center"/>
                    <w:rPr>
                      <w:rFonts w:hint="eastAsia" w:eastAsia="宋体"/>
                      <w:color w:val="FF0000"/>
                      <w:sz w:val="21"/>
                      <w:szCs w:val="21"/>
                      <w:lang w:val="en-US" w:eastAsia="zh-CN"/>
                    </w:rPr>
                  </w:pPr>
                  <w:r>
                    <w:rPr>
                      <w:rFonts w:hint="eastAsia"/>
                      <w:color w:val="000000"/>
                      <w:kern w:val="0"/>
                      <w:sz w:val="21"/>
                      <w:szCs w:val="21"/>
                      <w:lang w:val="en-US" w:eastAsia="zh-CN"/>
                    </w:rPr>
                    <w:t>8748</w:t>
                  </w:r>
                </w:p>
              </w:tc>
              <w:tc>
                <w:tcPr>
                  <w:tcW w:w="688" w:type="pct"/>
                  <w:tcBorders>
                    <w:right w:val="single" w:color="auto" w:sz="4" w:space="0"/>
                  </w:tcBorders>
                  <w:noWrap w:val="0"/>
                  <w:vAlign w:val="center"/>
                </w:tcPr>
                <w:p w14:paraId="59799107">
                  <w:pPr>
                    <w:jc w:val="center"/>
                    <w:rPr>
                      <w:rFonts w:hint="default"/>
                      <w:color w:val="FF0000"/>
                      <w:sz w:val="21"/>
                      <w:szCs w:val="21"/>
                      <w:lang w:val="en-US" w:eastAsia="zh-CN"/>
                    </w:rPr>
                  </w:pPr>
                  <w:r>
                    <w:rPr>
                      <w:rFonts w:hint="eastAsia"/>
                      <w:color w:val="auto"/>
                      <w:sz w:val="21"/>
                      <w:szCs w:val="21"/>
                      <w:lang w:val="en-US" w:eastAsia="zh-CN"/>
                    </w:rPr>
                    <w:t>0</w:t>
                  </w:r>
                </w:p>
              </w:tc>
              <w:tc>
                <w:tcPr>
                  <w:tcW w:w="815" w:type="pct"/>
                  <w:tcBorders>
                    <w:right w:val="single" w:color="auto" w:sz="4" w:space="0"/>
                  </w:tcBorders>
                  <w:noWrap w:val="0"/>
                  <w:vAlign w:val="center"/>
                </w:tcPr>
                <w:p w14:paraId="056FB1DD">
                  <w:pPr>
                    <w:jc w:val="center"/>
                    <w:rPr>
                      <w:rFonts w:hint="eastAsia"/>
                      <w:sz w:val="21"/>
                      <w:szCs w:val="21"/>
                      <w:lang w:eastAsia="zh-CN"/>
                    </w:rPr>
                  </w:pPr>
                  <w:r>
                    <w:rPr>
                      <w:rFonts w:hint="eastAsia"/>
                      <w:color w:val="000000"/>
                      <w:kern w:val="0"/>
                      <w:sz w:val="21"/>
                      <w:szCs w:val="21"/>
                      <w:lang w:val="en-US" w:eastAsia="zh-CN"/>
                    </w:rPr>
                    <w:t>8748</w:t>
                  </w:r>
                </w:p>
              </w:tc>
              <w:tc>
                <w:tcPr>
                  <w:tcW w:w="754" w:type="pct"/>
                  <w:tcBorders>
                    <w:right w:val="single" w:color="auto" w:sz="4" w:space="0"/>
                  </w:tcBorders>
                  <w:noWrap w:val="0"/>
                  <w:vAlign w:val="center"/>
                </w:tcPr>
                <w:p w14:paraId="6168A25F">
                  <w:pPr>
                    <w:jc w:val="center"/>
                    <w:rPr>
                      <w:rFonts w:hint="eastAsia"/>
                      <w:lang w:eastAsia="zh-CN"/>
                    </w:rPr>
                  </w:pPr>
                  <w:r>
                    <w:rPr>
                      <w:rFonts w:hint="eastAsia"/>
                      <w:lang w:eastAsia="zh-CN"/>
                    </w:rPr>
                    <w:t>—</w:t>
                  </w:r>
                </w:p>
              </w:tc>
              <w:tc>
                <w:tcPr>
                  <w:tcW w:w="754" w:type="pct"/>
                  <w:tcBorders>
                    <w:right w:val="single" w:color="auto" w:sz="4" w:space="0"/>
                  </w:tcBorders>
                  <w:noWrap w:val="0"/>
                  <w:vAlign w:val="center"/>
                </w:tcPr>
                <w:p w14:paraId="3100A5EF">
                  <w:pPr>
                    <w:jc w:val="center"/>
                    <w:rPr>
                      <w:rFonts w:hint="default"/>
                      <w:lang w:val="en-US" w:eastAsia="zh-CN"/>
                    </w:rPr>
                  </w:pPr>
                  <w:r>
                    <w:rPr>
                      <w:rFonts w:hint="eastAsia"/>
                      <w:lang w:val="en-US" w:eastAsia="zh-CN"/>
                    </w:rPr>
                    <w:t>用量不变</w:t>
                  </w:r>
                </w:p>
              </w:tc>
            </w:tr>
          </w:tbl>
          <w:p w14:paraId="70E0A6D0">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项目原辅料中与污染排放有关的组分：</w:t>
            </w:r>
          </w:p>
          <w:p w14:paraId="385E4EE8">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改扩建项目不涉及生产，无原辅料涉及与污染物有关的组分。</w:t>
            </w:r>
          </w:p>
          <w:p w14:paraId="6145C854">
            <w:pPr>
              <w:pStyle w:val="6"/>
              <w:numPr>
                <w:ilvl w:val="0"/>
                <w:numId w:val="7"/>
              </w:numPr>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本项目涉及的危险化学品理化性能指标</w:t>
            </w:r>
          </w:p>
          <w:p w14:paraId="3C462905">
            <w:pPr>
              <w:pStyle w:val="6"/>
              <w:numPr>
                <w:ilvl w:val="0"/>
                <w:numId w:val="0"/>
              </w:numPr>
              <w:spacing w:line="500" w:lineRule="exact"/>
              <w:ind w:firstLine="480" w:firstLineChars="200"/>
              <w:rPr>
                <w:rFonts w:hint="eastAsia" w:ascii="Times New Roman" w:hAnsi="Times New Roman" w:eastAsia="宋体" w:cs="Times New Roman"/>
                <w:color w:val="auto"/>
                <w:kern w:val="0"/>
                <w:sz w:val="24"/>
                <w:u w:val="single"/>
                <w:lang w:val="en-US" w:eastAsia="zh-CN"/>
              </w:rPr>
            </w:pPr>
            <w:r>
              <w:rPr>
                <w:rFonts w:hint="eastAsia" w:cs="Times New Roman"/>
                <w:color w:val="auto"/>
                <w:kern w:val="0"/>
                <w:sz w:val="24"/>
                <w:u w:val="single"/>
                <w:lang w:val="en-US" w:eastAsia="zh-CN"/>
              </w:rPr>
              <w:t>项目贮存的危险化学品不涉及易燃易爆，毒性等级划分依据《职业性接触毒物危害程度分级》（GB5044-85），项目危险化学品理化性质指标见下表。</w:t>
            </w:r>
          </w:p>
          <w:p w14:paraId="089A2BE0">
            <w:pPr>
              <w:pStyle w:val="6"/>
              <w:spacing w:line="500" w:lineRule="exact"/>
              <w:ind w:firstLine="482"/>
              <w:jc w:val="center"/>
              <w:rPr>
                <w:rFonts w:hint="eastAsia" w:ascii="Times New Roman" w:hAnsi="Times New Roman" w:eastAsia="宋体" w:cs="Times New Roman"/>
                <w:b/>
                <w:bCs/>
                <w:color w:val="auto"/>
                <w:kern w:val="0"/>
                <w:sz w:val="24"/>
                <w:lang w:val="en-GB"/>
              </w:rPr>
            </w:pPr>
            <w:r>
              <w:rPr>
                <w:rFonts w:hint="eastAsia" w:ascii="Times New Roman" w:hAnsi="Times New Roman" w:eastAsia="宋体" w:cs="Times New Roman"/>
                <w:b/>
                <w:bCs/>
                <w:color w:val="auto"/>
                <w:kern w:val="0"/>
                <w:sz w:val="24"/>
                <w:lang w:val="en-GB"/>
              </w:rPr>
              <w:t>表2-</w:t>
            </w:r>
            <w:r>
              <w:rPr>
                <w:rFonts w:hint="eastAsia" w:cs="Times New Roman"/>
                <w:b/>
                <w:bCs/>
                <w:color w:val="auto"/>
                <w:kern w:val="0"/>
                <w:sz w:val="24"/>
                <w:lang w:val="en-US" w:eastAsia="zh-CN"/>
              </w:rPr>
              <w:t>6</w:t>
            </w:r>
            <w:r>
              <w:rPr>
                <w:rFonts w:hint="eastAsia" w:ascii="Times New Roman" w:hAnsi="Times New Roman" w:eastAsia="宋体" w:cs="Times New Roman"/>
                <w:b/>
                <w:bCs/>
                <w:color w:val="auto"/>
                <w:kern w:val="0"/>
                <w:sz w:val="24"/>
                <w:lang w:val="en-US" w:eastAsia="zh-CN"/>
              </w:rPr>
              <w:t xml:space="preserve"> </w:t>
            </w:r>
            <w:r>
              <w:rPr>
                <w:rFonts w:hint="eastAsia" w:ascii="Times New Roman" w:hAnsi="Times New Roman" w:eastAsia="宋体" w:cs="Times New Roman"/>
                <w:b/>
                <w:bCs/>
                <w:color w:val="auto"/>
                <w:kern w:val="0"/>
                <w:sz w:val="24"/>
                <w:lang w:val="en-GB"/>
              </w:rPr>
              <w:t>危险化学品理化性能指标一览表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891"/>
              <w:gridCol w:w="3856"/>
              <w:gridCol w:w="1090"/>
              <w:gridCol w:w="960"/>
            </w:tblGrid>
            <w:tr w14:paraId="18BE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207FA5C9">
                  <w:pPr>
                    <w:ind w:right="-9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891" w:type="dxa"/>
                  <w:noWrap w:val="0"/>
                  <w:vAlign w:val="center"/>
                </w:tcPr>
                <w:p w14:paraId="41E53BAE">
                  <w:pPr>
                    <w:ind w:right="-9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物料</w:t>
                  </w:r>
                  <w:r>
                    <w:rPr>
                      <w:rFonts w:hint="default" w:ascii="Times New Roman" w:hAnsi="Times New Roman" w:eastAsia="宋体" w:cs="Times New Roman"/>
                      <w:color w:val="auto"/>
                      <w:sz w:val="21"/>
                      <w:szCs w:val="21"/>
                    </w:rPr>
                    <w:t>名称</w:t>
                  </w:r>
                </w:p>
              </w:tc>
              <w:tc>
                <w:tcPr>
                  <w:tcW w:w="3856" w:type="dxa"/>
                  <w:noWrap w:val="0"/>
                  <w:vAlign w:val="center"/>
                </w:tcPr>
                <w:p w14:paraId="4BEEA5E7">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危险化学品分类</w:t>
                  </w:r>
                </w:p>
              </w:tc>
              <w:tc>
                <w:tcPr>
                  <w:tcW w:w="1090" w:type="dxa"/>
                  <w:noWrap w:val="0"/>
                  <w:vAlign w:val="center"/>
                </w:tcPr>
                <w:p w14:paraId="05E5B2D2">
                  <w:pPr>
                    <w:ind w:right="-96"/>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爆炸极限%(V/V)</w:t>
                  </w:r>
                </w:p>
              </w:tc>
              <w:tc>
                <w:tcPr>
                  <w:tcW w:w="960" w:type="dxa"/>
                  <w:noWrap w:val="0"/>
                  <w:vAlign w:val="center"/>
                </w:tcPr>
                <w:p w14:paraId="32B703D9">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毒性等级</w:t>
                  </w:r>
                </w:p>
              </w:tc>
            </w:tr>
            <w:tr w14:paraId="11F6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4AD089EB">
                  <w:pPr>
                    <w:ind w:right="-9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91" w:type="dxa"/>
                  <w:noWrap w:val="0"/>
                  <w:vAlign w:val="center"/>
                </w:tcPr>
                <w:p w14:paraId="7EE7C080">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多聚磷酸</w:t>
                  </w:r>
                </w:p>
              </w:tc>
              <w:tc>
                <w:tcPr>
                  <w:tcW w:w="3856" w:type="dxa"/>
                  <w:noWrap w:val="0"/>
                  <w:vAlign w:val="center"/>
                </w:tcPr>
                <w:p w14:paraId="5CAB392D">
                  <w:pPr>
                    <w:widowControl/>
                    <w:jc w:val="both"/>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皮肤腐蚀/刺激</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lang w:val="en-US" w:eastAsia="zh-CN"/>
                    </w:rPr>
                    <w:t>类别1</w:t>
                  </w:r>
                </w:p>
                <w:p w14:paraId="625262A3">
                  <w:pPr>
                    <w:widowControl/>
                    <w:jc w:val="both"/>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严重眼损伤/眼刺激</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lang w:val="en-US" w:eastAsia="zh-CN"/>
                    </w:rPr>
                    <w:t>类别1</w:t>
                  </w:r>
                </w:p>
              </w:tc>
              <w:tc>
                <w:tcPr>
                  <w:tcW w:w="1090" w:type="dxa"/>
                  <w:noWrap w:val="0"/>
                  <w:vAlign w:val="center"/>
                </w:tcPr>
                <w:p w14:paraId="0A979DC2">
                  <w:pPr>
                    <w:ind w:right="-96"/>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77473869">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Ⅳ</w:t>
                  </w:r>
                </w:p>
              </w:tc>
            </w:tr>
            <w:tr w14:paraId="06D8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5F677C14">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891" w:type="dxa"/>
                  <w:noWrap w:val="0"/>
                  <w:vAlign w:val="center"/>
                </w:tcPr>
                <w:p w14:paraId="2829B0A5">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氢氧化钠</w:t>
                  </w:r>
                </w:p>
              </w:tc>
              <w:tc>
                <w:tcPr>
                  <w:tcW w:w="3856" w:type="dxa"/>
                  <w:noWrap w:val="0"/>
                  <w:vAlign w:val="center"/>
                </w:tcPr>
                <w:p w14:paraId="616A4C46">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皮肤腐蚀/刺激</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类别1A</w:t>
                  </w:r>
                </w:p>
                <w:p w14:paraId="77BB8042">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严重眼损伤/眼刺激</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类别1</w:t>
                  </w:r>
                </w:p>
              </w:tc>
              <w:tc>
                <w:tcPr>
                  <w:tcW w:w="1090" w:type="dxa"/>
                  <w:noWrap w:val="0"/>
                  <w:vAlign w:val="center"/>
                </w:tcPr>
                <w:p w14:paraId="04A724F8">
                  <w:pPr>
                    <w:ind w:right="-96"/>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6EECF008">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Ⅳ</w:t>
                  </w:r>
                </w:p>
              </w:tc>
            </w:tr>
            <w:tr w14:paraId="353F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10085BDD">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891" w:type="dxa"/>
                  <w:noWrap w:val="0"/>
                  <w:vAlign w:val="center"/>
                </w:tcPr>
                <w:p w14:paraId="73BBBA44">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氢氧化锂</w:t>
                  </w:r>
                </w:p>
              </w:tc>
              <w:tc>
                <w:tcPr>
                  <w:tcW w:w="3856" w:type="dxa"/>
                  <w:noWrap w:val="0"/>
                  <w:vAlign w:val="center"/>
                </w:tcPr>
                <w:p w14:paraId="317E9EFF">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吸入</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类别3</w:t>
                  </w:r>
                </w:p>
                <w:p w14:paraId="1D1B1016">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皮肤腐蚀/刺激</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类别1</w:t>
                  </w:r>
                </w:p>
                <w:p w14:paraId="3403C840">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严重眼损伤/眼刺激</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类别1</w:t>
                  </w:r>
                </w:p>
                <w:p w14:paraId="090BE06D">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生殖毒性</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类别1A</w:t>
                  </w:r>
                </w:p>
                <w:p w14:paraId="68CC0290">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特异性靶器官毒性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一次接触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类别1</w:t>
                  </w:r>
                </w:p>
              </w:tc>
              <w:tc>
                <w:tcPr>
                  <w:tcW w:w="1090" w:type="dxa"/>
                  <w:noWrap w:val="0"/>
                  <w:vAlign w:val="center"/>
                </w:tcPr>
                <w:p w14:paraId="5B32700C">
                  <w:pPr>
                    <w:ind w:right="-96"/>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70F1476A">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Ⅳ</w:t>
                  </w:r>
                </w:p>
              </w:tc>
            </w:tr>
            <w:tr w14:paraId="77BB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46DDE5E6">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891" w:type="dxa"/>
                  <w:noWrap w:val="0"/>
                  <w:vAlign w:val="center"/>
                </w:tcPr>
                <w:p w14:paraId="55089013">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氢氧化钾</w:t>
                  </w:r>
                </w:p>
              </w:tc>
              <w:tc>
                <w:tcPr>
                  <w:tcW w:w="3856" w:type="dxa"/>
                  <w:noWrap w:val="0"/>
                  <w:vAlign w:val="center"/>
                </w:tcPr>
                <w:p w14:paraId="6EFD0E90">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皮肤腐蚀/刺激</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 1A</w:t>
                  </w:r>
                </w:p>
                <w:p w14:paraId="6F25968D">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严重眼损伤/眼刺激</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 1</w:t>
                  </w:r>
                </w:p>
              </w:tc>
              <w:tc>
                <w:tcPr>
                  <w:tcW w:w="1090" w:type="dxa"/>
                  <w:noWrap w:val="0"/>
                  <w:vAlign w:val="center"/>
                </w:tcPr>
                <w:p w14:paraId="4B830714">
                  <w:pPr>
                    <w:ind w:right="-96"/>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313DB7F0">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Ⅳ</w:t>
                  </w:r>
                </w:p>
              </w:tc>
            </w:tr>
            <w:tr w14:paraId="2E02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39F6C917">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891" w:type="dxa"/>
                  <w:noWrap w:val="0"/>
                  <w:vAlign w:val="center"/>
                </w:tcPr>
                <w:p w14:paraId="2B2DAF50">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氟硅酸钠</w:t>
                  </w:r>
                </w:p>
              </w:tc>
              <w:tc>
                <w:tcPr>
                  <w:tcW w:w="3856" w:type="dxa"/>
                  <w:noWrap w:val="0"/>
                  <w:vAlign w:val="center"/>
                </w:tcPr>
                <w:p w14:paraId="3A46811D">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一经</w:t>
                  </w:r>
                  <w:r>
                    <w:rPr>
                      <w:rFonts w:hint="default" w:ascii="Times New Roman" w:hAnsi="Times New Roman" w:eastAsia="宋体" w:cs="Times New Roman"/>
                      <w:color w:val="auto"/>
                      <w:sz w:val="21"/>
                      <w:szCs w:val="21"/>
                      <w:lang w:val="en-US" w:eastAsia="zh-CN"/>
                    </w:rPr>
                    <w:t>口</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类别3*</w:t>
                  </w:r>
                </w:p>
                <w:p w14:paraId="2C2FE306">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一经</w:t>
                  </w:r>
                  <w:r>
                    <w:rPr>
                      <w:rFonts w:hint="default" w:ascii="Times New Roman" w:hAnsi="Times New Roman" w:eastAsia="宋体" w:cs="Times New Roman"/>
                      <w:color w:val="auto"/>
                      <w:sz w:val="21"/>
                      <w:szCs w:val="21"/>
                      <w:lang w:val="en-US" w:eastAsia="zh-CN"/>
                    </w:rPr>
                    <w:t>皮</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类别3*</w:t>
                  </w:r>
                </w:p>
                <w:p w14:paraId="44C5D68D">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吸入</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类别3*</w:t>
                  </w:r>
                </w:p>
              </w:tc>
              <w:tc>
                <w:tcPr>
                  <w:tcW w:w="1090" w:type="dxa"/>
                  <w:noWrap w:val="0"/>
                  <w:vAlign w:val="center"/>
                </w:tcPr>
                <w:p w14:paraId="6ED44B93">
                  <w:pPr>
                    <w:ind w:right="-96"/>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288F1449">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Ⅲ</w:t>
                  </w:r>
                </w:p>
              </w:tc>
            </w:tr>
            <w:tr w14:paraId="1511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097B35EE">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891" w:type="dxa"/>
                  <w:noWrap w:val="0"/>
                  <w:vAlign w:val="center"/>
                </w:tcPr>
                <w:p w14:paraId="4A8BE53A">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盐酸</w:t>
                  </w:r>
                </w:p>
              </w:tc>
              <w:tc>
                <w:tcPr>
                  <w:tcW w:w="3856" w:type="dxa"/>
                  <w:noWrap w:val="0"/>
                  <w:vAlign w:val="center"/>
                </w:tcPr>
                <w:p w14:paraId="6013253B">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皮肤腐蚀/刺激</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类别1B</w:t>
                  </w:r>
                </w:p>
                <w:p w14:paraId="05EC6BFB">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严重眼损伤/眼刺激</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w:t>
                  </w:r>
                </w:p>
                <w:p w14:paraId="26426569">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特异性靶器官毒性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一次接触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类别3（呼吸道刺激）</w:t>
                  </w:r>
                </w:p>
                <w:p w14:paraId="659F68CF">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危害水生环境</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急性危害</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类别2</w:t>
                  </w:r>
                </w:p>
              </w:tc>
              <w:tc>
                <w:tcPr>
                  <w:tcW w:w="1090" w:type="dxa"/>
                  <w:noWrap w:val="0"/>
                  <w:vAlign w:val="center"/>
                </w:tcPr>
                <w:p w14:paraId="1BB34FF9">
                  <w:pPr>
                    <w:ind w:right="-96"/>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2CDFAD15">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Ⅲ</w:t>
                  </w:r>
                </w:p>
              </w:tc>
            </w:tr>
            <w:tr w14:paraId="6A22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10096371">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891" w:type="dxa"/>
                  <w:noWrap w:val="0"/>
                  <w:vAlign w:val="center"/>
                </w:tcPr>
                <w:p w14:paraId="43E0F1FA">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硫酸镍</w:t>
                  </w:r>
                </w:p>
              </w:tc>
              <w:tc>
                <w:tcPr>
                  <w:tcW w:w="3856" w:type="dxa"/>
                  <w:noWrap w:val="0"/>
                  <w:vAlign w:val="center"/>
                </w:tcPr>
                <w:p w14:paraId="01AF3B4C">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皮肤腐蚀/刺激</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类别2</w:t>
                  </w:r>
                </w:p>
                <w:p w14:paraId="0F8082FB">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呼吸道致敏物</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w:t>
                  </w:r>
                </w:p>
                <w:p w14:paraId="57AC8BCE">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皮肤致敏物</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w:t>
                  </w:r>
                </w:p>
                <w:p w14:paraId="6D75F035">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生殖细胞致突变性</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类别2</w:t>
                  </w:r>
                </w:p>
                <w:p w14:paraId="3A3D4153">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致癌性</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类别1A</w:t>
                  </w:r>
                </w:p>
                <w:p w14:paraId="25E16B1A">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生殖毒性</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类别1B</w:t>
                  </w:r>
                </w:p>
                <w:p w14:paraId="157EFC87">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特异性靶器官毒性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反复接触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w:t>
                  </w:r>
                </w:p>
                <w:p w14:paraId="27899709">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危害水生环境</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急性危害</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w:t>
                  </w:r>
                </w:p>
                <w:p w14:paraId="0AB17C14">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危害水生环境</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长期危害</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w:t>
                  </w:r>
                </w:p>
              </w:tc>
              <w:tc>
                <w:tcPr>
                  <w:tcW w:w="1090" w:type="dxa"/>
                  <w:noWrap w:val="0"/>
                  <w:vAlign w:val="center"/>
                </w:tcPr>
                <w:p w14:paraId="3AA736AF">
                  <w:pPr>
                    <w:ind w:right="-96"/>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642A7D53">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Ⅳ</w:t>
                  </w:r>
                </w:p>
              </w:tc>
            </w:tr>
            <w:tr w14:paraId="52B4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1FDA25B6">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1891" w:type="dxa"/>
                  <w:noWrap w:val="0"/>
                  <w:vAlign w:val="center"/>
                </w:tcPr>
                <w:p w14:paraId="21A2B1DC">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氟硅酸镁</w:t>
                  </w:r>
                </w:p>
              </w:tc>
              <w:tc>
                <w:tcPr>
                  <w:tcW w:w="3856" w:type="dxa"/>
                  <w:noWrap w:val="0"/>
                  <w:vAlign w:val="center"/>
                </w:tcPr>
                <w:p w14:paraId="1833B0FF">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一经</w:t>
                  </w:r>
                  <w:r>
                    <w:rPr>
                      <w:rFonts w:hint="default" w:ascii="Times New Roman" w:hAnsi="Times New Roman" w:eastAsia="宋体" w:cs="Times New Roman"/>
                      <w:color w:val="auto"/>
                      <w:sz w:val="21"/>
                      <w:szCs w:val="21"/>
                      <w:lang w:val="en-US" w:eastAsia="zh-CN"/>
                    </w:rPr>
                    <w:t>口</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w:t>
                  </w:r>
                </w:p>
              </w:tc>
              <w:tc>
                <w:tcPr>
                  <w:tcW w:w="1090" w:type="dxa"/>
                  <w:noWrap w:val="0"/>
                  <w:vAlign w:val="center"/>
                </w:tcPr>
                <w:p w14:paraId="7CAE8746">
                  <w:pPr>
                    <w:ind w:right="-96"/>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07B3293E">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Ⅳ</w:t>
                  </w:r>
                </w:p>
              </w:tc>
            </w:tr>
            <w:tr w14:paraId="7B37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00643CBB">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1891" w:type="dxa"/>
                  <w:noWrap w:val="0"/>
                  <w:vAlign w:val="center"/>
                </w:tcPr>
                <w:p w14:paraId="396E6D59">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氟化钠</w:t>
                  </w:r>
                </w:p>
              </w:tc>
              <w:tc>
                <w:tcPr>
                  <w:tcW w:w="3856" w:type="dxa"/>
                  <w:noWrap w:val="0"/>
                  <w:vAlign w:val="center"/>
                </w:tcPr>
                <w:p w14:paraId="6B75BB00">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一经</w:t>
                  </w:r>
                  <w:r>
                    <w:rPr>
                      <w:rFonts w:hint="default" w:ascii="Times New Roman" w:hAnsi="Times New Roman" w:eastAsia="宋体" w:cs="Times New Roman"/>
                      <w:color w:val="auto"/>
                      <w:sz w:val="21"/>
                      <w:szCs w:val="21"/>
                      <w:lang w:val="en-US" w:eastAsia="zh-CN"/>
                    </w:rPr>
                    <w:t>口</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w:t>
                  </w:r>
                </w:p>
                <w:p w14:paraId="178A2551">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皮肤腐蚀/刺激</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类别2</w:t>
                  </w:r>
                </w:p>
                <w:p w14:paraId="0AFBFA65">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严重眼损伤/眼刺激</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类别2</w:t>
                  </w:r>
                </w:p>
              </w:tc>
              <w:tc>
                <w:tcPr>
                  <w:tcW w:w="1090" w:type="dxa"/>
                  <w:noWrap w:val="0"/>
                  <w:vAlign w:val="center"/>
                </w:tcPr>
                <w:p w14:paraId="041ECE4D">
                  <w:pPr>
                    <w:ind w:right="-96"/>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4144EB3C">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Ⅱ</w:t>
                  </w:r>
                </w:p>
              </w:tc>
            </w:tr>
            <w:tr w14:paraId="2811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73C5882E">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891" w:type="dxa"/>
                  <w:noWrap w:val="0"/>
                  <w:vAlign w:val="center"/>
                </w:tcPr>
                <w:p w14:paraId="7C50DA77">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氟化锌</w:t>
                  </w:r>
                </w:p>
              </w:tc>
              <w:tc>
                <w:tcPr>
                  <w:tcW w:w="3856" w:type="dxa"/>
                  <w:noWrap w:val="0"/>
                  <w:vAlign w:val="center"/>
                </w:tcPr>
                <w:p w14:paraId="6F356CAB">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严重眼损伤/眼刺激</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类别2B</w:t>
                  </w:r>
                </w:p>
                <w:p w14:paraId="67D2F3FD">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特异性靶器官毒性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一次接触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类别3（呼吸道刺激）</w:t>
                  </w:r>
                </w:p>
                <w:p w14:paraId="0C35CD71">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特异性靶器官毒性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反复接触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w:t>
                  </w:r>
                </w:p>
                <w:p w14:paraId="32F316E4">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危害水生环境</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急性危害</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w:t>
                  </w:r>
                </w:p>
                <w:p w14:paraId="08407628">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危害水生环境</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长期危害</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w:t>
                  </w:r>
                </w:p>
              </w:tc>
              <w:tc>
                <w:tcPr>
                  <w:tcW w:w="1090" w:type="dxa"/>
                  <w:noWrap w:val="0"/>
                  <w:vAlign w:val="center"/>
                </w:tcPr>
                <w:p w14:paraId="55CDEC34">
                  <w:pPr>
                    <w:ind w:right="-96"/>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6D04C7A1">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4889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558B36BF">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1891" w:type="dxa"/>
                  <w:noWrap w:val="0"/>
                  <w:vAlign w:val="center"/>
                </w:tcPr>
                <w:p w14:paraId="1584DE8F">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氟化钡</w:t>
                  </w:r>
                </w:p>
              </w:tc>
              <w:tc>
                <w:tcPr>
                  <w:tcW w:w="3856" w:type="dxa"/>
                  <w:noWrap w:val="0"/>
                  <w:vAlign w:val="center"/>
                </w:tcPr>
                <w:p w14:paraId="2189407D">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一经</w:t>
                  </w:r>
                  <w:r>
                    <w:rPr>
                      <w:rFonts w:hint="default" w:ascii="Times New Roman" w:hAnsi="Times New Roman" w:eastAsia="宋体" w:cs="Times New Roman"/>
                      <w:color w:val="auto"/>
                      <w:sz w:val="21"/>
                      <w:szCs w:val="21"/>
                      <w:lang w:val="en-US" w:eastAsia="zh-CN"/>
                    </w:rPr>
                    <w:t>口</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w:t>
                  </w:r>
                </w:p>
                <w:p w14:paraId="24F2BF22">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严重眼损伤/眼刺激</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类别2</w:t>
                  </w:r>
                </w:p>
                <w:p w14:paraId="4D4AFBE8">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生殖毒性</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类别2</w:t>
                  </w:r>
                </w:p>
                <w:p w14:paraId="4305D57B">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特异性靶器官毒性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一次接触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类别3（呼吸道刺激）</w:t>
                  </w:r>
                </w:p>
                <w:p w14:paraId="7F7C93F9">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特异性靶器官毒性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反复接触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w:t>
                  </w:r>
                </w:p>
              </w:tc>
              <w:tc>
                <w:tcPr>
                  <w:tcW w:w="1090" w:type="dxa"/>
                  <w:noWrap w:val="0"/>
                  <w:vAlign w:val="center"/>
                </w:tcPr>
                <w:p w14:paraId="4F39B120">
                  <w:pPr>
                    <w:ind w:right="-96"/>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35EB5302">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925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2CB6F24E">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891" w:type="dxa"/>
                  <w:noWrap w:val="0"/>
                  <w:vAlign w:val="center"/>
                </w:tcPr>
                <w:p w14:paraId="305782F2">
                  <w:pPr>
                    <w:ind w:right="-96"/>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氟硅酸锌</w:t>
                  </w:r>
                </w:p>
              </w:tc>
              <w:tc>
                <w:tcPr>
                  <w:tcW w:w="3856" w:type="dxa"/>
                  <w:noWrap w:val="0"/>
                  <w:vAlign w:val="center"/>
                </w:tcPr>
                <w:p w14:paraId="28C39703">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一经</w:t>
                  </w:r>
                  <w:r>
                    <w:rPr>
                      <w:rFonts w:hint="default" w:ascii="Times New Roman" w:hAnsi="Times New Roman" w:eastAsia="宋体" w:cs="Times New Roman"/>
                      <w:color w:val="auto"/>
                      <w:sz w:val="21"/>
                      <w:szCs w:val="21"/>
                      <w:lang w:val="en-US" w:eastAsia="zh-CN"/>
                    </w:rPr>
                    <w:t>口</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w:t>
                  </w:r>
                </w:p>
                <w:p w14:paraId="606C4F37">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严重眼损伤/眼刺激</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类别2</w:t>
                  </w:r>
                </w:p>
                <w:p w14:paraId="7CEEC760">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特异性靶器官毒性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一次接触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类别3（呼吸道刺激）</w:t>
                  </w:r>
                </w:p>
                <w:p w14:paraId="7F9F1983">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特异性靶器官毒性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反复接触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w:t>
                  </w:r>
                </w:p>
              </w:tc>
              <w:tc>
                <w:tcPr>
                  <w:tcW w:w="1090" w:type="dxa"/>
                  <w:noWrap w:val="0"/>
                  <w:vAlign w:val="center"/>
                </w:tcPr>
                <w:p w14:paraId="2A881297">
                  <w:pPr>
                    <w:ind w:right="-96"/>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0C62BEF2">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E99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397F13ED">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1891" w:type="dxa"/>
                  <w:noWrap w:val="0"/>
                  <w:vAlign w:val="center"/>
                </w:tcPr>
                <w:p w14:paraId="1AD9D5E4">
                  <w:pPr>
                    <w:ind w:right="-96"/>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石棉（含：阳起石石</w:t>
                  </w:r>
                </w:p>
                <w:p w14:paraId="61E44C60">
                  <w:pPr>
                    <w:ind w:right="-96"/>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棉、铁石棉、透闪石石棉、直闪石石棉、青石棉）</w:t>
                  </w:r>
                </w:p>
              </w:tc>
              <w:tc>
                <w:tcPr>
                  <w:tcW w:w="3856" w:type="dxa"/>
                  <w:noWrap w:val="0"/>
                  <w:vAlign w:val="center"/>
                </w:tcPr>
                <w:p w14:paraId="64972C20">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生殖细胞致突变性</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类别2</w:t>
                  </w:r>
                </w:p>
                <w:p w14:paraId="301159D7">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致癌性</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类别1A</w:t>
                  </w:r>
                </w:p>
                <w:p w14:paraId="2A91D141">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特异性靶器官毒性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反复接触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w:t>
                  </w:r>
                </w:p>
              </w:tc>
              <w:tc>
                <w:tcPr>
                  <w:tcW w:w="1090" w:type="dxa"/>
                  <w:noWrap w:val="0"/>
                  <w:vAlign w:val="center"/>
                </w:tcPr>
                <w:p w14:paraId="5D5D9137">
                  <w:pPr>
                    <w:ind w:right="-96"/>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779B93FF">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6FC4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7CC5BBAA">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1891" w:type="dxa"/>
                  <w:noWrap w:val="0"/>
                  <w:vAlign w:val="center"/>
                </w:tcPr>
                <w:p w14:paraId="0FF19462">
                  <w:pPr>
                    <w:ind w:right="-96"/>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氟硅酸钾</w:t>
                  </w:r>
                </w:p>
              </w:tc>
              <w:tc>
                <w:tcPr>
                  <w:tcW w:w="3856" w:type="dxa"/>
                  <w:noWrap w:val="0"/>
                  <w:vAlign w:val="center"/>
                </w:tcPr>
                <w:p w14:paraId="6E9D0782">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一经</w:t>
                  </w:r>
                  <w:r>
                    <w:rPr>
                      <w:rFonts w:hint="default" w:ascii="Times New Roman" w:hAnsi="Times New Roman" w:eastAsia="宋体" w:cs="Times New Roman"/>
                      <w:color w:val="auto"/>
                      <w:sz w:val="21"/>
                      <w:szCs w:val="21"/>
                      <w:lang w:val="en-US" w:eastAsia="zh-CN"/>
                    </w:rPr>
                    <w:t>口</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w:t>
                  </w:r>
                </w:p>
                <w:p w14:paraId="7EAF37F2">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一经</w:t>
                  </w:r>
                  <w:r>
                    <w:rPr>
                      <w:rFonts w:hint="default" w:ascii="Times New Roman" w:hAnsi="Times New Roman" w:eastAsia="宋体" w:cs="Times New Roman"/>
                      <w:color w:val="auto"/>
                      <w:sz w:val="21"/>
                      <w:szCs w:val="21"/>
                      <w:lang w:val="en-US" w:eastAsia="zh-CN"/>
                    </w:rPr>
                    <w:t>皮</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w:t>
                  </w:r>
                </w:p>
              </w:tc>
              <w:tc>
                <w:tcPr>
                  <w:tcW w:w="1090" w:type="dxa"/>
                  <w:noWrap w:val="0"/>
                  <w:vAlign w:val="center"/>
                </w:tcPr>
                <w:p w14:paraId="491EC863">
                  <w:pPr>
                    <w:ind w:right="-96"/>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57224099">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24C4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539311FC">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891" w:type="dxa"/>
                  <w:noWrap w:val="0"/>
                  <w:vAlign w:val="center"/>
                </w:tcPr>
                <w:p w14:paraId="55FD3CCD">
                  <w:pPr>
                    <w:ind w:right="-96"/>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氟化铵</w:t>
                  </w:r>
                </w:p>
              </w:tc>
              <w:tc>
                <w:tcPr>
                  <w:tcW w:w="3856" w:type="dxa"/>
                  <w:noWrap w:val="0"/>
                  <w:vAlign w:val="center"/>
                </w:tcPr>
                <w:p w14:paraId="1F021AB3">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一经</w:t>
                  </w:r>
                  <w:r>
                    <w:rPr>
                      <w:rFonts w:hint="default" w:ascii="Times New Roman" w:hAnsi="Times New Roman" w:eastAsia="宋体" w:cs="Times New Roman"/>
                      <w:color w:val="auto"/>
                      <w:sz w:val="21"/>
                      <w:szCs w:val="21"/>
                      <w:lang w:val="en-US" w:eastAsia="zh-CN"/>
                    </w:rPr>
                    <w:t>口</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w:t>
                  </w:r>
                </w:p>
                <w:p w14:paraId="32AB967F">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一经</w:t>
                  </w:r>
                  <w:r>
                    <w:rPr>
                      <w:rFonts w:hint="default" w:ascii="Times New Roman" w:hAnsi="Times New Roman" w:eastAsia="宋体" w:cs="Times New Roman"/>
                      <w:color w:val="auto"/>
                      <w:sz w:val="21"/>
                      <w:szCs w:val="21"/>
                      <w:lang w:val="en-US" w:eastAsia="zh-CN"/>
                    </w:rPr>
                    <w:t>皮</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w:t>
                  </w:r>
                </w:p>
                <w:p w14:paraId="1BC30A36">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吸入</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w:t>
                  </w:r>
                </w:p>
              </w:tc>
              <w:tc>
                <w:tcPr>
                  <w:tcW w:w="1090" w:type="dxa"/>
                  <w:noWrap w:val="0"/>
                  <w:vAlign w:val="center"/>
                </w:tcPr>
                <w:p w14:paraId="3E90BCC8">
                  <w:pPr>
                    <w:ind w:right="-96"/>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4151E5C5">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Ⅱ</w:t>
                  </w:r>
                </w:p>
              </w:tc>
            </w:tr>
            <w:tr w14:paraId="7E00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00E354DA">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1891" w:type="dxa"/>
                  <w:noWrap w:val="0"/>
                  <w:vAlign w:val="center"/>
                </w:tcPr>
                <w:p w14:paraId="3930623C">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氟化钾</w:t>
                  </w:r>
                </w:p>
              </w:tc>
              <w:tc>
                <w:tcPr>
                  <w:tcW w:w="3856" w:type="dxa"/>
                  <w:noWrap w:val="0"/>
                  <w:vAlign w:val="center"/>
                </w:tcPr>
                <w:p w14:paraId="220F643F">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一经</w:t>
                  </w:r>
                  <w:r>
                    <w:rPr>
                      <w:rFonts w:hint="default" w:ascii="Times New Roman" w:hAnsi="Times New Roman" w:eastAsia="宋体" w:cs="Times New Roman"/>
                      <w:color w:val="auto"/>
                      <w:sz w:val="21"/>
                      <w:szCs w:val="21"/>
                      <w:lang w:val="en-US" w:eastAsia="zh-CN"/>
                    </w:rPr>
                    <w:t>口</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w:t>
                  </w:r>
                </w:p>
                <w:p w14:paraId="40324DFF">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一经</w:t>
                  </w:r>
                  <w:r>
                    <w:rPr>
                      <w:rFonts w:hint="default" w:ascii="Times New Roman" w:hAnsi="Times New Roman" w:eastAsia="宋体" w:cs="Times New Roman"/>
                      <w:color w:val="auto"/>
                      <w:sz w:val="21"/>
                      <w:szCs w:val="21"/>
                      <w:lang w:val="en-US" w:eastAsia="zh-CN"/>
                    </w:rPr>
                    <w:t>皮</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w:t>
                  </w:r>
                </w:p>
                <w:p w14:paraId="35362663">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急性毒性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吸入</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类别3</w:t>
                  </w:r>
                </w:p>
                <w:p w14:paraId="50E4DE10">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危害水生环境</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急性危害</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类别2</w:t>
                  </w:r>
                </w:p>
              </w:tc>
              <w:tc>
                <w:tcPr>
                  <w:tcW w:w="1090" w:type="dxa"/>
                  <w:noWrap w:val="0"/>
                  <w:vAlign w:val="center"/>
                </w:tcPr>
                <w:p w14:paraId="793029CE">
                  <w:pPr>
                    <w:ind w:right="-96"/>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78BDC635">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Ⅱ</w:t>
                  </w:r>
                </w:p>
              </w:tc>
            </w:tr>
            <w:tr w14:paraId="3432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408BB324">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1891" w:type="dxa"/>
                  <w:noWrap w:val="0"/>
                  <w:vAlign w:val="center"/>
                </w:tcPr>
                <w:p w14:paraId="71C33AB3">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氢氧化锂溶液</w:t>
                  </w:r>
                </w:p>
              </w:tc>
              <w:tc>
                <w:tcPr>
                  <w:tcW w:w="3856" w:type="dxa"/>
                  <w:noWrap w:val="0"/>
                  <w:vAlign w:val="center"/>
                </w:tcPr>
                <w:p w14:paraId="2CF1ACFA">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皮肤腐蚀/刺激</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类别1A</w:t>
                  </w:r>
                </w:p>
                <w:p w14:paraId="30C63C2D">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严重眼损伤/眼刺激</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w:t>
                  </w:r>
                </w:p>
              </w:tc>
              <w:tc>
                <w:tcPr>
                  <w:tcW w:w="1090" w:type="dxa"/>
                  <w:noWrap w:val="0"/>
                  <w:vAlign w:val="center"/>
                </w:tcPr>
                <w:p w14:paraId="54151C02">
                  <w:pPr>
                    <w:ind w:right="-96"/>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7A152829">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Ⅳ</w:t>
                  </w:r>
                </w:p>
              </w:tc>
            </w:tr>
            <w:tr w14:paraId="17DF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2871572A">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1891" w:type="dxa"/>
                  <w:noWrap w:val="0"/>
                  <w:vAlign w:val="center"/>
                </w:tcPr>
                <w:p w14:paraId="49E6F873">
                  <w:pPr>
                    <w:ind w:right="-96"/>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氢氧化钠溶液（含量≥30%）</w:t>
                  </w:r>
                </w:p>
              </w:tc>
              <w:tc>
                <w:tcPr>
                  <w:tcW w:w="3856" w:type="dxa"/>
                  <w:noWrap w:val="0"/>
                  <w:vAlign w:val="center"/>
                </w:tcPr>
                <w:p w14:paraId="60AE108A">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皮肤腐蚀/刺激</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类别1A</w:t>
                  </w:r>
                </w:p>
                <w:p w14:paraId="6A9D046F">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严重眼损伤/眼刺激</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类别1</w:t>
                  </w:r>
                </w:p>
              </w:tc>
              <w:tc>
                <w:tcPr>
                  <w:tcW w:w="1090" w:type="dxa"/>
                  <w:noWrap w:val="0"/>
                  <w:vAlign w:val="center"/>
                </w:tcPr>
                <w:p w14:paraId="36A09104">
                  <w:pPr>
                    <w:ind w:right="-96"/>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5EF0E389">
                  <w:pPr>
                    <w:ind w:right="-96"/>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Ⅳ</w:t>
                  </w:r>
                </w:p>
              </w:tc>
            </w:tr>
            <w:tr w14:paraId="31DB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dxa"/>
                  <w:noWrap w:val="0"/>
                  <w:vAlign w:val="center"/>
                </w:tcPr>
                <w:p w14:paraId="214ED4CD">
                  <w:pPr>
                    <w:ind w:right="-96"/>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1891" w:type="dxa"/>
                  <w:noWrap w:val="0"/>
                  <w:vAlign w:val="center"/>
                </w:tcPr>
                <w:p w14:paraId="702CA934">
                  <w:pPr>
                    <w:ind w:right="-96"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磷酸、食品磷酸</w:t>
                  </w:r>
                </w:p>
              </w:tc>
              <w:tc>
                <w:tcPr>
                  <w:tcW w:w="3856" w:type="dxa"/>
                  <w:noWrap w:val="0"/>
                  <w:vAlign w:val="center"/>
                </w:tcPr>
                <w:p w14:paraId="20CC02EC">
                  <w:pPr>
                    <w:ind w:right="-96"/>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皮肤腐蚀/刺激</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类别1B</w:t>
                  </w:r>
                </w:p>
                <w:p w14:paraId="234813B8">
                  <w:pPr>
                    <w:ind w:right="-96" w:right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严重眼损伤/眼刺激</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类别1</w:t>
                  </w:r>
                </w:p>
              </w:tc>
              <w:tc>
                <w:tcPr>
                  <w:tcW w:w="1090" w:type="dxa"/>
                  <w:noWrap w:val="0"/>
                  <w:vAlign w:val="center"/>
                </w:tcPr>
                <w:p w14:paraId="0F78D117">
                  <w:pPr>
                    <w:ind w:right="-96" w:rightChars="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无意义</w:t>
                  </w:r>
                </w:p>
              </w:tc>
              <w:tc>
                <w:tcPr>
                  <w:tcW w:w="960" w:type="dxa"/>
                  <w:noWrap w:val="0"/>
                  <w:vAlign w:val="center"/>
                </w:tcPr>
                <w:p w14:paraId="37B376BD">
                  <w:pPr>
                    <w:ind w:right="-96"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Ⅳ</w:t>
                  </w:r>
                </w:p>
              </w:tc>
            </w:tr>
          </w:tbl>
          <w:p w14:paraId="6F7FB070">
            <w:pPr>
              <w:pStyle w:val="6"/>
              <w:spacing w:line="500" w:lineRule="exact"/>
              <w:ind w:firstLine="48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6、改扩建项目涉及重点监管的危险化学品情况</w:t>
            </w:r>
          </w:p>
          <w:p w14:paraId="12330F1D">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⑴重点监管危险化学品</w:t>
            </w:r>
          </w:p>
          <w:p w14:paraId="120427AF">
            <w:pPr>
              <w:pStyle w:val="6"/>
              <w:spacing w:line="500" w:lineRule="exact"/>
              <w:ind w:firstLine="480"/>
              <w:rPr>
                <w:rFonts w:hint="eastAsia" w:ascii="Times New Roman" w:hAnsi="Times New Roman" w:eastAsia="宋体" w:cs="Times New Roman"/>
                <w:color w:val="FF0000"/>
                <w:kern w:val="0"/>
                <w:sz w:val="24"/>
                <w:lang w:val="en-US" w:eastAsia="zh-CN"/>
              </w:rPr>
            </w:pPr>
            <w:r>
              <w:rPr>
                <w:rFonts w:hint="eastAsia" w:ascii="Times New Roman" w:hAnsi="Times New Roman" w:eastAsia="宋体" w:cs="Times New Roman"/>
                <w:kern w:val="0"/>
                <w:sz w:val="24"/>
                <w:lang w:val="en-US" w:eastAsia="zh-CN"/>
              </w:rPr>
              <w:t>根据原国家安全生产监督管理总局《首批重点监管的危险化学品名录》（安监总管三〔2011〕95号）和《关于公布第二批重点监管危险化学品名录的通知》（安监总管三〔2013〕12号）的规定，本项目不</w:t>
            </w:r>
            <w:r>
              <w:rPr>
                <w:rFonts w:hint="eastAsia" w:ascii="Times New Roman" w:hAnsi="Times New Roman" w:eastAsia="宋体" w:cs="Times New Roman"/>
                <w:color w:val="auto"/>
                <w:kern w:val="0"/>
                <w:sz w:val="24"/>
                <w:lang w:val="en-US" w:eastAsia="zh-CN"/>
              </w:rPr>
              <w:t>涉及</w:t>
            </w:r>
            <w:r>
              <w:rPr>
                <w:rFonts w:hint="eastAsia" w:ascii="Times New Roman" w:hAnsi="Times New Roman" w:eastAsia="宋体" w:cs="Times New Roman"/>
                <w:kern w:val="0"/>
                <w:sz w:val="24"/>
                <w:lang w:val="en-US" w:eastAsia="zh-CN"/>
              </w:rPr>
              <w:t>重点监管危险化学品</w:t>
            </w:r>
            <w:r>
              <w:rPr>
                <w:rFonts w:hint="eastAsia" w:ascii="Times New Roman" w:hAnsi="Times New Roman" w:eastAsia="宋体" w:cs="Times New Roman"/>
                <w:color w:val="000000"/>
                <w:kern w:val="0"/>
                <w:sz w:val="24"/>
                <w:lang w:val="en-US" w:eastAsia="zh-CN"/>
              </w:rPr>
              <w:t>。</w:t>
            </w:r>
          </w:p>
          <w:p w14:paraId="5085FF4D">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⑵易制毒化学品</w:t>
            </w:r>
          </w:p>
          <w:p w14:paraId="47C81206">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根据《易制毒化学品管理条例》（中华</w:t>
            </w:r>
            <w:r>
              <w:rPr>
                <w:rFonts w:hint="eastAsia" w:cs="Times New Roman"/>
                <w:kern w:val="0"/>
                <w:sz w:val="24"/>
                <w:lang w:val="en-US" w:eastAsia="zh-CN"/>
              </w:rPr>
              <w:t>人民共和国国务院</w:t>
            </w:r>
            <w:r>
              <w:rPr>
                <w:rFonts w:hint="eastAsia" w:ascii="Times New Roman" w:hAnsi="Times New Roman" w:eastAsia="宋体" w:cs="Times New Roman"/>
                <w:kern w:val="0"/>
                <w:sz w:val="24"/>
                <w:lang w:val="en-US" w:eastAsia="zh-CN"/>
              </w:rPr>
              <w:t>令第445号，根据2018年9月18日《国务院关于修改部分行政法规的决定》第三次修订）、《关于将4-苯胺基-N-苯乙基哌啶、N-苯乙基-4-哌啶酮、N-甲基-1-苯基-1-氯-2-丙胺、溴素、1-苯基-1-丙酮5种物质列入易制毒化学品管理的公告》（公安部、商务部、卫生计生委、海关总署、国家安全监管总局、国家食品药品监管总局2017年12月22日发布，自2018年2月1日起施行）、《关于将3-氧-2-苯基丁酸甲酯、3-氧-2-苯基丁酰胺、2-甲基-3-[3，4-</w:t>
            </w:r>
            <w:r>
              <w:rPr>
                <w:rFonts w:hint="eastAsia" w:cs="Times New Roman"/>
                <w:kern w:val="0"/>
                <w:sz w:val="24"/>
                <w:lang w:val="en-US" w:eastAsia="zh-CN"/>
              </w:rPr>
              <w:t>（</w:t>
            </w:r>
            <w:r>
              <w:rPr>
                <w:rFonts w:hint="eastAsia" w:ascii="Times New Roman" w:hAnsi="Times New Roman" w:eastAsia="宋体" w:cs="Times New Roman"/>
                <w:kern w:val="0"/>
                <w:sz w:val="24"/>
                <w:lang w:val="en-US" w:eastAsia="zh-CN"/>
              </w:rPr>
              <w:t>亚甲二氧基</w:t>
            </w:r>
            <w:r>
              <w:rPr>
                <w:rFonts w:hint="eastAsia" w:cs="Times New Roman"/>
                <w:kern w:val="0"/>
                <w:sz w:val="24"/>
                <w:lang w:val="en-US" w:eastAsia="zh-CN"/>
              </w:rPr>
              <w:t>）</w:t>
            </w:r>
            <w:r>
              <w:rPr>
                <w:rFonts w:hint="eastAsia" w:ascii="Times New Roman" w:hAnsi="Times New Roman" w:eastAsia="宋体" w:cs="Times New Roman"/>
                <w:kern w:val="0"/>
                <w:sz w:val="24"/>
                <w:lang w:val="en-US" w:eastAsia="zh-CN"/>
              </w:rPr>
              <w:t>苯基]缩水甘油酸、2-甲基-3-[3，4-</w:t>
            </w:r>
            <w:r>
              <w:rPr>
                <w:rFonts w:hint="eastAsia" w:cs="Times New Roman"/>
                <w:kern w:val="0"/>
                <w:sz w:val="24"/>
                <w:lang w:val="en-US" w:eastAsia="zh-CN"/>
              </w:rPr>
              <w:t>（</w:t>
            </w:r>
            <w:r>
              <w:rPr>
                <w:rFonts w:hint="eastAsia" w:ascii="Times New Roman" w:hAnsi="Times New Roman" w:eastAsia="宋体" w:cs="Times New Roman"/>
                <w:kern w:val="0"/>
                <w:sz w:val="24"/>
                <w:lang w:val="en-US" w:eastAsia="zh-CN"/>
              </w:rPr>
              <w:t>亚甲二氧基</w:t>
            </w:r>
            <w:r>
              <w:rPr>
                <w:rFonts w:hint="eastAsia" w:cs="Times New Roman"/>
                <w:kern w:val="0"/>
                <w:sz w:val="24"/>
                <w:lang w:val="en-US" w:eastAsia="zh-CN"/>
              </w:rPr>
              <w:t>）</w:t>
            </w:r>
            <w:r>
              <w:rPr>
                <w:rFonts w:hint="eastAsia" w:ascii="Times New Roman" w:hAnsi="Times New Roman" w:eastAsia="宋体" w:cs="Times New Roman"/>
                <w:kern w:val="0"/>
                <w:sz w:val="24"/>
                <w:lang w:val="en-US" w:eastAsia="zh-CN"/>
              </w:rPr>
              <w:t>苯基]缩水甘油酸甲酯、苯乙腈和γ-丁内酯6种物质列入易制毒化学品管理的公告》（公安部、商务部、国家卫生健康委员会、应急管理部、海关总署、国家药品</w:t>
            </w:r>
            <w:r>
              <w:rPr>
                <w:rFonts w:hint="eastAsia" w:ascii="Times New Roman" w:hAnsi="Times New Roman" w:eastAsia="宋体" w:cs="Times New Roman"/>
                <w:kern w:val="0"/>
                <w:sz w:val="24"/>
                <w:highlight w:val="none"/>
                <w:lang w:val="en-US" w:eastAsia="zh-CN"/>
              </w:rPr>
              <w:t>监督管理局</w:t>
            </w:r>
            <w:r>
              <w:rPr>
                <w:rFonts w:hint="eastAsia" w:ascii="Times New Roman" w:hAnsi="Times New Roman" w:eastAsia="宋体" w:cs="Times New Roman"/>
                <w:kern w:val="0"/>
                <w:sz w:val="24"/>
                <w:lang w:val="en-US" w:eastAsia="zh-CN"/>
              </w:rPr>
              <w:t>2021年8月16日发布，自2021年9月20日起施行）等的相关规定，本项</w:t>
            </w:r>
            <w:r>
              <w:rPr>
                <w:rFonts w:hint="eastAsia" w:ascii="Times New Roman" w:hAnsi="Times New Roman" w:eastAsia="宋体" w:cs="Times New Roman"/>
                <w:color w:val="auto"/>
                <w:kern w:val="0"/>
                <w:sz w:val="24"/>
                <w:lang w:val="en-US" w:eastAsia="zh-CN"/>
              </w:rPr>
              <w:t>目盐酸涉</w:t>
            </w:r>
            <w:r>
              <w:rPr>
                <w:rFonts w:hint="eastAsia" w:ascii="Times New Roman" w:hAnsi="Times New Roman" w:eastAsia="宋体" w:cs="Times New Roman"/>
                <w:kern w:val="0"/>
                <w:sz w:val="24"/>
                <w:lang w:val="en-US" w:eastAsia="zh-CN"/>
              </w:rPr>
              <w:t>及易制毒化学品。</w:t>
            </w:r>
          </w:p>
          <w:p w14:paraId="6DB5040B">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⑶剧毒品</w:t>
            </w:r>
          </w:p>
          <w:p w14:paraId="65C76076">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根据《危险化学品目录》（2022调整版）规定，本项目不涉及剧毒化学品。</w:t>
            </w:r>
          </w:p>
          <w:p w14:paraId="1C2B6549">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⑷高毒物品</w:t>
            </w:r>
          </w:p>
          <w:p w14:paraId="5D8DC7DF">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根据《高毒物品目录》（2003年版），本项目氟及其化合物、石棉涉及高毒品。</w:t>
            </w:r>
          </w:p>
          <w:p w14:paraId="7C498F2F">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⑸易制爆化学品</w:t>
            </w:r>
          </w:p>
          <w:p w14:paraId="487F8975">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根据《易制爆危险化学品名录》（2017年版）的规定，本项目不涉及易制爆危险化学品。</w:t>
            </w:r>
          </w:p>
          <w:p w14:paraId="60A8D6DF">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⑹监控化学品</w:t>
            </w:r>
          </w:p>
          <w:p w14:paraId="256C1843">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根据《各类监控化学品名录</w:t>
            </w:r>
            <w:r>
              <w:rPr>
                <w:rFonts w:hint="eastAsia" w:cs="Times New Roman"/>
                <w:kern w:val="0"/>
                <w:sz w:val="24"/>
                <w:lang w:val="en-US" w:eastAsia="zh-CN"/>
              </w:rPr>
              <w:t>》《</w:t>
            </w:r>
            <w:r>
              <w:rPr>
                <w:rFonts w:hint="eastAsia" w:ascii="Times New Roman" w:hAnsi="Times New Roman" w:eastAsia="宋体" w:cs="Times New Roman"/>
                <w:kern w:val="0"/>
                <w:sz w:val="24"/>
                <w:lang w:val="en-US" w:eastAsia="zh-CN"/>
              </w:rPr>
              <w:t>列入第三类监控化学品的新增品种清单》辨识，本项目未涉及</w:t>
            </w:r>
            <w:r>
              <w:rPr>
                <w:rFonts w:hint="eastAsia" w:ascii="Times New Roman" w:hAnsi="Times New Roman" w:eastAsia="宋体" w:cs="Times New Roman"/>
                <w:kern w:val="0"/>
                <w:sz w:val="24"/>
                <w:highlight w:val="none"/>
                <w:lang w:val="en-US" w:eastAsia="zh-CN"/>
              </w:rPr>
              <w:t>第一、</w:t>
            </w:r>
            <w:r>
              <w:rPr>
                <w:rFonts w:hint="eastAsia" w:ascii="Times New Roman" w:hAnsi="Times New Roman" w:eastAsia="宋体" w:cs="Times New Roman"/>
                <w:kern w:val="0"/>
                <w:sz w:val="24"/>
                <w:lang w:val="en-US" w:eastAsia="zh-CN"/>
              </w:rPr>
              <w:t>二、三类监控危险化学品。</w:t>
            </w:r>
          </w:p>
          <w:p w14:paraId="22594437">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⑺特别管控危险化学品</w:t>
            </w:r>
          </w:p>
          <w:p w14:paraId="001F0784">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根据《特别管控危险化学品目录》（第一版）（应急管理部、工业和信息化部、公安部、交通运输部公告2020年第3号）的规定，本项目不涉及特别管控危险化学品。</w:t>
            </w:r>
          </w:p>
          <w:p w14:paraId="6ADB91B3">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7、工作制度和劳动定员</w:t>
            </w:r>
          </w:p>
          <w:p w14:paraId="5DA31040">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改扩建项目依托现有工程工作人员，均为持证上岗；员工不在厂内食宿，每天工作8h，年工作360d；值守人员设三班，每班1人，每班8h，设监控设施24小时记录。</w:t>
            </w:r>
          </w:p>
          <w:p w14:paraId="0429CBBF">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8、总平面布置</w:t>
            </w:r>
          </w:p>
          <w:p w14:paraId="53FA5A64">
            <w:pPr>
              <w:pStyle w:val="6"/>
              <w:spacing w:line="500" w:lineRule="exact"/>
              <w:ind w:firstLine="480"/>
              <w:rPr>
                <w:rFonts w:hint="default" w:ascii="Times New Roman" w:hAnsi="Times New Roman" w:eastAsia="宋体" w:cs="Times New Roman"/>
                <w:color w:val="auto"/>
                <w:kern w:val="0"/>
                <w:sz w:val="24"/>
                <w:u w:val="single"/>
                <w:lang w:val="en-US" w:eastAsia="zh-CN"/>
              </w:rPr>
            </w:pPr>
            <w:r>
              <w:rPr>
                <w:rFonts w:hint="eastAsia" w:cs="Times New Roman"/>
                <w:color w:val="auto"/>
                <w:kern w:val="0"/>
                <w:sz w:val="24"/>
                <w:u w:val="none"/>
                <w:lang w:val="en-US" w:eastAsia="zh-CN"/>
              </w:rPr>
              <w:t>改扩建项目新建的5号仓库位于现有工程矿石加工区的南面，新建的4号仓库位于5号仓库南面，改建的2号仓库位于4号仓库南面，2号堆场位于2号仓库西面，2号堆场北面依次为调度中心、3号堆场和危险品集装箱拆装棚、初期雨水收集池和危险品停车场，事故应急池位于1号仓库南面。</w:t>
            </w:r>
            <w:r>
              <w:rPr>
                <w:rFonts w:hint="eastAsia" w:ascii="Times New Roman" w:hAnsi="Times New Roman" w:eastAsia="宋体" w:cs="Times New Roman"/>
                <w:color w:val="auto"/>
                <w:kern w:val="0"/>
                <w:sz w:val="24"/>
                <w:lang w:val="en-US" w:eastAsia="zh-CN"/>
              </w:rPr>
              <w:t>项目仓库布置符合《建筑设计防火规范》（GB50016-2014）（2018年版）、《采用撬装式加油装置的汽车加油站技术规范》（SH/T 3134-2002）要求。</w:t>
            </w:r>
          </w:p>
          <w:p w14:paraId="4D102728">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改扩建项目建成后，全厂</w:t>
            </w:r>
            <w:r>
              <w:rPr>
                <w:rFonts w:hint="eastAsia" w:ascii="Times New Roman" w:hAnsi="Times New Roman" w:eastAsia="宋体" w:cs="Times New Roman"/>
                <w:color w:val="auto"/>
                <w:kern w:val="0"/>
                <w:sz w:val="24"/>
                <w:lang w:val="en-US" w:eastAsia="zh-CN"/>
              </w:rPr>
              <w:t>总平面布置呈东西方向条形，东面部分从北往南依</w:t>
            </w:r>
            <w:r>
              <w:rPr>
                <w:rFonts w:hint="eastAsia" w:ascii="Times New Roman" w:hAnsi="Times New Roman" w:eastAsia="宋体" w:cs="Times New Roman"/>
                <w:color w:val="auto"/>
                <w:kern w:val="0"/>
                <w:sz w:val="24"/>
                <w:szCs w:val="24"/>
                <w:lang w:val="en-US" w:eastAsia="zh-CN"/>
              </w:rPr>
              <w:t>次为矿石加工区、</w:t>
            </w:r>
            <w:r>
              <w:rPr>
                <w:rFonts w:hint="eastAsia"/>
                <w:color w:val="auto"/>
                <w:sz w:val="24"/>
                <w:szCs w:val="24"/>
                <w:u w:val="none"/>
                <w:lang w:val="en-US" w:eastAsia="zh-CN"/>
              </w:rPr>
              <w:t>5号仓库、4号仓库</w:t>
            </w:r>
            <w:r>
              <w:rPr>
                <w:rFonts w:hint="eastAsia" w:ascii="Times New Roman" w:hAnsi="Times New Roman" w:eastAsia="宋体" w:cs="Times New Roman"/>
                <w:color w:val="auto"/>
                <w:kern w:val="0"/>
                <w:sz w:val="24"/>
                <w:lang w:val="en-US" w:eastAsia="zh-CN"/>
              </w:rPr>
              <w:t>、2号仓库、3号仓库（3号仓库</w:t>
            </w:r>
            <w:r>
              <w:rPr>
                <w:rFonts w:hint="eastAsia" w:cs="Times New Roman"/>
                <w:color w:val="auto"/>
                <w:kern w:val="0"/>
                <w:sz w:val="24"/>
                <w:lang w:val="en-US" w:eastAsia="zh-CN"/>
              </w:rPr>
              <w:t>拟</w:t>
            </w:r>
            <w:r>
              <w:rPr>
                <w:rFonts w:hint="eastAsia" w:ascii="Times New Roman" w:hAnsi="Times New Roman" w:eastAsia="宋体" w:cs="Times New Roman"/>
                <w:color w:val="auto"/>
                <w:kern w:val="0"/>
                <w:sz w:val="24"/>
                <w:lang w:val="en-US" w:eastAsia="zh-CN"/>
              </w:rPr>
              <w:t>用于贮存一般货物，但具体储存货物未确定，不在本次评价范围内）、1号堆场（一般货物集装箱空箱堆场）、事故应急池；西面部分从北往南依次为危险品停车场</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、初期雨水收集池、</w:t>
            </w:r>
            <w:r>
              <w:rPr>
                <w:rFonts w:hint="eastAsia" w:ascii="Times New Roman" w:hAnsi="Times New Roman" w:eastAsia="宋体" w:cs="Times New Roman"/>
                <w:color w:val="auto"/>
                <w:kern w:val="0"/>
                <w:sz w:val="24"/>
                <w:highlight w:val="none"/>
                <w:lang w:val="en-US" w:eastAsia="zh-CN"/>
              </w:rPr>
              <w:t>危险品集装</w:t>
            </w:r>
            <w:r>
              <w:rPr>
                <w:rFonts w:hint="eastAsia" w:cs="Times New Roman"/>
                <w:color w:val="auto"/>
                <w:kern w:val="0"/>
                <w:sz w:val="24"/>
                <w:highlight w:val="none"/>
                <w:lang w:val="en-US" w:eastAsia="zh-CN"/>
              </w:rPr>
              <w:t>箱</w:t>
            </w:r>
            <w:r>
              <w:rPr>
                <w:rFonts w:hint="eastAsia" w:ascii="Times New Roman" w:hAnsi="Times New Roman" w:eastAsia="宋体" w:cs="Times New Roman"/>
                <w:color w:val="auto"/>
                <w:kern w:val="0"/>
                <w:sz w:val="24"/>
                <w:highlight w:val="none"/>
                <w:lang w:val="en-US" w:eastAsia="zh-CN"/>
              </w:rPr>
              <w:t>拆装棚</w:t>
            </w:r>
            <w:r>
              <w:rPr>
                <w:rFonts w:hint="eastAsia" w:ascii="Times New Roman" w:hAnsi="Times New Roman" w:eastAsia="宋体" w:cs="Times New Roman"/>
                <w:color w:val="auto"/>
                <w:kern w:val="0"/>
                <w:sz w:val="24"/>
                <w:lang w:val="en-US" w:eastAsia="zh-CN"/>
              </w:rPr>
              <w:t>、3号堆场（危险化学品集装箱空箱堆场）、2号堆场（危险化学品集装箱空箱堆场）、1号仓库。项目总平面布置示意图见附图2。</w:t>
            </w:r>
          </w:p>
          <w:p w14:paraId="55EEE1C4">
            <w:pPr>
              <w:pStyle w:val="6"/>
              <w:spacing w:line="500" w:lineRule="exact"/>
              <w:ind w:firstLine="482"/>
              <w:jc w:val="center"/>
              <w:rPr>
                <w:rFonts w:hint="eastAsia" w:ascii="Times New Roman" w:hAnsi="Times New Roman" w:eastAsia="宋体" w:cs="Times New Roman"/>
                <w:b/>
                <w:bCs/>
                <w:color w:val="auto"/>
                <w:kern w:val="0"/>
                <w:sz w:val="24"/>
                <w:lang w:val="en-GB"/>
              </w:rPr>
            </w:pPr>
            <w:r>
              <w:rPr>
                <w:rFonts w:hint="eastAsia" w:ascii="Times New Roman" w:hAnsi="Times New Roman" w:eastAsia="宋体" w:cs="Times New Roman"/>
                <w:b/>
                <w:bCs/>
                <w:color w:val="auto"/>
                <w:kern w:val="0"/>
                <w:sz w:val="24"/>
                <w:lang w:val="en-GB"/>
              </w:rPr>
              <w:t>表2-</w:t>
            </w:r>
            <w:r>
              <w:rPr>
                <w:rFonts w:hint="eastAsia" w:cs="Times New Roman"/>
                <w:b/>
                <w:bCs/>
                <w:color w:val="auto"/>
                <w:kern w:val="0"/>
                <w:sz w:val="24"/>
                <w:lang w:val="en-US" w:eastAsia="zh-CN"/>
              </w:rPr>
              <w:t>7</w:t>
            </w:r>
            <w:r>
              <w:rPr>
                <w:rFonts w:hint="eastAsia" w:ascii="Times New Roman" w:hAnsi="Times New Roman" w:eastAsia="宋体" w:cs="Times New Roman"/>
                <w:b/>
                <w:bCs/>
                <w:color w:val="auto"/>
                <w:kern w:val="0"/>
                <w:sz w:val="24"/>
                <w:lang w:val="en-US" w:eastAsia="zh-CN"/>
              </w:rPr>
              <w:t xml:space="preserve"> </w:t>
            </w:r>
            <w:r>
              <w:rPr>
                <w:rFonts w:hint="eastAsia" w:ascii="Times New Roman" w:hAnsi="Times New Roman" w:eastAsia="宋体" w:cs="Times New Roman"/>
                <w:b/>
                <w:bCs/>
                <w:color w:val="auto"/>
                <w:kern w:val="0"/>
                <w:sz w:val="24"/>
                <w:lang w:val="en-GB"/>
              </w:rPr>
              <w:t>项目与</w:t>
            </w:r>
            <w:r>
              <w:rPr>
                <w:rFonts w:hint="eastAsia" w:ascii="Times New Roman" w:hAnsi="Times New Roman" w:eastAsia="宋体" w:cs="Times New Roman"/>
                <w:b/>
                <w:bCs/>
                <w:color w:val="auto"/>
                <w:kern w:val="0"/>
                <w:sz w:val="24"/>
                <w:lang w:val="en-US" w:eastAsia="zh-CN"/>
              </w:rPr>
              <w:t>厂区、</w:t>
            </w:r>
            <w:r>
              <w:rPr>
                <w:rFonts w:hint="eastAsia" w:ascii="Times New Roman" w:hAnsi="Times New Roman" w:eastAsia="宋体" w:cs="Times New Roman"/>
                <w:b/>
                <w:bCs/>
                <w:color w:val="auto"/>
                <w:kern w:val="0"/>
                <w:sz w:val="24"/>
                <w:lang w:val="en-GB"/>
              </w:rPr>
              <w:t>周边设施防火间距表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1500"/>
              <w:gridCol w:w="853"/>
              <w:gridCol w:w="1384"/>
              <w:gridCol w:w="954"/>
              <w:gridCol w:w="1041"/>
              <w:gridCol w:w="591"/>
              <w:gridCol w:w="1491"/>
            </w:tblGrid>
            <w:tr w14:paraId="389E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noWrap w:val="0"/>
                  <w:vAlign w:val="center"/>
                </w:tcPr>
                <w:p w14:paraId="6D115E4B">
                  <w:pPr>
                    <w:ind w:right="-96" w:rightChars="0"/>
                    <w:jc w:val="center"/>
                    <w:rPr>
                      <w:rFonts w:hint="default" w:ascii="Times New Roman" w:hAnsi="Times New Roman" w:cs="Times New Roman"/>
                      <w:color w:val="auto"/>
                      <w:sz w:val="21"/>
                      <w:szCs w:val="21"/>
                      <w:u w:val="none"/>
                    </w:rPr>
                  </w:pPr>
                  <w:r>
                    <w:rPr>
                      <w:rFonts w:hint="eastAsia" w:ascii="Times New Roman" w:hAnsi="Times New Roman" w:eastAsia="宋体" w:cs="Times New Roman"/>
                      <w:color w:val="auto"/>
                      <w:sz w:val="21"/>
                      <w:szCs w:val="21"/>
                      <w:u w:val="none"/>
                      <w:lang w:val="en-US" w:eastAsia="zh-CN"/>
                    </w:rPr>
                    <w:t>序号</w:t>
                  </w:r>
                </w:p>
              </w:tc>
              <w:tc>
                <w:tcPr>
                  <w:tcW w:w="1500" w:type="dxa"/>
                  <w:noWrap w:val="0"/>
                  <w:vAlign w:val="center"/>
                </w:tcPr>
                <w:p w14:paraId="342A8C57">
                  <w:pPr>
                    <w:ind w:right="-96" w:rightChars="0"/>
                    <w:jc w:val="center"/>
                    <w:rPr>
                      <w:rFonts w:hint="default" w:ascii="Times New Roman" w:hAnsi="Times New Roman" w:cs="Times New Roman"/>
                      <w:color w:val="auto"/>
                      <w:sz w:val="21"/>
                      <w:szCs w:val="21"/>
                      <w:u w:val="none"/>
                    </w:rPr>
                  </w:pPr>
                  <w:r>
                    <w:rPr>
                      <w:rFonts w:hint="eastAsia" w:ascii="Times New Roman" w:hAnsi="Times New Roman" w:eastAsia="宋体" w:cs="Times New Roman"/>
                      <w:color w:val="auto"/>
                      <w:sz w:val="21"/>
                      <w:szCs w:val="21"/>
                      <w:u w:val="none"/>
                      <w:lang w:val="en-US" w:eastAsia="zh-CN"/>
                    </w:rPr>
                    <w:t>设施名称</w:t>
                  </w:r>
                </w:p>
              </w:tc>
              <w:tc>
                <w:tcPr>
                  <w:tcW w:w="853" w:type="dxa"/>
                  <w:noWrap w:val="0"/>
                  <w:vAlign w:val="center"/>
                </w:tcPr>
                <w:p w14:paraId="0414A2C8">
                  <w:pPr>
                    <w:ind w:right="-96" w:right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相对位置</w:t>
                  </w:r>
                </w:p>
              </w:tc>
              <w:tc>
                <w:tcPr>
                  <w:tcW w:w="1384" w:type="dxa"/>
                  <w:noWrap w:val="0"/>
                  <w:vAlign w:val="center"/>
                </w:tcPr>
                <w:p w14:paraId="53AFDDA3">
                  <w:pPr>
                    <w:ind w:right="-96" w:right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其他设施</w:t>
                  </w:r>
                </w:p>
              </w:tc>
              <w:tc>
                <w:tcPr>
                  <w:tcW w:w="954" w:type="dxa"/>
                  <w:noWrap w:val="0"/>
                  <w:vAlign w:val="center"/>
                </w:tcPr>
                <w:p w14:paraId="523CF368">
                  <w:pPr>
                    <w:ind w:right="-96" w:right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规范距离（m）</w:t>
                  </w:r>
                </w:p>
              </w:tc>
              <w:tc>
                <w:tcPr>
                  <w:tcW w:w="1041" w:type="dxa"/>
                  <w:noWrap w:val="0"/>
                  <w:vAlign w:val="center"/>
                </w:tcPr>
                <w:p w14:paraId="629F71F7">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设计距离（m）</w:t>
                  </w:r>
                </w:p>
              </w:tc>
              <w:tc>
                <w:tcPr>
                  <w:tcW w:w="591" w:type="dxa"/>
                  <w:noWrap w:val="0"/>
                  <w:vAlign w:val="center"/>
                </w:tcPr>
                <w:p w14:paraId="3A5979FD">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对比</w:t>
                  </w:r>
                </w:p>
              </w:tc>
              <w:tc>
                <w:tcPr>
                  <w:tcW w:w="1491" w:type="dxa"/>
                  <w:noWrap w:val="0"/>
                  <w:vAlign w:val="center"/>
                </w:tcPr>
                <w:p w14:paraId="476FE723">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规范依据</w:t>
                  </w:r>
                </w:p>
              </w:tc>
            </w:tr>
            <w:tr w14:paraId="7175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restart"/>
                  <w:noWrap w:val="0"/>
                  <w:vAlign w:val="center"/>
                </w:tcPr>
                <w:p w14:paraId="7FFE3A2F">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w:t>
                  </w:r>
                </w:p>
              </w:tc>
              <w:tc>
                <w:tcPr>
                  <w:tcW w:w="1500" w:type="dxa"/>
                  <w:vMerge w:val="restart"/>
                  <w:noWrap w:val="0"/>
                  <w:vAlign w:val="center"/>
                </w:tcPr>
                <w:p w14:paraId="34A10253">
                  <w:pPr>
                    <w:ind w:right="-96"/>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2号仓库（丙类、其他</w:t>
                  </w:r>
                  <w:r>
                    <w:rPr>
                      <w:rFonts w:hint="default" w:ascii="Times New Roman" w:hAnsi="Times New Roman" w:eastAsia="宋体" w:cs="Times New Roman"/>
                      <w:color w:val="auto"/>
                      <w:sz w:val="21"/>
                      <w:szCs w:val="21"/>
                      <w:u w:val="none"/>
                      <w:lang w:val="en-US" w:eastAsia="zh-CN"/>
                    </w:rPr>
                    <w:t>非易燃易爆</w:t>
                  </w:r>
                  <w:r>
                    <w:rPr>
                      <w:rFonts w:hint="eastAsia" w:ascii="Times New Roman" w:hAnsi="Times New Roman" w:eastAsia="宋体" w:cs="Times New Roman"/>
                      <w:color w:val="auto"/>
                      <w:sz w:val="21"/>
                      <w:szCs w:val="21"/>
                      <w:u w:val="none"/>
                      <w:lang w:val="en-US" w:eastAsia="zh-CN"/>
                    </w:rPr>
                    <w:t>危险货物）</w:t>
                  </w:r>
                </w:p>
              </w:tc>
              <w:tc>
                <w:tcPr>
                  <w:tcW w:w="853" w:type="dxa"/>
                  <w:noWrap w:val="0"/>
                  <w:vAlign w:val="center"/>
                </w:tcPr>
                <w:p w14:paraId="4BC49582">
                  <w:pPr>
                    <w:ind w:right="-96"/>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西</w:t>
                  </w:r>
                </w:p>
              </w:tc>
              <w:tc>
                <w:tcPr>
                  <w:tcW w:w="1384" w:type="dxa"/>
                  <w:noWrap w:val="0"/>
                  <w:vAlign w:val="center"/>
                </w:tcPr>
                <w:p w14:paraId="725C02CD">
                  <w:pPr>
                    <w:ind w:right="-96"/>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临港大道</w:t>
                  </w:r>
                </w:p>
              </w:tc>
              <w:tc>
                <w:tcPr>
                  <w:tcW w:w="954" w:type="dxa"/>
                  <w:noWrap w:val="0"/>
                  <w:vAlign w:val="center"/>
                </w:tcPr>
                <w:p w14:paraId="0456E4A9">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041" w:type="dxa"/>
                  <w:noWrap w:val="0"/>
                  <w:vAlign w:val="center"/>
                </w:tcPr>
                <w:p w14:paraId="2D6C7E71">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187</w:t>
                  </w:r>
                </w:p>
              </w:tc>
              <w:tc>
                <w:tcPr>
                  <w:tcW w:w="591" w:type="dxa"/>
                  <w:noWrap w:val="0"/>
                  <w:vAlign w:val="center"/>
                </w:tcPr>
                <w:p w14:paraId="3FC2E926">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491" w:type="dxa"/>
                  <w:vMerge w:val="restart"/>
                  <w:noWrap w:val="0"/>
                  <w:vAlign w:val="center"/>
                </w:tcPr>
                <w:p w14:paraId="36C86B50">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无规范要求</w:t>
                  </w:r>
                </w:p>
              </w:tc>
            </w:tr>
            <w:tr w14:paraId="0130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778897D4">
                  <w:pPr>
                    <w:ind w:right="-96"/>
                    <w:jc w:val="center"/>
                    <w:rPr>
                      <w:rFonts w:hint="default" w:ascii="Times New Roman" w:hAnsi="Times New Roman" w:cs="Times New Roman"/>
                      <w:color w:val="auto"/>
                      <w:sz w:val="21"/>
                      <w:szCs w:val="21"/>
                      <w:u w:val="none"/>
                      <w:lang w:val="en-US" w:eastAsia="zh-CN"/>
                    </w:rPr>
                  </w:pPr>
                </w:p>
              </w:tc>
              <w:tc>
                <w:tcPr>
                  <w:tcW w:w="1500" w:type="dxa"/>
                  <w:vMerge w:val="continue"/>
                  <w:noWrap w:val="0"/>
                  <w:vAlign w:val="center"/>
                </w:tcPr>
                <w:p w14:paraId="4728465E">
                  <w:pPr>
                    <w:ind w:right="-96"/>
                    <w:jc w:val="center"/>
                    <w:rPr>
                      <w:rFonts w:hint="default" w:ascii="Times New Roman" w:hAnsi="Times New Roman" w:eastAsia="宋体" w:cs="Times New Roman"/>
                      <w:color w:val="auto"/>
                      <w:sz w:val="21"/>
                      <w:szCs w:val="21"/>
                      <w:u w:val="none"/>
                      <w:lang w:val="en-US" w:eastAsia="zh-CN"/>
                    </w:rPr>
                  </w:pPr>
                </w:p>
              </w:tc>
              <w:tc>
                <w:tcPr>
                  <w:tcW w:w="853" w:type="dxa"/>
                  <w:noWrap w:val="0"/>
                  <w:vAlign w:val="center"/>
                </w:tcPr>
                <w:p w14:paraId="52A1983A">
                  <w:pPr>
                    <w:ind w:right="-96"/>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南</w:t>
                  </w:r>
                </w:p>
              </w:tc>
              <w:tc>
                <w:tcPr>
                  <w:tcW w:w="1384" w:type="dxa"/>
                  <w:noWrap w:val="0"/>
                  <w:vAlign w:val="center"/>
                </w:tcPr>
                <w:p w14:paraId="71834039">
                  <w:pPr>
                    <w:ind w:right="-96" w:right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滨海公路</w:t>
                  </w:r>
                </w:p>
              </w:tc>
              <w:tc>
                <w:tcPr>
                  <w:tcW w:w="954" w:type="dxa"/>
                  <w:noWrap w:val="0"/>
                  <w:vAlign w:val="center"/>
                </w:tcPr>
                <w:p w14:paraId="0BDF7458">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041" w:type="dxa"/>
                  <w:noWrap w:val="0"/>
                  <w:vAlign w:val="center"/>
                </w:tcPr>
                <w:p w14:paraId="0C47D583">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218</w:t>
                  </w:r>
                </w:p>
              </w:tc>
              <w:tc>
                <w:tcPr>
                  <w:tcW w:w="591" w:type="dxa"/>
                  <w:noWrap w:val="0"/>
                  <w:vAlign w:val="center"/>
                </w:tcPr>
                <w:p w14:paraId="45685FE8">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491" w:type="dxa"/>
                  <w:vMerge w:val="continue"/>
                  <w:noWrap w:val="0"/>
                  <w:vAlign w:val="center"/>
                </w:tcPr>
                <w:p w14:paraId="6BE4D7BB">
                  <w:pPr>
                    <w:ind w:right="-96"/>
                    <w:jc w:val="center"/>
                    <w:rPr>
                      <w:rFonts w:hint="default" w:ascii="Times New Roman" w:hAnsi="Times New Roman" w:cs="Times New Roman"/>
                      <w:color w:val="auto"/>
                      <w:sz w:val="21"/>
                      <w:szCs w:val="21"/>
                      <w:u w:val="none"/>
                      <w:lang w:val="en-US" w:eastAsia="zh-CN"/>
                    </w:rPr>
                  </w:pPr>
                </w:p>
              </w:tc>
            </w:tr>
            <w:tr w14:paraId="13A6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0422F3DA">
                  <w:pPr>
                    <w:ind w:right="-96"/>
                    <w:jc w:val="center"/>
                    <w:rPr>
                      <w:rFonts w:hint="default" w:ascii="Times New Roman" w:hAnsi="Times New Roman" w:cs="Times New Roman"/>
                      <w:color w:val="auto"/>
                      <w:sz w:val="21"/>
                      <w:szCs w:val="21"/>
                      <w:u w:val="none"/>
                      <w:lang w:val="en-US" w:eastAsia="zh-CN"/>
                    </w:rPr>
                  </w:pPr>
                </w:p>
              </w:tc>
              <w:tc>
                <w:tcPr>
                  <w:tcW w:w="1500" w:type="dxa"/>
                  <w:vMerge w:val="continue"/>
                  <w:noWrap w:val="0"/>
                  <w:vAlign w:val="center"/>
                </w:tcPr>
                <w:p w14:paraId="67B0AF46">
                  <w:pPr>
                    <w:ind w:right="-96"/>
                    <w:jc w:val="center"/>
                    <w:rPr>
                      <w:rFonts w:hint="default" w:ascii="Times New Roman" w:hAnsi="Times New Roman" w:eastAsia="宋体" w:cs="Times New Roman"/>
                      <w:color w:val="auto"/>
                      <w:sz w:val="21"/>
                      <w:szCs w:val="21"/>
                      <w:u w:val="none"/>
                      <w:lang w:val="en-US" w:eastAsia="zh-CN"/>
                    </w:rPr>
                  </w:pPr>
                </w:p>
              </w:tc>
              <w:tc>
                <w:tcPr>
                  <w:tcW w:w="853" w:type="dxa"/>
                  <w:noWrap w:val="0"/>
                  <w:vAlign w:val="center"/>
                </w:tcPr>
                <w:p w14:paraId="7CF55C31">
                  <w:pPr>
                    <w:ind w:right="-96" w:rightChars="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西</w:t>
                  </w:r>
                </w:p>
              </w:tc>
              <w:tc>
                <w:tcPr>
                  <w:tcW w:w="1384" w:type="dxa"/>
                  <w:noWrap w:val="0"/>
                  <w:vAlign w:val="center"/>
                </w:tcPr>
                <w:p w14:paraId="75DB776A">
                  <w:pPr>
                    <w:ind w:right="-96" w:rightChars="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220KV久港线</w:t>
                  </w:r>
                </w:p>
              </w:tc>
              <w:tc>
                <w:tcPr>
                  <w:tcW w:w="954" w:type="dxa"/>
                  <w:noWrap w:val="0"/>
                  <w:vAlign w:val="center"/>
                </w:tcPr>
                <w:p w14:paraId="58C7F501">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041" w:type="dxa"/>
                  <w:noWrap w:val="0"/>
                  <w:vAlign w:val="center"/>
                </w:tcPr>
                <w:p w14:paraId="06604A77">
                  <w:pPr>
                    <w:ind w:right="-96" w:rightChars="0"/>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149</w:t>
                  </w:r>
                </w:p>
              </w:tc>
              <w:tc>
                <w:tcPr>
                  <w:tcW w:w="591" w:type="dxa"/>
                  <w:noWrap w:val="0"/>
                  <w:vAlign w:val="center"/>
                </w:tcPr>
                <w:p w14:paraId="43B5E277">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491" w:type="dxa"/>
                  <w:vMerge w:val="continue"/>
                  <w:noWrap w:val="0"/>
                  <w:vAlign w:val="center"/>
                </w:tcPr>
                <w:p w14:paraId="41071B16">
                  <w:pPr>
                    <w:ind w:right="-96"/>
                    <w:jc w:val="center"/>
                    <w:rPr>
                      <w:rFonts w:hint="default" w:ascii="Times New Roman" w:hAnsi="Times New Roman" w:cs="Times New Roman"/>
                      <w:color w:val="auto"/>
                      <w:sz w:val="21"/>
                      <w:szCs w:val="21"/>
                      <w:u w:val="none"/>
                      <w:lang w:val="en-US" w:eastAsia="zh-CN"/>
                    </w:rPr>
                  </w:pPr>
                </w:p>
              </w:tc>
            </w:tr>
            <w:tr w14:paraId="64E0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032A739B">
                  <w:pPr>
                    <w:ind w:right="-96"/>
                    <w:jc w:val="center"/>
                    <w:rPr>
                      <w:rFonts w:hint="default" w:ascii="Times New Roman" w:hAnsi="Times New Roman" w:cs="Times New Roman"/>
                      <w:color w:val="auto"/>
                      <w:sz w:val="21"/>
                      <w:szCs w:val="21"/>
                      <w:u w:val="none"/>
                      <w:lang w:val="en-US" w:eastAsia="zh-CN"/>
                    </w:rPr>
                  </w:pPr>
                </w:p>
              </w:tc>
              <w:tc>
                <w:tcPr>
                  <w:tcW w:w="1500" w:type="dxa"/>
                  <w:vMerge w:val="continue"/>
                  <w:noWrap w:val="0"/>
                  <w:vAlign w:val="center"/>
                </w:tcPr>
                <w:p w14:paraId="1ED1D4A6">
                  <w:pPr>
                    <w:ind w:right="-96"/>
                    <w:jc w:val="center"/>
                    <w:rPr>
                      <w:rFonts w:hint="default" w:ascii="Times New Roman" w:hAnsi="Times New Roman" w:eastAsia="宋体" w:cs="Times New Roman"/>
                      <w:color w:val="auto"/>
                      <w:sz w:val="21"/>
                      <w:szCs w:val="21"/>
                      <w:u w:val="none"/>
                      <w:lang w:val="en-US" w:eastAsia="zh-CN"/>
                    </w:rPr>
                  </w:pPr>
                </w:p>
              </w:tc>
              <w:tc>
                <w:tcPr>
                  <w:tcW w:w="853" w:type="dxa"/>
                  <w:noWrap w:val="0"/>
                  <w:vAlign w:val="center"/>
                </w:tcPr>
                <w:p w14:paraId="48953CA7">
                  <w:pPr>
                    <w:ind w:right="-96"/>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南</w:t>
                  </w:r>
                </w:p>
              </w:tc>
              <w:tc>
                <w:tcPr>
                  <w:tcW w:w="1384" w:type="dxa"/>
                  <w:noWrap w:val="0"/>
                  <w:vAlign w:val="center"/>
                </w:tcPr>
                <w:p w14:paraId="7F7052A4">
                  <w:pPr>
                    <w:ind w:right="-96" w:right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3号仓库</w:t>
                  </w:r>
                </w:p>
              </w:tc>
              <w:tc>
                <w:tcPr>
                  <w:tcW w:w="954" w:type="dxa"/>
                  <w:noWrap w:val="0"/>
                  <w:vAlign w:val="center"/>
                </w:tcPr>
                <w:p w14:paraId="19E5CECE">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10</w:t>
                  </w:r>
                </w:p>
              </w:tc>
              <w:tc>
                <w:tcPr>
                  <w:tcW w:w="1041" w:type="dxa"/>
                  <w:noWrap w:val="0"/>
                  <w:vAlign w:val="center"/>
                </w:tcPr>
                <w:p w14:paraId="53069C2A">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11.2</w:t>
                  </w:r>
                </w:p>
              </w:tc>
              <w:tc>
                <w:tcPr>
                  <w:tcW w:w="591" w:type="dxa"/>
                  <w:noWrap w:val="0"/>
                  <w:vAlign w:val="center"/>
                </w:tcPr>
                <w:p w14:paraId="6DCB876C">
                  <w:pPr>
                    <w:ind w:right="-96"/>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符合</w:t>
                  </w:r>
                </w:p>
              </w:tc>
              <w:tc>
                <w:tcPr>
                  <w:tcW w:w="1491" w:type="dxa"/>
                  <w:vMerge w:val="restart"/>
                  <w:noWrap w:val="0"/>
                  <w:vAlign w:val="center"/>
                </w:tcPr>
                <w:p w14:paraId="1CD43768">
                  <w:pPr>
                    <w:ind w:right="-96"/>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 xml:space="preserve">GB50016-2014 </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2018年版</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第3.</w:t>
                  </w:r>
                  <w:r>
                    <w:rPr>
                      <w:rFonts w:hint="eastAsia" w:ascii="Times New Roman" w:hAnsi="Times New Roman" w:cs="Times New Roman"/>
                      <w:color w:val="auto"/>
                      <w:sz w:val="21"/>
                      <w:szCs w:val="21"/>
                      <w:u w:val="none"/>
                      <w:lang w:val="en-US" w:eastAsia="zh-CN"/>
                    </w:rPr>
                    <w:t>5</w:t>
                  </w:r>
                  <w:r>
                    <w:rPr>
                      <w:rFonts w:hint="default" w:ascii="Times New Roman" w:hAnsi="Times New Roman" w:cs="Times New Roman"/>
                      <w:color w:val="auto"/>
                      <w:sz w:val="21"/>
                      <w:szCs w:val="21"/>
                      <w:u w:val="none"/>
                      <w:lang w:val="en-US" w:eastAsia="zh-CN"/>
                    </w:rPr>
                    <w:t>.</w:t>
                  </w:r>
                  <w:r>
                    <w:rPr>
                      <w:rFonts w:hint="eastAsia" w:ascii="Times New Roman" w:hAnsi="Times New Roman" w:cs="Times New Roman"/>
                      <w:color w:val="auto"/>
                      <w:sz w:val="21"/>
                      <w:szCs w:val="21"/>
                      <w:u w:val="none"/>
                      <w:lang w:val="en-US" w:eastAsia="zh-CN"/>
                    </w:rPr>
                    <w:t>2条</w:t>
                  </w:r>
                </w:p>
              </w:tc>
            </w:tr>
            <w:tr w14:paraId="1697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15A8AF20">
                  <w:pPr>
                    <w:ind w:right="-96"/>
                    <w:jc w:val="center"/>
                    <w:rPr>
                      <w:rFonts w:hint="default" w:ascii="Times New Roman" w:hAnsi="Times New Roman" w:cs="Times New Roman"/>
                      <w:color w:val="auto"/>
                      <w:sz w:val="21"/>
                      <w:szCs w:val="21"/>
                      <w:u w:val="none"/>
                      <w:lang w:val="en-US" w:eastAsia="zh-CN"/>
                    </w:rPr>
                  </w:pPr>
                </w:p>
              </w:tc>
              <w:tc>
                <w:tcPr>
                  <w:tcW w:w="1500" w:type="dxa"/>
                  <w:vMerge w:val="continue"/>
                  <w:noWrap w:val="0"/>
                  <w:vAlign w:val="center"/>
                </w:tcPr>
                <w:p w14:paraId="280409F5">
                  <w:pPr>
                    <w:ind w:right="-96"/>
                    <w:jc w:val="center"/>
                    <w:rPr>
                      <w:rFonts w:hint="default" w:ascii="Times New Roman" w:hAnsi="Times New Roman" w:eastAsia="宋体" w:cs="Times New Roman"/>
                      <w:color w:val="auto"/>
                      <w:sz w:val="21"/>
                      <w:szCs w:val="21"/>
                      <w:u w:val="none"/>
                      <w:lang w:val="en-US" w:eastAsia="zh-CN"/>
                    </w:rPr>
                  </w:pPr>
                </w:p>
              </w:tc>
              <w:tc>
                <w:tcPr>
                  <w:tcW w:w="853" w:type="dxa"/>
                  <w:noWrap w:val="0"/>
                  <w:vAlign w:val="center"/>
                </w:tcPr>
                <w:p w14:paraId="13B39039">
                  <w:pPr>
                    <w:ind w:right="-96"/>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北</w:t>
                  </w:r>
                </w:p>
              </w:tc>
              <w:tc>
                <w:tcPr>
                  <w:tcW w:w="1384" w:type="dxa"/>
                  <w:noWrap w:val="0"/>
                  <w:vAlign w:val="center"/>
                </w:tcPr>
                <w:p w14:paraId="4F051A09">
                  <w:pPr>
                    <w:ind w:right="-96" w:right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4号仓库</w:t>
                  </w:r>
                </w:p>
              </w:tc>
              <w:tc>
                <w:tcPr>
                  <w:tcW w:w="954" w:type="dxa"/>
                  <w:noWrap w:val="0"/>
                  <w:vAlign w:val="center"/>
                </w:tcPr>
                <w:p w14:paraId="4E5B1ED5">
                  <w:pPr>
                    <w:pStyle w:val="6"/>
                    <w:ind w:left="0" w:leftChars="0" w:firstLine="0" w:firstLineChars="0"/>
                    <w:jc w:val="center"/>
                    <w:rPr>
                      <w:rFonts w:hint="default"/>
                      <w:color w:val="auto"/>
                      <w:u w:val="none"/>
                      <w:lang w:val="en-US" w:eastAsia="zh-CN"/>
                    </w:rPr>
                  </w:pPr>
                  <w:r>
                    <w:rPr>
                      <w:rFonts w:hint="eastAsia"/>
                      <w:color w:val="auto"/>
                      <w:u w:val="none"/>
                      <w:lang w:val="en-US" w:eastAsia="zh-CN"/>
                    </w:rPr>
                    <w:t>10</w:t>
                  </w:r>
                </w:p>
              </w:tc>
              <w:tc>
                <w:tcPr>
                  <w:tcW w:w="1041" w:type="dxa"/>
                  <w:noWrap w:val="0"/>
                  <w:vAlign w:val="center"/>
                </w:tcPr>
                <w:p w14:paraId="707FEE1B">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17</w:t>
                  </w:r>
                </w:p>
              </w:tc>
              <w:tc>
                <w:tcPr>
                  <w:tcW w:w="591" w:type="dxa"/>
                  <w:noWrap w:val="0"/>
                  <w:vAlign w:val="center"/>
                </w:tcPr>
                <w:p w14:paraId="3D32616D">
                  <w:pPr>
                    <w:ind w:right="-96"/>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符合</w:t>
                  </w:r>
                </w:p>
              </w:tc>
              <w:tc>
                <w:tcPr>
                  <w:tcW w:w="1491" w:type="dxa"/>
                  <w:vMerge w:val="continue"/>
                  <w:noWrap w:val="0"/>
                  <w:vAlign w:val="center"/>
                </w:tcPr>
                <w:p w14:paraId="0FF519D3">
                  <w:pPr>
                    <w:ind w:right="-96"/>
                    <w:jc w:val="center"/>
                    <w:rPr>
                      <w:rFonts w:hint="default" w:ascii="Times New Roman" w:hAnsi="Times New Roman" w:cs="Times New Roman"/>
                      <w:color w:val="auto"/>
                      <w:sz w:val="21"/>
                      <w:szCs w:val="21"/>
                      <w:u w:val="none"/>
                      <w:lang w:val="en-US" w:eastAsia="zh-CN"/>
                    </w:rPr>
                  </w:pPr>
                </w:p>
              </w:tc>
            </w:tr>
            <w:tr w14:paraId="7EBD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7B3FCDDD">
                  <w:pPr>
                    <w:ind w:right="-96"/>
                    <w:jc w:val="center"/>
                    <w:rPr>
                      <w:rFonts w:hint="default" w:ascii="Times New Roman" w:hAnsi="Times New Roman" w:cs="Times New Roman"/>
                      <w:color w:val="auto"/>
                      <w:sz w:val="21"/>
                      <w:szCs w:val="21"/>
                      <w:u w:val="none"/>
                      <w:lang w:val="en-US" w:eastAsia="zh-CN"/>
                    </w:rPr>
                  </w:pPr>
                </w:p>
              </w:tc>
              <w:tc>
                <w:tcPr>
                  <w:tcW w:w="1500" w:type="dxa"/>
                  <w:vMerge w:val="continue"/>
                  <w:noWrap w:val="0"/>
                  <w:vAlign w:val="center"/>
                </w:tcPr>
                <w:p w14:paraId="53111628">
                  <w:pPr>
                    <w:ind w:right="-96"/>
                    <w:jc w:val="center"/>
                    <w:rPr>
                      <w:rFonts w:hint="default" w:ascii="Times New Roman" w:hAnsi="Times New Roman" w:eastAsia="宋体" w:cs="Times New Roman"/>
                      <w:color w:val="auto"/>
                      <w:sz w:val="21"/>
                      <w:szCs w:val="21"/>
                      <w:u w:val="none"/>
                      <w:lang w:val="en-US" w:eastAsia="zh-CN"/>
                    </w:rPr>
                  </w:pPr>
                </w:p>
              </w:tc>
              <w:tc>
                <w:tcPr>
                  <w:tcW w:w="853" w:type="dxa"/>
                  <w:noWrap w:val="0"/>
                  <w:vAlign w:val="center"/>
                </w:tcPr>
                <w:p w14:paraId="278BB3E5">
                  <w:pPr>
                    <w:ind w:right="-96"/>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西</w:t>
                  </w:r>
                </w:p>
              </w:tc>
              <w:tc>
                <w:tcPr>
                  <w:tcW w:w="1384" w:type="dxa"/>
                  <w:noWrap w:val="0"/>
                  <w:vAlign w:val="center"/>
                </w:tcPr>
                <w:p w14:paraId="2E04855A">
                  <w:pPr>
                    <w:ind w:right="-96" w:rightChars="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调度中心</w:t>
                  </w:r>
                </w:p>
              </w:tc>
              <w:tc>
                <w:tcPr>
                  <w:tcW w:w="954" w:type="dxa"/>
                  <w:noWrap w:val="0"/>
                  <w:vAlign w:val="center"/>
                </w:tcPr>
                <w:p w14:paraId="6E484472">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10</w:t>
                  </w:r>
                </w:p>
              </w:tc>
              <w:tc>
                <w:tcPr>
                  <w:tcW w:w="1041" w:type="dxa"/>
                  <w:noWrap w:val="0"/>
                  <w:vAlign w:val="center"/>
                </w:tcPr>
                <w:p w14:paraId="4EEBFE51">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41.5</w:t>
                  </w:r>
                </w:p>
              </w:tc>
              <w:tc>
                <w:tcPr>
                  <w:tcW w:w="591" w:type="dxa"/>
                  <w:noWrap w:val="0"/>
                  <w:vAlign w:val="center"/>
                </w:tcPr>
                <w:p w14:paraId="626F77DE">
                  <w:pPr>
                    <w:ind w:right="-96"/>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符合</w:t>
                  </w:r>
                </w:p>
              </w:tc>
              <w:tc>
                <w:tcPr>
                  <w:tcW w:w="1491" w:type="dxa"/>
                  <w:noWrap w:val="0"/>
                  <w:vAlign w:val="center"/>
                </w:tcPr>
                <w:p w14:paraId="59AE6C74">
                  <w:pPr>
                    <w:ind w:right="-96"/>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 xml:space="preserve">GB50016-2014 </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2018年版</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第3.</w:t>
                  </w:r>
                  <w:r>
                    <w:rPr>
                      <w:rFonts w:hint="eastAsia" w:ascii="Times New Roman" w:hAnsi="Times New Roman" w:cs="Times New Roman"/>
                      <w:color w:val="auto"/>
                      <w:sz w:val="21"/>
                      <w:szCs w:val="21"/>
                      <w:u w:val="none"/>
                      <w:lang w:val="en-US" w:eastAsia="zh-CN"/>
                    </w:rPr>
                    <w:t>5.2条</w:t>
                  </w:r>
                </w:p>
              </w:tc>
            </w:tr>
            <w:tr w14:paraId="2BA0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1A27EC6D">
                  <w:pPr>
                    <w:ind w:right="-96"/>
                    <w:jc w:val="center"/>
                    <w:rPr>
                      <w:rFonts w:hint="default" w:ascii="Times New Roman" w:hAnsi="Times New Roman" w:cs="Times New Roman"/>
                      <w:color w:val="auto"/>
                      <w:sz w:val="21"/>
                      <w:szCs w:val="21"/>
                      <w:u w:val="none"/>
                      <w:lang w:val="en-US" w:eastAsia="zh-CN"/>
                    </w:rPr>
                  </w:pPr>
                </w:p>
              </w:tc>
              <w:tc>
                <w:tcPr>
                  <w:tcW w:w="1500" w:type="dxa"/>
                  <w:vMerge w:val="continue"/>
                  <w:noWrap w:val="0"/>
                  <w:vAlign w:val="center"/>
                </w:tcPr>
                <w:p w14:paraId="3E74ECB9">
                  <w:pPr>
                    <w:ind w:right="-96"/>
                    <w:jc w:val="center"/>
                    <w:rPr>
                      <w:rFonts w:hint="default" w:ascii="Times New Roman" w:hAnsi="Times New Roman" w:eastAsia="宋体" w:cs="Times New Roman"/>
                      <w:color w:val="auto"/>
                      <w:sz w:val="21"/>
                      <w:szCs w:val="21"/>
                      <w:u w:val="none"/>
                      <w:lang w:val="en-US" w:eastAsia="zh-CN"/>
                    </w:rPr>
                  </w:pPr>
                </w:p>
              </w:tc>
              <w:tc>
                <w:tcPr>
                  <w:tcW w:w="853" w:type="dxa"/>
                  <w:noWrap w:val="0"/>
                  <w:vAlign w:val="center"/>
                </w:tcPr>
                <w:p w14:paraId="36A685DD">
                  <w:pPr>
                    <w:ind w:right="-96"/>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西北</w:t>
                  </w:r>
                </w:p>
              </w:tc>
              <w:tc>
                <w:tcPr>
                  <w:tcW w:w="1384" w:type="dxa"/>
                  <w:noWrap w:val="0"/>
                  <w:vAlign w:val="center"/>
                </w:tcPr>
                <w:p w14:paraId="2F3F21ED">
                  <w:pPr>
                    <w:ind w:right="-96"/>
                    <w:jc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柴油橇装加油站</w:t>
                  </w:r>
                </w:p>
              </w:tc>
              <w:tc>
                <w:tcPr>
                  <w:tcW w:w="954" w:type="dxa"/>
                  <w:noWrap w:val="0"/>
                  <w:vAlign w:val="center"/>
                </w:tcPr>
                <w:p w14:paraId="1F9EE1F0">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16</w:t>
                  </w:r>
                </w:p>
              </w:tc>
              <w:tc>
                <w:tcPr>
                  <w:tcW w:w="1041" w:type="dxa"/>
                  <w:noWrap w:val="0"/>
                  <w:vAlign w:val="center"/>
                </w:tcPr>
                <w:p w14:paraId="725696E1">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113</w:t>
                  </w:r>
                </w:p>
              </w:tc>
              <w:tc>
                <w:tcPr>
                  <w:tcW w:w="591" w:type="dxa"/>
                  <w:noWrap w:val="0"/>
                  <w:vAlign w:val="center"/>
                </w:tcPr>
                <w:p w14:paraId="6389B609">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符合</w:t>
                  </w:r>
                </w:p>
              </w:tc>
              <w:tc>
                <w:tcPr>
                  <w:tcW w:w="1491" w:type="dxa"/>
                  <w:noWrap w:val="0"/>
                  <w:vAlign w:val="center"/>
                </w:tcPr>
                <w:p w14:paraId="094D6A60">
                  <w:pPr>
                    <w:ind w:right="-96"/>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SH/T3134-2002第4.4条</w:t>
                  </w:r>
                </w:p>
              </w:tc>
            </w:tr>
            <w:tr w14:paraId="5D97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restart"/>
                  <w:noWrap w:val="0"/>
                  <w:vAlign w:val="center"/>
                </w:tcPr>
                <w:p w14:paraId="44C5DDCF">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w:t>
                  </w:r>
                </w:p>
              </w:tc>
              <w:tc>
                <w:tcPr>
                  <w:tcW w:w="1500" w:type="dxa"/>
                  <w:vMerge w:val="restart"/>
                  <w:noWrap w:val="0"/>
                  <w:vAlign w:val="center"/>
                </w:tcPr>
                <w:p w14:paraId="358F8CC4">
                  <w:pPr>
                    <w:ind w:right="-96"/>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4号仓库（丙类、其他</w:t>
                  </w:r>
                  <w:r>
                    <w:rPr>
                      <w:rFonts w:hint="default" w:ascii="Times New Roman" w:hAnsi="Times New Roman" w:eastAsia="宋体" w:cs="Times New Roman"/>
                      <w:color w:val="auto"/>
                      <w:sz w:val="21"/>
                      <w:szCs w:val="21"/>
                      <w:u w:val="none"/>
                      <w:lang w:val="en-US" w:eastAsia="zh-CN"/>
                    </w:rPr>
                    <w:t>非易燃易爆</w:t>
                  </w:r>
                  <w:r>
                    <w:rPr>
                      <w:rFonts w:hint="eastAsia" w:ascii="Times New Roman" w:hAnsi="Times New Roman" w:eastAsia="宋体" w:cs="Times New Roman"/>
                      <w:color w:val="auto"/>
                      <w:sz w:val="21"/>
                      <w:szCs w:val="21"/>
                      <w:u w:val="none"/>
                      <w:lang w:val="en-US" w:eastAsia="zh-CN"/>
                    </w:rPr>
                    <w:t>危险货物）</w:t>
                  </w:r>
                </w:p>
              </w:tc>
              <w:tc>
                <w:tcPr>
                  <w:tcW w:w="853" w:type="dxa"/>
                  <w:noWrap w:val="0"/>
                  <w:vAlign w:val="center"/>
                </w:tcPr>
                <w:p w14:paraId="54B4FFFA">
                  <w:pPr>
                    <w:ind w:right="-96" w:rightChars="0"/>
                    <w:jc w:val="center"/>
                    <w:rPr>
                      <w:rFonts w:hint="default"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西</w:t>
                  </w:r>
                </w:p>
              </w:tc>
              <w:tc>
                <w:tcPr>
                  <w:tcW w:w="1384" w:type="dxa"/>
                  <w:noWrap w:val="0"/>
                  <w:vAlign w:val="center"/>
                </w:tcPr>
                <w:p w14:paraId="0E6E851F">
                  <w:pPr>
                    <w:ind w:right="-96" w:rightChars="0"/>
                    <w:jc w:val="center"/>
                    <w:rPr>
                      <w:rFonts w:hint="default"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临港大道</w:t>
                  </w:r>
                </w:p>
              </w:tc>
              <w:tc>
                <w:tcPr>
                  <w:tcW w:w="954" w:type="dxa"/>
                  <w:noWrap w:val="0"/>
                  <w:vAlign w:val="center"/>
                </w:tcPr>
                <w:p w14:paraId="42D3E284">
                  <w:pPr>
                    <w:ind w:right="-96" w:rightChars="0"/>
                    <w:jc w:val="center"/>
                    <w:rPr>
                      <w:rFonts w:hint="default" w:ascii="Times New Roman" w:hAnsi="Times New Roman" w:cs="Times New Roman"/>
                      <w:color w:val="0000FF"/>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041" w:type="dxa"/>
                  <w:noWrap w:val="0"/>
                  <w:vAlign w:val="center"/>
                </w:tcPr>
                <w:p w14:paraId="27699CA0">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210</w:t>
                  </w:r>
                </w:p>
              </w:tc>
              <w:tc>
                <w:tcPr>
                  <w:tcW w:w="591" w:type="dxa"/>
                  <w:noWrap w:val="0"/>
                  <w:vAlign w:val="center"/>
                </w:tcPr>
                <w:p w14:paraId="6E23CBA0">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491" w:type="dxa"/>
                  <w:vMerge w:val="restart"/>
                  <w:noWrap w:val="0"/>
                  <w:vAlign w:val="center"/>
                </w:tcPr>
                <w:p w14:paraId="2A0796F0">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无规范要求</w:t>
                  </w:r>
                </w:p>
              </w:tc>
            </w:tr>
            <w:tr w14:paraId="0A97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2B9D7C00">
                  <w:pPr>
                    <w:ind w:right="-96"/>
                    <w:jc w:val="center"/>
                    <w:rPr>
                      <w:rFonts w:hint="default" w:ascii="Times New Roman" w:hAnsi="Times New Roman" w:cs="Times New Roman"/>
                      <w:color w:val="auto"/>
                      <w:sz w:val="21"/>
                      <w:szCs w:val="21"/>
                      <w:u w:val="none"/>
                      <w:lang w:val="en-US" w:eastAsia="zh-CN"/>
                    </w:rPr>
                  </w:pPr>
                </w:p>
              </w:tc>
              <w:tc>
                <w:tcPr>
                  <w:tcW w:w="1500" w:type="dxa"/>
                  <w:vMerge w:val="continue"/>
                  <w:noWrap w:val="0"/>
                  <w:vAlign w:val="center"/>
                </w:tcPr>
                <w:p w14:paraId="0B12EEF7">
                  <w:pPr>
                    <w:ind w:right="-96"/>
                    <w:jc w:val="center"/>
                    <w:rPr>
                      <w:rFonts w:hint="default" w:ascii="Times New Roman" w:hAnsi="Times New Roman" w:eastAsia="宋体" w:cs="Times New Roman"/>
                      <w:color w:val="auto"/>
                      <w:sz w:val="21"/>
                      <w:szCs w:val="21"/>
                      <w:u w:val="none"/>
                      <w:lang w:val="en-US" w:eastAsia="zh-CN"/>
                    </w:rPr>
                  </w:pPr>
                </w:p>
              </w:tc>
              <w:tc>
                <w:tcPr>
                  <w:tcW w:w="853" w:type="dxa"/>
                  <w:noWrap w:val="0"/>
                  <w:vAlign w:val="center"/>
                </w:tcPr>
                <w:p w14:paraId="5F9A074F">
                  <w:pPr>
                    <w:ind w:right="-96" w:rightChars="0"/>
                    <w:jc w:val="center"/>
                    <w:rPr>
                      <w:rFonts w:hint="default"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南</w:t>
                  </w:r>
                </w:p>
              </w:tc>
              <w:tc>
                <w:tcPr>
                  <w:tcW w:w="1384" w:type="dxa"/>
                  <w:noWrap w:val="0"/>
                  <w:vAlign w:val="center"/>
                </w:tcPr>
                <w:p w14:paraId="5D7C1448">
                  <w:pPr>
                    <w:ind w:right="-96" w:rightChars="0"/>
                    <w:jc w:val="center"/>
                    <w:rPr>
                      <w:rFonts w:hint="default"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滨海公路</w:t>
                  </w:r>
                </w:p>
              </w:tc>
              <w:tc>
                <w:tcPr>
                  <w:tcW w:w="954" w:type="dxa"/>
                  <w:noWrap w:val="0"/>
                  <w:vAlign w:val="center"/>
                </w:tcPr>
                <w:p w14:paraId="3AE0435A">
                  <w:pPr>
                    <w:ind w:right="-96" w:rightChars="0"/>
                    <w:jc w:val="center"/>
                    <w:rPr>
                      <w:rFonts w:hint="default" w:ascii="Times New Roman" w:hAnsi="Times New Roman" w:cs="Times New Roman"/>
                      <w:color w:val="0000FF"/>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041" w:type="dxa"/>
                  <w:noWrap w:val="0"/>
                  <w:vAlign w:val="center"/>
                </w:tcPr>
                <w:p w14:paraId="1A7A8D5D">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345</w:t>
                  </w:r>
                </w:p>
              </w:tc>
              <w:tc>
                <w:tcPr>
                  <w:tcW w:w="591" w:type="dxa"/>
                  <w:noWrap w:val="0"/>
                  <w:vAlign w:val="center"/>
                </w:tcPr>
                <w:p w14:paraId="19BFA0C7">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491" w:type="dxa"/>
                  <w:vMerge w:val="continue"/>
                  <w:noWrap w:val="0"/>
                  <w:vAlign w:val="center"/>
                </w:tcPr>
                <w:p w14:paraId="357ACA5F">
                  <w:pPr>
                    <w:ind w:right="-96"/>
                    <w:jc w:val="center"/>
                    <w:rPr>
                      <w:rFonts w:hint="default" w:ascii="Times New Roman" w:hAnsi="Times New Roman" w:cs="Times New Roman"/>
                      <w:color w:val="auto"/>
                      <w:sz w:val="21"/>
                      <w:szCs w:val="21"/>
                      <w:u w:val="none"/>
                      <w:lang w:val="en-US" w:eastAsia="zh-CN"/>
                    </w:rPr>
                  </w:pPr>
                </w:p>
              </w:tc>
            </w:tr>
            <w:tr w14:paraId="1780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5718F915">
                  <w:pPr>
                    <w:ind w:right="-96"/>
                    <w:jc w:val="center"/>
                    <w:rPr>
                      <w:rFonts w:hint="default" w:ascii="Times New Roman" w:hAnsi="Times New Roman" w:cs="Times New Roman"/>
                      <w:color w:val="auto"/>
                      <w:sz w:val="21"/>
                      <w:szCs w:val="21"/>
                      <w:u w:val="none"/>
                      <w:lang w:val="en-US" w:eastAsia="zh-CN"/>
                    </w:rPr>
                  </w:pPr>
                </w:p>
              </w:tc>
              <w:tc>
                <w:tcPr>
                  <w:tcW w:w="1500" w:type="dxa"/>
                  <w:vMerge w:val="continue"/>
                  <w:noWrap w:val="0"/>
                  <w:vAlign w:val="center"/>
                </w:tcPr>
                <w:p w14:paraId="4D678447">
                  <w:pPr>
                    <w:ind w:right="-96"/>
                    <w:jc w:val="center"/>
                    <w:rPr>
                      <w:rFonts w:hint="default" w:ascii="Times New Roman" w:hAnsi="Times New Roman" w:eastAsia="宋体" w:cs="Times New Roman"/>
                      <w:color w:val="auto"/>
                      <w:sz w:val="21"/>
                      <w:szCs w:val="21"/>
                      <w:u w:val="none"/>
                      <w:lang w:val="en-US" w:eastAsia="zh-CN"/>
                    </w:rPr>
                  </w:pPr>
                </w:p>
              </w:tc>
              <w:tc>
                <w:tcPr>
                  <w:tcW w:w="853" w:type="dxa"/>
                  <w:noWrap w:val="0"/>
                  <w:vAlign w:val="center"/>
                </w:tcPr>
                <w:p w14:paraId="1F2C526E">
                  <w:pPr>
                    <w:ind w:right="-96" w:rightChars="0"/>
                    <w:jc w:val="center"/>
                    <w:rPr>
                      <w:rFonts w:hint="default"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西</w:t>
                  </w:r>
                </w:p>
              </w:tc>
              <w:tc>
                <w:tcPr>
                  <w:tcW w:w="1384" w:type="dxa"/>
                  <w:noWrap w:val="0"/>
                  <w:vAlign w:val="center"/>
                </w:tcPr>
                <w:p w14:paraId="6598F2BF">
                  <w:pPr>
                    <w:ind w:right="-96" w:rightChars="0"/>
                    <w:jc w:val="center"/>
                    <w:rPr>
                      <w:rFonts w:hint="default"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220KV久港线</w:t>
                  </w:r>
                </w:p>
              </w:tc>
              <w:tc>
                <w:tcPr>
                  <w:tcW w:w="954" w:type="dxa"/>
                  <w:noWrap w:val="0"/>
                  <w:vAlign w:val="center"/>
                </w:tcPr>
                <w:p w14:paraId="7E6CC794">
                  <w:pPr>
                    <w:ind w:right="-96" w:rightChars="0"/>
                    <w:jc w:val="center"/>
                    <w:rPr>
                      <w:rFonts w:hint="default" w:ascii="Times New Roman" w:hAnsi="Times New Roman" w:cs="Times New Roman"/>
                      <w:color w:val="0000FF"/>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041" w:type="dxa"/>
                  <w:noWrap w:val="0"/>
                  <w:vAlign w:val="center"/>
                </w:tcPr>
                <w:p w14:paraId="301B97C7">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174</w:t>
                  </w:r>
                </w:p>
              </w:tc>
              <w:tc>
                <w:tcPr>
                  <w:tcW w:w="591" w:type="dxa"/>
                  <w:noWrap w:val="0"/>
                  <w:vAlign w:val="center"/>
                </w:tcPr>
                <w:p w14:paraId="6A83EB8F">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491" w:type="dxa"/>
                  <w:vMerge w:val="continue"/>
                  <w:noWrap w:val="0"/>
                  <w:vAlign w:val="center"/>
                </w:tcPr>
                <w:p w14:paraId="353DD8F2">
                  <w:pPr>
                    <w:ind w:right="-96"/>
                    <w:jc w:val="center"/>
                    <w:rPr>
                      <w:rFonts w:hint="default" w:ascii="Times New Roman" w:hAnsi="Times New Roman" w:cs="Times New Roman"/>
                      <w:color w:val="auto"/>
                      <w:sz w:val="21"/>
                      <w:szCs w:val="21"/>
                      <w:u w:val="none"/>
                      <w:lang w:val="en-US" w:eastAsia="zh-CN"/>
                    </w:rPr>
                  </w:pPr>
                </w:p>
              </w:tc>
            </w:tr>
            <w:tr w14:paraId="6292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7F0F5699">
                  <w:pPr>
                    <w:ind w:right="-96"/>
                    <w:jc w:val="center"/>
                    <w:rPr>
                      <w:rFonts w:hint="default" w:ascii="Times New Roman" w:hAnsi="Times New Roman" w:cs="Times New Roman"/>
                      <w:color w:val="auto"/>
                      <w:sz w:val="21"/>
                      <w:szCs w:val="21"/>
                      <w:u w:val="none"/>
                      <w:lang w:val="en-US" w:eastAsia="zh-CN"/>
                    </w:rPr>
                  </w:pPr>
                </w:p>
              </w:tc>
              <w:tc>
                <w:tcPr>
                  <w:tcW w:w="1500" w:type="dxa"/>
                  <w:vMerge w:val="continue"/>
                  <w:noWrap w:val="0"/>
                  <w:vAlign w:val="center"/>
                </w:tcPr>
                <w:p w14:paraId="3F507581">
                  <w:pPr>
                    <w:ind w:right="-96"/>
                    <w:jc w:val="center"/>
                    <w:rPr>
                      <w:rFonts w:hint="default" w:ascii="Times New Roman" w:hAnsi="Times New Roman" w:eastAsia="宋体" w:cs="Times New Roman"/>
                      <w:color w:val="auto"/>
                      <w:sz w:val="21"/>
                      <w:szCs w:val="21"/>
                      <w:u w:val="none"/>
                      <w:lang w:val="en-US" w:eastAsia="zh-CN"/>
                    </w:rPr>
                  </w:pPr>
                </w:p>
              </w:tc>
              <w:tc>
                <w:tcPr>
                  <w:tcW w:w="853" w:type="dxa"/>
                  <w:noWrap w:val="0"/>
                  <w:vAlign w:val="center"/>
                </w:tcPr>
                <w:p w14:paraId="4A02FEED">
                  <w:pPr>
                    <w:ind w:right="-96" w:rightChars="0"/>
                    <w:jc w:val="center"/>
                    <w:rPr>
                      <w:rFonts w:hint="eastAsia"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南</w:t>
                  </w:r>
                </w:p>
              </w:tc>
              <w:tc>
                <w:tcPr>
                  <w:tcW w:w="1384" w:type="dxa"/>
                  <w:noWrap w:val="0"/>
                  <w:vAlign w:val="center"/>
                </w:tcPr>
                <w:p w14:paraId="5521E86A">
                  <w:pPr>
                    <w:ind w:right="-96" w:rightChars="0"/>
                    <w:jc w:val="center"/>
                    <w:rPr>
                      <w:rFonts w:hint="eastAsia"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2号仓库</w:t>
                  </w:r>
                </w:p>
              </w:tc>
              <w:tc>
                <w:tcPr>
                  <w:tcW w:w="954" w:type="dxa"/>
                  <w:noWrap w:val="0"/>
                  <w:vAlign w:val="center"/>
                </w:tcPr>
                <w:p w14:paraId="385D8650">
                  <w:pPr>
                    <w:ind w:right="-96" w:rightChars="0"/>
                    <w:jc w:val="center"/>
                    <w:rPr>
                      <w:rFonts w:hint="default" w:ascii="Times New Roman" w:hAnsi="Times New Roman" w:cs="Times New Roman"/>
                      <w:color w:val="0000FF"/>
                      <w:sz w:val="21"/>
                      <w:szCs w:val="21"/>
                      <w:u w:val="none"/>
                      <w:lang w:val="en-US" w:eastAsia="zh-CN"/>
                    </w:rPr>
                  </w:pPr>
                  <w:r>
                    <w:rPr>
                      <w:rFonts w:hint="eastAsia" w:ascii="Times New Roman" w:hAnsi="Times New Roman" w:cs="Times New Roman"/>
                      <w:color w:val="auto"/>
                      <w:sz w:val="21"/>
                      <w:szCs w:val="21"/>
                      <w:u w:val="none"/>
                      <w:lang w:val="en-US" w:eastAsia="zh-CN"/>
                    </w:rPr>
                    <w:t>10</w:t>
                  </w:r>
                </w:p>
              </w:tc>
              <w:tc>
                <w:tcPr>
                  <w:tcW w:w="1041" w:type="dxa"/>
                  <w:noWrap w:val="0"/>
                  <w:vAlign w:val="center"/>
                </w:tcPr>
                <w:p w14:paraId="7B3BD3DC">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17</w:t>
                  </w:r>
                </w:p>
              </w:tc>
              <w:tc>
                <w:tcPr>
                  <w:tcW w:w="591" w:type="dxa"/>
                  <w:noWrap w:val="0"/>
                  <w:vAlign w:val="center"/>
                </w:tcPr>
                <w:p w14:paraId="106EFA4A">
                  <w:pPr>
                    <w:ind w:right="-96"/>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符合</w:t>
                  </w:r>
                </w:p>
              </w:tc>
              <w:tc>
                <w:tcPr>
                  <w:tcW w:w="1491" w:type="dxa"/>
                  <w:noWrap w:val="0"/>
                  <w:vAlign w:val="center"/>
                </w:tcPr>
                <w:p w14:paraId="412581BE">
                  <w:pPr>
                    <w:ind w:right="-96"/>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 xml:space="preserve">GB50016-2014 </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2018年版</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第3.</w:t>
                  </w:r>
                  <w:r>
                    <w:rPr>
                      <w:rFonts w:hint="eastAsia" w:ascii="Times New Roman" w:hAnsi="Times New Roman" w:cs="Times New Roman"/>
                      <w:color w:val="auto"/>
                      <w:sz w:val="21"/>
                      <w:szCs w:val="21"/>
                      <w:u w:val="none"/>
                      <w:lang w:val="en-US" w:eastAsia="zh-CN"/>
                    </w:rPr>
                    <w:t>5</w:t>
                  </w:r>
                  <w:r>
                    <w:rPr>
                      <w:rFonts w:hint="default" w:ascii="Times New Roman" w:hAnsi="Times New Roman" w:cs="Times New Roman"/>
                      <w:color w:val="auto"/>
                      <w:sz w:val="21"/>
                      <w:szCs w:val="21"/>
                      <w:u w:val="none"/>
                      <w:lang w:val="en-US" w:eastAsia="zh-CN"/>
                    </w:rPr>
                    <w:t>.</w:t>
                  </w:r>
                  <w:r>
                    <w:rPr>
                      <w:rFonts w:hint="eastAsia" w:ascii="Times New Roman" w:hAnsi="Times New Roman" w:cs="Times New Roman"/>
                      <w:color w:val="auto"/>
                      <w:sz w:val="21"/>
                      <w:szCs w:val="21"/>
                      <w:u w:val="none"/>
                      <w:lang w:val="en-US" w:eastAsia="zh-CN"/>
                    </w:rPr>
                    <w:t>2条</w:t>
                  </w:r>
                </w:p>
              </w:tc>
            </w:tr>
            <w:tr w14:paraId="61C1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10850CAC">
                  <w:pPr>
                    <w:ind w:right="-96"/>
                    <w:jc w:val="center"/>
                    <w:rPr>
                      <w:rFonts w:hint="default" w:ascii="Times New Roman" w:hAnsi="Times New Roman" w:cs="Times New Roman"/>
                      <w:color w:val="auto"/>
                      <w:sz w:val="21"/>
                      <w:szCs w:val="21"/>
                      <w:u w:val="none"/>
                      <w:lang w:val="en-US" w:eastAsia="zh-CN"/>
                    </w:rPr>
                  </w:pPr>
                </w:p>
              </w:tc>
              <w:tc>
                <w:tcPr>
                  <w:tcW w:w="1500" w:type="dxa"/>
                  <w:vMerge w:val="continue"/>
                  <w:noWrap w:val="0"/>
                  <w:vAlign w:val="center"/>
                </w:tcPr>
                <w:p w14:paraId="68553D71">
                  <w:pPr>
                    <w:ind w:right="-96"/>
                    <w:jc w:val="center"/>
                    <w:rPr>
                      <w:rFonts w:hint="default" w:ascii="Times New Roman" w:hAnsi="Times New Roman" w:eastAsia="宋体" w:cs="Times New Roman"/>
                      <w:color w:val="auto"/>
                      <w:sz w:val="21"/>
                      <w:szCs w:val="21"/>
                      <w:u w:val="none"/>
                      <w:lang w:val="en-US" w:eastAsia="zh-CN"/>
                    </w:rPr>
                  </w:pPr>
                </w:p>
              </w:tc>
              <w:tc>
                <w:tcPr>
                  <w:tcW w:w="853" w:type="dxa"/>
                  <w:noWrap w:val="0"/>
                  <w:vAlign w:val="center"/>
                </w:tcPr>
                <w:p w14:paraId="327E9CA6">
                  <w:pPr>
                    <w:ind w:right="-96" w:rightChars="0"/>
                    <w:jc w:val="center"/>
                    <w:rPr>
                      <w:rFonts w:hint="eastAsia"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北</w:t>
                  </w:r>
                </w:p>
              </w:tc>
              <w:tc>
                <w:tcPr>
                  <w:tcW w:w="1384" w:type="dxa"/>
                  <w:noWrap w:val="0"/>
                  <w:vAlign w:val="center"/>
                </w:tcPr>
                <w:p w14:paraId="49198B29">
                  <w:pPr>
                    <w:ind w:right="-96" w:rightChars="0"/>
                    <w:jc w:val="center"/>
                    <w:rPr>
                      <w:rFonts w:hint="eastAsia"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5号仓库</w:t>
                  </w:r>
                </w:p>
              </w:tc>
              <w:tc>
                <w:tcPr>
                  <w:tcW w:w="954" w:type="dxa"/>
                  <w:noWrap w:val="0"/>
                  <w:vAlign w:val="center"/>
                </w:tcPr>
                <w:p w14:paraId="07579EB9">
                  <w:pPr>
                    <w:pStyle w:val="6"/>
                    <w:ind w:left="0" w:leftChars="0" w:firstLine="0" w:firstLineChars="0"/>
                    <w:jc w:val="center"/>
                    <w:rPr>
                      <w:rFonts w:hint="default" w:ascii="Times New Roman" w:hAnsi="Times New Roman" w:cs="Times New Roman"/>
                      <w:color w:val="0000FF"/>
                      <w:sz w:val="21"/>
                      <w:szCs w:val="21"/>
                      <w:u w:val="none"/>
                      <w:lang w:val="en-US" w:eastAsia="zh-CN"/>
                    </w:rPr>
                  </w:pPr>
                  <w:r>
                    <w:rPr>
                      <w:rFonts w:hint="eastAsia"/>
                      <w:color w:val="auto"/>
                      <w:u w:val="none"/>
                      <w:lang w:val="en-US" w:eastAsia="zh-CN"/>
                    </w:rPr>
                    <w:t>/</w:t>
                  </w:r>
                </w:p>
              </w:tc>
              <w:tc>
                <w:tcPr>
                  <w:tcW w:w="1041" w:type="dxa"/>
                  <w:noWrap w:val="0"/>
                  <w:vAlign w:val="center"/>
                </w:tcPr>
                <w:p w14:paraId="74F20EC7">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w:t>
                  </w:r>
                </w:p>
              </w:tc>
              <w:tc>
                <w:tcPr>
                  <w:tcW w:w="591" w:type="dxa"/>
                  <w:noWrap w:val="0"/>
                  <w:vAlign w:val="center"/>
                </w:tcPr>
                <w:p w14:paraId="1AD2EC90">
                  <w:pPr>
                    <w:ind w:right="-96"/>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符合</w:t>
                  </w:r>
                </w:p>
              </w:tc>
              <w:tc>
                <w:tcPr>
                  <w:tcW w:w="1491" w:type="dxa"/>
                  <w:noWrap w:val="0"/>
                  <w:vAlign w:val="center"/>
                </w:tcPr>
                <w:p w14:paraId="7C66659F">
                  <w:pPr>
                    <w:ind w:right="-96"/>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 xml:space="preserve">GB50016-2014 </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2018年版</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第3.</w:t>
                  </w:r>
                  <w:r>
                    <w:rPr>
                      <w:rFonts w:hint="eastAsia" w:ascii="Times New Roman" w:hAnsi="Times New Roman" w:cs="Times New Roman"/>
                      <w:color w:val="auto"/>
                      <w:sz w:val="21"/>
                      <w:szCs w:val="21"/>
                      <w:u w:val="none"/>
                      <w:lang w:val="en-US" w:eastAsia="zh-CN"/>
                    </w:rPr>
                    <w:t>5</w:t>
                  </w:r>
                  <w:r>
                    <w:rPr>
                      <w:rFonts w:hint="default" w:ascii="Times New Roman" w:hAnsi="Times New Roman" w:cs="Times New Roman"/>
                      <w:color w:val="auto"/>
                      <w:sz w:val="21"/>
                      <w:szCs w:val="21"/>
                      <w:u w:val="none"/>
                      <w:lang w:val="en-US" w:eastAsia="zh-CN"/>
                    </w:rPr>
                    <w:t>.</w:t>
                  </w:r>
                  <w:r>
                    <w:rPr>
                      <w:rFonts w:hint="eastAsia" w:ascii="Times New Roman" w:hAnsi="Times New Roman" w:cs="Times New Roman"/>
                      <w:color w:val="auto"/>
                      <w:sz w:val="21"/>
                      <w:szCs w:val="21"/>
                      <w:u w:val="none"/>
                      <w:lang w:val="en-US" w:eastAsia="zh-CN"/>
                    </w:rPr>
                    <w:t>2条注2</w:t>
                  </w:r>
                </w:p>
              </w:tc>
            </w:tr>
            <w:tr w14:paraId="70AE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74CD0A22">
                  <w:pPr>
                    <w:ind w:right="-96"/>
                    <w:jc w:val="center"/>
                    <w:rPr>
                      <w:rFonts w:hint="default" w:ascii="Times New Roman" w:hAnsi="Times New Roman" w:cs="Times New Roman"/>
                      <w:color w:val="auto"/>
                      <w:sz w:val="21"/>
                      <w:szCs w:val="21"/>
                      <w:u w:val="none"/>
                      <w:lang w:val="en-US" w:eastAsia="zh-CN"/>
                    </w:rPr>
                  </w:pPr>
                </w:p>
              </w:tc>
              <w:tc>
                <w:tcPr>
                  <w:tcW w:w="1500" w:type="dxa"/>
                  <w:vMerge w:val="continue"/>
                  <w:noWrap w:val="0"/>
                  <w:vAlign w:val="center"/>
                </w:tcPr>
                <w:p w14:paraId="7DD64ED0">
                  <w:pPr>
                    <w:ind w:right="-96"/>
                    <w:jc w:val="center"/>
                    <w:rPr>
                      <w:rFonts w:hint="default" w:ascii="Times New Roman" w:hAnsi="Times New Roman" w:eastAsia="宋体" w:cs="Times New Roman"/>
                      <w:color w:val="auto"/>
                      <w:sz w:val="21"/>
                      <w:szCs w:val="21"/>
                      <w:u w:val="none"/>
                      <w:lang w:val="en-US" w:eastAsia="zh-CN"/>
                    </w:rPr>
                  </w:pPr>
                </w:p>
              </w:tc>
              <w:tc>
                <w:tcPr>
                  <w:tcW w:w="853" w:type="dxa"/>
                  <w:noWrap w:val="0"/>
                  <w:vAlign w:val="center"/>
                </w:tcPr>
                <w:p w14:paraId="736AE80B">
                  <w:pPr>
                    <w:ind w:right="-96" w:rightChars="0"/>
                    <w:jc w:val="center"/>
                    <w:rPr>
                      <w:rFonts w:hint="eastAsia"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西</w:t>
                  </w:r>
                </w:p>
              </w:tc>
              <w:tc>
                <w:tcPr>
                  <w:tcW w:w="1384" w:type="dxa"/>
                  <w:noWrap w:val="0"/>
                  <w:vAlign w:val="center"/>
                </w:tcPr>
                <w:p w14:paraId="2F094348">
                  <w:pPr>
                    <w:ind w:right="-96" w:rightChars="0"/>
                    <w:jc w:val="center"/>
                    <w:rPr>
                      <w:rFonts w:hint="eastAsia"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调度中心</w:t>
                  </w:r>
                </w:p>
              </w:tc>
              <w:tc>
                <w:tcPr>
                  <w:tcW w:w="954" w:type="dxa"/>
                  <w:noWrap w:val="0"/>
                  <w:vAlign w:val="center"/>
                </w:tcPr>
                <w:p w14:paraId="39EF868A">
                  <w:pPr>
                    <w:ind w:right="-96" w:rightChars="0"/>
                    <w:jc w:val="center"/>
                    <w:rPr>
                      <w:rFonts w:hint="default" w:ascii="Times New Roman" w:hAnsi="Times New Roman" w:cs="Times New Roman"/>
                      <w:color w:val="0000FF"/>
                      <w:sz w:val="21"/>
                      <w:szCs w:val="21"/>
                      <w:u w:val="none"/>
                      <w:lang w:val="en-US" w:eastAsia="zh-CN"/>
                    </w:rPr>
                  </w:pPr>
                  <w:r>
                    <w:rPr>
                      <w:rFonts w:hint="eastAsia" w:ascii="Times New Roman" w:hAnsi="Times New Roman" w:cs="Times New Roman"/>
                      <w:color w:val="auto"/>
                      <w:sz w:val="21"/>
                      <w:szCs w:val="21"/>
                      <w:u w:val="none"/>
                      <w:lang w:val="en-US" w:eastAsia="zh-CN"/>
                    </w:rPr>
                    <w:t>10</w:t>
                  </w:r>
                </w:p>
              </w:tc>
              <w:tc>
                <w:tcPr>
                  <w:tcW w:w="1041" w:type="dxa"/>
                  <w:noWrap w:val="0"/>
                  <w:vAlign w:val="center"/>
                </w:tcPr>
                <w:p w14:paraId="76E7DD49">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51.5</w:t>
                  </w:r>
                </w:p>
              </w:tc>
              <w:tc>
                <w:tcPr>
                  <w:tcW w:w="591" w:type="dxa"/>
                  <w:noWrap w:val="0"/>
                  <w:vAlign w:val="center"/>
                </w:tcPr>
                <w:p w14:paraId="52F672A9">
                  <w:pPr>
                    <w:ind w:right="-96"/>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符合</w:t>
                  </w:r>
                </w:p>
              </w:tc>
              <w:tc>
                <w:tcPr>
                  <w:tcW w:w="1491" w:type="dxa"/>
                  <w:noWrap w:val="0"/>
                  <w:vAlign w:val="center"/>
                </w:tcPr>
                <w:p w14:paraId="42ECFD91">
                  <w:pPr>
                    <w:ind w:right="-96"/>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 xml:space="preserve">GB50016-2014 </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2018年版</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第3.</w:t>
                  </w:r>
                  <w:r>
                    <w:rPr>
                      <w:rFonts w:hint="eastAsia" w:ascii="Times New Roman" w:hAnsi="Times New Roman" w:cs="Times New Roman"/>
                      <w:color w:val="auto"/>
                      <w:sz w:val="21"/>
                      <w:szCs w:val="21"/>
                      <w:u w:val="none"/>
                      <w:lang w:val="en-US" w:eastAsia="zh-CN"/>
                    </w:rPr>
                    <w:t>5</w:t>
                  </w:r>
                  <w:r>
                    <w:rPr>
                      <w:rFonts w:hint="default" w:ascii="Times New Roman" w:hAnsi="Times New Roman" w:cs="Times New Roman"/>
                      <w:color w:val="auto"/>
                      <w:sz w:val="21"/>
                      <w:szCs w:val="21"/>
                      <w:u w:val="none"/>
                      <w:lang w:val="en-US" w:eastAsia="zh-CN"/>
                    </w:rPr>
                    <w:t>.</w:t>
                  </w:r>
                  <w:r>
                    <w:rPr>
                      <w:rFonts w:hint="eastAsia" w:ascii="Times New Roman" w:hAnsi="Times New Roman" w:cs="Times New Roman"/>
                      <w:color w:val="auto"/>
                      <w:sz w:val="21"/>
                      <w:szCs w:val="21"/>
                      <w:u w:val="none"/>
                      <w:lang w:val="en-US" w:eastAsia="zh-CN"/>
                    </w:rPr>
                    <w:t>2条</w:t>
                  </w:r>
                </w:p>
              </w:tc>
            </w:tr>
            <w:tr w14:paraId="05CC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18AFF57D">
                  <w:pPr>
                    <w:ind w:right="-96"/>
                    <w:jc w:val="center"/>
                    <w:rPr>
                      <w:rFonts w:hint="default" w:ascii="Times New Roman" w:hAnsi="Times New Roman" w:cs="Times New Roman"/>
                      <w:color w:val="auto"/>
                      <w:sz w:val="21"/>
                      <w:szCs w:val="21"/>
                      <w:u w:val="none"/>
                      <w:lang w:val="en-US" w:eastAsia="zh-CN"/>
                    </w:rPr>
                  </w:pPr>
                </w:p>
              </w:tc>
              <w:tc>
                <w:tcPr>
                  <w:tcW w:w="1500" w:type="dxa"/>
                  <w:vMerge w:val="continue"/>
                  <w:noWrap w:val="0"/>
                  <w:vAlign w:val="center"/>
                </w:tcPr>
                <w:p w14:paraId="6A3A5D62">
                  <w:pPr>
                    <w:ind w:right="-96"/>
                    <w:jc w:val="center"/>
                    <w:rPr>
                      <w:rFonts w:hint="default" w:ascii="Times New Roman" w:hAnsi="Times New Roman" w:eastAsia="宋体" w:cs="Times New Roman"/>
                      <w:color w:val="auto"/>
                      <w:sz w:val="21"/>
                      <w:szCs w:val="21"/>
                      <w:u w:val="none"/>
                      <w:lang w:val="en-US" w:eastAsia="zh-CN"/>
                    </w:rPr>
                  </w:pPr>
                </w:p>
              </w:tc>
              <w:tc>
                <w:tcPr>
                  <w:tcW w:w="853" w:type="dxa"/>
                  <w:noWrap w:val="0"/>
                  <w:vAlign w:val="center"/>
                </w:tcPr>
                <w:p w14:paraId="0D8EFC8A">
                  <w:pPr>
                    <w:ind w:right="-96" w:rightChars="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西北</w:t>
                  </w:r>
                </w:p>
              </w:tc>
              <w:tc>
                <w:tcPr>
                  <w:tcW w:w="1384" w:type="dxa"/>
                  <w:noWrap w:val="0"/>
                  <w:vAlign w:val="center"/>
                </w:tcPr>
                <w:p w14:paraId="23C8F9FD">
                  <w:pPr>
                    <w:ind w:right="-96" w:rightChars="0"/>
                    <w:jc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柴油橇装加油站</w:t>
                  </w:r>
                </w:p>
              </w:tc>
              <w:tc>
                <w:tcPr>
                  <w:tcW w:w="954" w:type="dxa"/>
                  <w:noWrap w:val="0"/>
                  <w:vAlign w:val="center"/>
                </w:tcPr>
                <w:p w14:paraId="68E8997F">
                  <w:pPr>
                    <w:ind w:right="-96" w:rightChars="0"/>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16</w:t>
                  </w:r>
                </w:p>
              </w:tc>
              <w:tc>
                <w:tcPr>
                  <w:tcW w:w="1041" w:type="dxa"/>
                  <w:noWrap w:val="0"/>
                  <w:vAlign w:val="center"/>
                </w:tcPr>
                <w:p w14:paraId="679B9BDE">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66</w:t>
                  </w:r>
                </w:p>
              </w:tc>
              <w:tc>
                <w:tcPr>
                  <w:tcW w:w="591" w:type="dxa"/>
                  <w:noWrap w:val="0"/>
                  <w:vAlign w:val="center"/>
                </w:tcPr>
                <w:p w14:paraId="1E081011">
                  <w:pPr>
                    <w:ind w:right="-96" w:rightChars="0"/>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符合</w:t>
                  </w:r>
                </w:p>
              </w:tc>
              <w:tc>
                <w:tcPr>
                  <w:tcW w:w="1491" w:type="dxa"/>
                  <w:noWrap w:val="0"/>
                  <w:vAlign w:val="center"/>
                </w:tcPr>
                <w:p w14:paraId="6D75C23C">
                  <w:pPr>
                    <w:ind w:right="-96" w:rightChars="0"/>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SH/T3134-2002第4.4条</w:t>
                  </w:r>
                </w:p>
              </w:tc>
            </w:tr>
            <w:tr w14:paraId="041C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restart"/>
                  <w:noWrap w:val="0"/>
                  <w:vAlign w:val="center"/>
                </w:tcPr>
                <w:p w14:paraId="5ED84583">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w:t>
                  </w:r>
                </w:p>
              </w:tc>
              <w:tc>
                <w:tcPr>
                  <w:tcW w:w="1500" w:type="dxa"/>
                  <w:vMerge w:val="restart"/>
                  <w:noWrap w:val="0"/>
                  <w:vAlign w:val="center"/>
                </w:tcPr>
                <w:p w14:paraId="5F78CB95">
                  <w:pPr>
                    <w:ind w:right="-96"/>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5号仓库（丙类、其他</w:t>
                  </w:r>
                  <w:r>
                    <w:rPr>
                      <w:rFonts w:hint="default" w:ascii="Times New Roman" w:hAnsi="Times New Roman" w:eastAsia="宋体" w:cs="Times New Roman"/>
                      <w:color w:val="auto"/>
                      <w:sz w:val="21"/>
                      <w:szCs w:val="21"/>
                      <w:u w:val="none"/>
                      <w:lang w:val="en-US" w:eastAsia="zh-CN"/>
                    </w:rPr>
                    <w:t>非易燃易爆</w:t>
                  </w:r>
                  <w:r>
                    <w:rPr>
                      <w:rFonts w:hint="eastAsia" w:ascii="Times New Roman" w:hAnsi="Times New Roman" w:eastAsia="宋体" w:cs="Times New Roman"/>
                      <w:color w:val="auto"/>
                      <w:sz w:val="21"/>
                      <w:szCs w:val="21"/>
                      <w:u w:val="none"/>
                      <w:lang w:val="en-US" w:eastAsia="zh-CN"/>
                    </w:rPr>
                    <w:t>危险货物）</w:t>
                  </w:r>
                </w:p>
              </w:tc>
              <w:tc>
                <w:tcPr>
                  <w:tcW w:w="853" w:type="dxa"/>
                  <w:noWrap w:val="0"/>
                  <w:vAlign w:val="center"/>
                </w:tcPr>
                <w:p w14:paraId="02B2D395">
                  <w:pPr>
                    <w:ind w:right="-96" w:rightChars="0"/>
                    <w:jc w:val="center"/>
                    <w:rPr>
                      <w:rFonts w:hint="default"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西</w:t>
                  </w:r>
                </w:p>
              </w:tc>
              <w:tc>
                <w:tcPr>
                  <w:tcW w:w="1384" w:type="dxa"/>
                  <w:noWrap w:val="0"/>
                  <w:vAlign w:val="center"/>
                </w:tcPr>
                <w:p w14:paraId="7E848C2B">
                  <w:pPr>
                    <w:ind w:right="-96" w:right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临港大道</w:t>
                  </w:r>
                </w:p>
              </w:tc>
              <w:tc>
                <w:tcPr>
                  <w:tcW w:w="954" w:type="dxa"/>
                  <w:noWrap w:val="0"/>
                  <w:vAlign w:val="center"/>
                </w:tcPr>
                <w:p w14:paraId="147FEBE8">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041" w:type="dxa"/>
                  <w:noWrap w:val="0"/>
                  <w:vAlign w:val="center"/>
                </w:tcPr>
                <w:p w14:paraId="4681679A">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216</w:t>
                  </w:r>
                </w:p>
              </w:tc>
              <w:tc>
                <w:tcPr>
                  <w:tcW w:w="591" w:type="dxa"/>
                  <w:noWrap w:val="0"/>
                  <w:vAlign w:val="center"/>
                </w:tcPr>
                <w:p w14:paraId="39E3E378">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491" w:type="dxa"/>
                  <w:vMerge w:val="restart"/>
                  <w:noWrap w:val="0"/>
                  <w:vAlign w:val="center"/>
                </w:tcPr>
                <w:p w14:paraId="626069E7">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无规范要求</w:t>
                  </w:r>
                </w:p>
              </w:tc>
            </w:tr>
            <w:tr w14:paraId="0328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89" w:type="dxa"/>
                  <w:vMerge w:val="continue"/>
                  <w:noWrap w:val="0"/>
                  <w:vAlign w:val="center"/>
                </w:tcPr>
                <w:p w14:paraId="160A6731">
                  <w:pPr>
                    <w:ind w:right="-96"/>
                    <w:jc w:val="center"/>
                    <w:rPr>
                      <w:rFonts w:hint="default" w:ascii="Times New Roman" w:hAnsi="Times New Roman" w:cs="Times New Roman"/>
                      <w:color w:val="0000FF"/>
                      <w:sz w:val="21"/>
                      <w:szCs w:val="21"/>
                      <w:u w:val="none"/>
                      <w:lang w:val="en-US" w:eastAsia="zh-CN"/>
                    </w:rPr>
                  </w:pPr>
                </w:p>
              </w:tc>
              <w:tc>
                <w:tcPr>
                  <w:tcW w:w="1500" w:type="dxa"/>
                  <w:vMerge w:val="continue"/>
                  <w:noWrap w:val="0"/>
                  <w:vAlign w:val="center"/>
                </w:tcPr>
                <w:p w14:paraId="138CB913">
                  <w:pPr>
                    <w:ind w:right="-96"/>
                    <w:jc w:val="center"/>
                    <w:rPr>
                      <w:rFonts w:hint="default" w:ascii="Times New Roman" w:hAnsi="Times New Roman" w:eastAsia="宋体" w:cs="Times New Roman"/>
                      <w:color w:val="0000FF"/>
                      <w:sz w:val="21"/>
                      <w:szCs w:val="21"/>
                      <w:u w:val="none"/>
                      <w:lang w:val="en-US" w:eastAsia="zh-CN"/>
                    </w:rPr>
                  </w:pPr>
                </w:p>
              </w:tc>
              <w:tc>
                <w:tcPr>
                  <w:tcW w:w="853" w:type="dxa"/>
                  <w:noWrap w:val="0"/>
                  <w:vAlign w:val="center"/>
                </w:tcPr>
                <w:p w14:paraId="72191391">
                  <w:pPr>
                    <w:ind w:right="-96" w:rightChars="0"/>
                    <w:jc w:val="center"/>
                    <w:rPr>
                      <w:rFonts w:hint="default"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南</w:t>
                  </w:r>
                </w:p>
              </w:tc>
              <w:tc>
                <w:tcPr>
                  <w:tcW w:w="1384" w:type="dxa"/>
                  <w:noWrap w:val="0"/>
                  <w:vAlign w:val="center"/>
                </w:tcPr>
                <w:p w14:paraId="779E05DB">
                  <w:pPr>
                    <w:ind w:right="-96" w:right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滨海公路</w:t>
                  </w:r>
                </w:p>
              </w:tc>
              <w:tc>
                <w:tcPr>
                  <w:tcW w:w="954" w:type="dxa"/>
                  <w:noWrap w:val="0"/>
                  <w:vAlign w:val="center"/>
                </w:tcPr>
                <w:p w14:paraId="5AF9EF10">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041" w:type="dxa"/>
                  <w:noWrap w:val="0"/>
                  <w:vAlign w:val="center"/>
                </w:tcPr>
                <w:p w14:paraId="4AB8DEC6">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390</w:t>
                  </w:r>
                </w:p>
              </w:tc>
              <w:tc>
                <w:tcPr>
                  <w:tcW w:w="591" w:type="dxa"/>
                  <w:noWrap w:val="0"/>
                  <w:vAlign w:val="center"/>
                </w:tcPr>
                <w:p w14:paraId="62DBE35A">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491" w:type="dxa"/>
                  <w:vMerge w:val="continue"/>
                  <w:noWrap w:val="0"/>
                  <w:vAlign w:val="center"/>
                </w:tcPr>
                <w:p w14:paraId="6816A8C2">
                  <w:pPr>
                    <w:ind w:right="-96"/>
                    <w:jc w:val="center"/>
                    <w:rPr>
                      <w:rFonts w:hint="default" w:ascii="Times New Roman" w:hAnsi="Times New Roman" w:cs="Times New Roman"/>
                      <w:color w:val="auto"/>
                      <w:sz w:val="21"/>
                      <w:szCs w:val="21"/>
                      <w:u w:val="none"/>
                      <w:lang w:val="en-US" w:eastAsia="zh-CN"/>
                    </w:rPr>
                  </w:pPr>
                </w:p>
              </w:tc>
            </w:tr>
            <w:tr w14:paraId="1862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4C887991">
                  <w:pPr>
                    <w:ind w:right="-96"/>
                    <w:jc w:val="center"/>
                    <w:rPr>
                      <w:rFonts w:hint="default" w:ascii="Times New Roman" w:hAnsi="Times New Roman" w:cs="Times New Roman"/>
                      <w:color w:val="0000FF"/>
                      <w:sz w:val="21"/>
                      <w:szCs w:val="21"/>
                      <w:u w:val="none"/>
                      <w:lang w:val="en-US" w:eastAsia="zh-CN"/>
                    </w:rPr>
                  </w:pPr>
                </w:p>
              </w:tc>
              <w:tc>
                <w:tcPr>
                  <w:tcW w:w="1500" w:type="dxa"/>
                  <w:vMerge w:val="continue"/>
                  <w:noWrap w:val="0"/>
                  <w:vAlign w:val="center"/>
                </w:tcPr>
                <w:p w14:paraId="15E83363">
                  <w:pPr>
                    <w:ind w:right="-96"/>
                    <w:jc w:val="center"/>
                    <w:rPr>
                      <w:rFonts w:hint="default" w:ascii="Times New Roman" w:hAnsi="Times New Roman" w:eastAsia="宋体" w:cs="Times New Roman"/>
                      <w:color w:val="0000FF"/>
                      <w:sz w:val="21"/>
                      <w:szCs w:val="21"/>
                      <w:u w:val="none"/>
                      <w:lang w:val="en-US" w:eastAsia="zh-CN"/>
                    </w:rPr>
                  </w:pPr>
                </w:p>
              </w:tc>
              <w:tc>
                <w:tcPr>
                  <w:tcW w:w="853" w:type="dxa"/>
                  <w:noWrap w:val="0"/>
                  <w:vAlign w:val="center"/>
                </w:tcPr>
                <w:p w14:paraId="4CD1C9D1">
                  <w:pPr>
                    <w:ind w:right="-96" w:rightChars="0"/>
                    <w:jc w:val="center"/>
                    <w:rPr>
                      <w:rFonts w:hint="default"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西</w:t>
                  </w:r>
                </w:p>
              </w:tc>
              <w:tc>
                <w:tcPr>
                  <w:tcW w:w="1384" w:type="dxa"/>
                  <w:noWrap w:val="0"/>
                  <w:vAlign w:val="center"/>
                </w:tcPr>
                <w:p w14:paraId="7846B59D">
                  <w:pPr>
                    <w:ind w:right="-96" w:right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220KV久港线</w:t>
                  </w:r>
                </w:p>
              </w:tc>
              <w:tc>
                <w:tcPr>
                  <w:tcW w:w="954" w:type="dxa"/>
                  <w:noWrap w:val="0"/>
                  <w:vAlign w:val="center"/>
                </w:tcPr>
                <w:p w14:paraId="59852655">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041" w:type="dxa"/>
                  <w:noWrap w:val="0"/>
                  <w:vAlign w:val="center"/>
                </w:tcPr>
                <w:p w14:paraId="6BDA96EA">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156</w:t>
                  </w:r>
                </w:p>
              </w:tc>
              <w:tc>
                <w:tcPr>
                  <w:tcW w:w="591" w:type="dxa"/>
                  <w:noWrap w:val="0"/>
                  <w:vAlign w:val="center"/>
                </w:tcPr>
                <w:p w14:paraId="2449301E">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491" w:type="dxa"/>
                  <w:vMerge w:val="continue"/>
                  <w:noWrap w:val="0"/>
                  <w:vAlign w:val="center"/>
                </w:tcPr>
                <w:p w14:paraId="2778E1FE">
                  <w:pPr>
                    <w:ind w:right="-96"/>
                    <w:jc w:val="center"/>
                    <w:rPr>
                      <w:rFonts w:hint="default" w:ascii="Times New Roman" w:hAnsi="Times New Roman" w:cs="Times New Roman"/>
                      <w:color w:val="auto"/>
                      <w:sz w:val="21"/>
                      <w:szCs w:val="21"/>
                      <w:u w:val="none"/>
                      <w:lang w:val="en-US" w:eastAsia="zh-CN"/>
                    </w:rPr>
                  </w:pPr>
                </w:p>
              </w:tc>
            </w:tr>
            <w:tr w14:paraId="350E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060E5371">
                  <w:pPr>
                    <w:ind w:right="-96"/>
                    <w:jc w:val="center"/>
                    <w:rPr>
                      <w:rFonts w:hint="default" w:ascii="Times New Roman" w:hAnsi="Times New Roman" w:cs="Times New Roman"/>
                      <w:color w:val="0000FF"/>
                      <w:sz w:val="21"/>
                      <w:szCs w:val="21"/>
                      <w:u w:val="none"/>
                      <w:lang w:val="en-US" w:eastAsia="zh-CN"/>
                    </w:rPr>
                  </w:pPr>
                </w:p>
              </w:tc>
              <w:tc>
                <w:tcPr>
                  <w:tcW w:w="1500" w:type="dxa"/>
                  <w:vMerge w:val="continue"/>
                  <w:noWrap w:val="0"/>
                  <w:vAlign w:val="center"/>
                </w:tcPr>
                <w:p w14:paraId="0FF6E1CE">
                  <w:pPr>
                    <w:ind w:right="-96"/>
                    <w:jc w:val="center"/>
                    <w:rPr>
                      <w:rFonts w:hint="default" w:ascii="Times New Roman" w:hAnsi="Times New Roman" w:eastAsia="宋体" w:cs="Times New Roman"/>
                      <w:color w:val="0000FF"/>
                      <w:sz w:val="21"/>
                      <w:szCs w:val="21"/>
                      <w:u w:val="none"/>
                      <w:lang w:val="en-US" w:eastAsia="zh-CN"/>
                    </w:rPr>
                  </w:pPr>
                </w:p>
              </w:tc>
              <w:tc>
                <w:tcPr>
                  <w:tcW w:w="853" w:type="dxa"/>
                  <w:noWrap w:val="0"/>
                  <w:vAlign w:val="center"/>
                </w:tcPr>
                <w:p w14:paraId="69B1C36A">
                  <w:pPr>
                    <w:ind w:right="-96" w:rightChars="0"/>
                    <w:jc w:val="center"/>
                    <w:rPr>
                      <w:rFonts w:hint="eastAsia"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南</w:t>
                  </w:r>
                </w:p>
              </w:tc>
              <w:tc>
                <w:tcPr>
                  <w:tcW w:w="1384" w:type="dxa"/>
                  <w:noWrap w:val="0"/>
                  <w:vAlign w:val="center"/>
                </w:tcPr>
                <w:p w14:paraId="15B9A84E">
                  <w:pPr>
                    <w:ind w:right="-96" w:rightChars="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4号仓库</w:t>
                  </w:r>
                </w:p>
              </w:tc>
              <w:tc>
                <w:tcPr>
                  <w:tcW w:w="954" w:type="dxa"/>
                  <w:noWrap w:val="0"/>
                  <w:vAlign w:val="center"/>
                </w:tcPr>
                <w:p w14:paraId="35536635">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041" w:type="dxa"/>
                  <w:noWrap w:val="0"/>
                  <w:vAlign w:val="center"/>
                </w:tcPr>
                <w:p w14:paraId="0B1B1938">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w:t>
                  </w:r>
                </w:p>
              </w:tc>
              <w:tc>
                <w:tcPr>
                  <w:tcW w:w="591" w:type="dxa"/>
                  <w:noWrap w:val="0"/>
                  <w:vAlign w:val="center"/>
                </w:tcPr>
                <w:p w14:paraId="7AE30317">
                  <w:pPr>
                    <w:ind w:right="-96" w:rightChars="0"/>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符合</w:t>
                  </w:r>
                </w:p>
              </w:tc>
              <w:tc>
                <w:tcPr>
                  <w:tcW w:w="1491" w:type="dxa"/>
                  <w:noWrap w:val="0"/>
                  <w:vAlign w:val="center"/>
                </w:tcPr>
                <w:p w14:paraId="58813A41">
                  <w:pPr>
                    <w:ind w:right="-96"/>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 xml:space="preserve">GB50016-2014 </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2018年版</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第3.</w:t>
                  </w:r>
                  <w:r>
                    <w:rPr>
                      <w:rFonts w:hint="eastAsia" w:ascii="Times New Roman" w:hAnsi="Times New Roman" w:cs="Times New Roman"/>
                      <w:color w:val="auto"/>
                      <w:sz w:val="21"/>
                      <w:szCs w:val="21"/>
                      <w:u w:val="none"/>
                      <w:lang w:val="en-US" w:eastAsia="zh-CN"/>
                    </w:rPr>
                    <w:t>5</w:t>
                  </w:r>
                  <w:r>
                    <w:rPr>
                      <w:rFonts w:hint="default" w:ascii="Times New Roman" w:hAnsi="Times New Roman" w:cs="Times New Roman"/>
                      <w:color w:val="auto"/>
                      <w:sz w:val="21"/>
                      <w:szCs w:val="21"/>
                      <w:u w:val="none"/>
                      <w:lang w:val="en-US" w:eastAsia="zh-CN"/>
                    </w:rPr>
                    <w:t>.</w:t>
                  </w:r>
                  <w:r>
                    <w:rPr>
                      <w:rFonts w:hint="eastAsia" w:ascii="Times New Roman" w:hAnsi="Times New Roman" w:cs="Times New Roman"/>
                      <w:color w:val="auto"/>
                      <w:sz w:val="21"/>
                      <w:szCs w:val="21"/>
                      <w:u w:val="none"/>
                      <w:lang w:val="en-US" w:eastAsia="zh-CN"/>
                    </w:rPr>
                    <w:t>2条注2</w:t>
                  </w:r>
                </w:p>
              </w:tc>
            </w:tr>
            <w:tr w14:paraId="11EA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525C3202">
                  <w:pPr>
                    <w:ind w:right="-96"/>
                    <w:jc w:val="center"/>
                    <w:rPr>
                      <w:rFonts w:hint="default" w:ascii="Times New Roman" w:hAnsi="Times New Roman" w:cs="Times New Roman"/>
                      <w:color w:val="0000FF"/>
                      <w:sz w:val="21"/>
                      <w:szCs w:val="21"/>
                      <w:u w:val="none"/>
                      <w:lang w:val="en-US" w:eastAsia="zh-CN"/>
                    </w:rPr>
                  </w:pPr>
                </w:p>
              </w:tc>
              <w:tc>
                <w:tcPr>
                  <w:tcW w:w="1500" w:type="dxa"/>
                  <w:vMerge w:val="continue"/>
                  <w:noWrap w:val="0"/>
                  <w:vAlign w:val="center"/>
                </w:tcPr>
                <w:p w14:paraId="1C04B49B">
                  <w:pPr>
                    <w:ind w:right="-96"/>
                    <w:jc w:val="center"/>
                    <w:rPr>
                      <w:rFonts w:hint="default" w:ascii="Times New Roman" w:hAnsi="Times New Roman" w:eastAsia="宋体" w:cs="Times New Roman"/>
                      <w:color w:val="0000FF"/>
                      <w:sz w:val="21"/>
                      <w:szCs w:val="21"/>
                      <w:u w:val="none"/>
                      <w:lang w:val="en-US" w:eastAsia="zh-CN"/>
                    </w:rPr>
                  </w:pPr>
                </w:p>
              </w:tc>
              <w:tc>
                <w:tcPr>
                  <w:tcW w:w="853" w:type="dxa"/>
                  <w:noWrap w:val="0"/>
                  <w:vAlign w:val="center"/>
                </w:tcPr>
                <w:p w14:paraId="3A21C9AE">
                  <w:pPr>
                    <w:ind w:right="-96" w:rightChars="0"/>
                    <w:jc w:val="center"/>
                    <w:rPr>
                      <w:rFonts w:hint="eastAsia" w:ascii="Times New Roman" w:hAnsi="Times New Roman" w:eastAsia="宋体" w:cs="Times New Roman"/>
                      <w:color w:val="0000FF"/>
                      <w:sz w:val="21"/>
                      <w:szCs w:val="21"/>
                      <w:u w:val="none"/>
                      <w:lang w:val="en-US" w:eastAsia="zh-CN"/>
                    </w:rPr>
                  </w:pPr>
                  <w:r>
                    <w:rPr>
                      <w:rFonts w:hint="eastAsia" w:ascii="Times New Roman" w:hAnsi="Times New Roman" w:eastAsia="宋体" w:cs="Times New Roman"/>
                      <w:color w:val="auto"/>
                      <w:sz w:val="21"/>
                      <w:szCs w:val="21"/>
                      <w:u w:val="none"/>
                      <w:lang w:val="en-US" w:eastAsia="zh-CN"/>
                    </w:rPr>
                    <w:t>西</w:t>
                  </w:r>
                </w:p>
              </w:tc>
              <w:tc>
                <w:tcPr>
                  <w:tcW w:w="1384" w:type="dxa"/>
                  <w:noWrap w:val="0"/>
                  <w:vAlign w:val="center"/>
                </w:tcPr>
                <w:p w14:paraId="1634FEDC">
                  <w:pPr>
                    <w:ind w:right="-96" w:rightChars="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调度中心</w:t>
                  </w:r>
                </w:p>
              </w:tc>
              <w:tc>
                <w:tcPr>
                  <w:tcW w:w="954" w:type="dxa"/>
                  <w:noWrap w:val="0"/>
                  <w:vAlign w:val="center"/>
                </w:tcPr>
                <w:p w14:paraId="785555A1">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10</w:t>
                  </w:r>
                </w:p>
              </w:tc>
              <w:tc>
                <w:tcPr>
                  <w:tcW w:w="1041" w:type="dxa"/>
                  <w:noWrap w:val="0"/>
                  <w:vAlign w:val="center"/>
                </w:tcPr>
                <w:p w14:paraId="1663B56E">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67.5</w:t>
                  </w:r>
                </w:p>
              </w:tc>
              <w:tc>
                <w:tcPr>
                  <w:tcW w:w="591" w:type="dxa"/>
                  <w:noWrap w:val="0"/>
                  <w:vAlign w:val="center"/>
                </w:tcPr>
                <w:p w14:paraId="55874A7D">
                  <w:pPr>
                    <w:ind w:right="-96" w:rightChars="0"/>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符合</w:t>
                  </w:r>
                </w:p>
              </w:tc>
              <w:tc>
                <w:tcPr>
                  <w:tcW w:w="1491" w:type="dxa"/>
                  <w:noWrap w:val="0"/>
                  <w:vAlign w:val="center"/>
                </w:tcPr>
                <w:p w14:paraId="729417D6">
                  <w:pPr>
                    <w:ind w:right="-96"/>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 xml:space="preserve">GB50016-2014 </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2018年版</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第3.</w:t>
                  </w:r>
                  <w:r>
                    <w:rPr>
                      <w:rFonts w:hint="eastAsia" w:ascii="Times New Roman" w:hAnsi="Times New Roman" w:cs="Times New Roman"/>
                      <w:color w:val="auto"/>
                      <w:sz w:val="21"/>
                      <w:szCs w:val="21"/>
                      <w:u w:val="none"/>
                      <w:lang w:val="en-US" w:eastAsia="zh-CN"/>
                    </w:rPr>
                    <w:t>5</w:t>
                  </w:r>
                  <w:r>
                    <w:rPr>
                      <w:rFonts w:hint="default" w:ascii="Times New Roman" w:hAnsi="Times New Roman" w:cs="Times New Roman"/>
                      <w:color w:val="auto"/>
                      <w:sz w:val="21"/>
                      <w:szCs w:val="21"/>
                      <w:u w:val="none"/>
                      <w:lang w:val="en-US" w:eastAsia="zh-CN"/>
                    </w:rPr>
                    <w:t>.</w:t>
                  </w:r>
                  <w:r>
                    <w:rPr>
                      <w:rFonts w:hint="eastAsia" w:ascii="Times New Roman" w:hAnsi="Times New Roman" w:cs="Times New Roman"/>
                      <w:color w:val="auto"/>
                      <w:sz w:val="21"/>
                      <w:szCs w:val="21"/>
                      <w:u w:val="none"/>
                      <w:lang w:val="en-US" w:eastAsia="zh-CN"/>
                    </w:rPr>
                    <w:t>2条</w:t>
                  </w:r>
                </w:p>
              </w:tc>
            </w:tr>
            <w:tr w14:paraId="5EBE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5D1FCC2D">
                  <w:pPr>
                    <w:ind w:right="-96"/>
                    <w:jc w:val="center"/>
                    <w:rPr>
                      <w:rFonts w:hint="default" w:ascii="Times New Roman" w:hAnsi="Times New Roman" w:cs="Times New Roman"/>
                      <w:color w:val="0000FF"/>
                      <w:sz w:val="21"/>
                      <w:szCs w:val="21"/>
                      <w:u w:val="none"/>
                      <w:lang w:val="en-US" w:eastAsia="zh-CN"/>
                    </w:rPr>
                  </w:pPr>
                </w:p>
              </w:tc>
              <w:tc>
                <w:tcPr>
                  <w:tcW w:w="1500" w:type="dxa"/>
                  <w:vMerge w:val="continue"/>
                  <w:noWrap w:val="0"/>
                  <w:vAlign w:val="center"/>
                </w:tcPr>
                <w:p w14:paraId="7A005FE1">
                  <w:pPr>
                    <w:ind w:right="-96"/>
                    <w:jc w:val="center"/>
                    <w:rPr>
                      <w:rFonts w:hint="default" w:ascii="Times New Roman" w:hAnsi="Times New Roman" w:eastAsia="宋体" w:cs="Times New Roman"/>
                      <w:color w:val="0000FF"/>
                      <w:sz w:val="21"/>
                      <w:szCs w:val="21"/>
                      <w:u w:val="none"/>
                      <w:lang w:val="en-US" w:eastAsia="zh-CN"/>
                    </w:rPr>
                  </w:pPr>
                </w:p>
              </w:tc>
              <w:tc>
                <w:tcPr>
                  <w:tcW w:w="853" w:type="dxa"/>
                  <w:noWrap w:val="0"/>
                  <w:vAlign w:val="center"/>
                </w:tcPr>
                <w:p w14:paraId="02505DFE">
                  <w:pPr>
                    <w:ind w:right="-96" w:right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西北</w:t>
                  </w:r>
                </w:p>
              </w:tc>
              <w:tc>
                <w:tcPr>
                  <w:tcW w:w="1384" w:type="dxa"/>
                  <w:noWrap w:val="0"/>
                  <w:vAlign w:val="center"/>
                </w:tcPr>
                <w:p w14:paraId="3F1891AF">
                  <w:pPr>
                    <w:ind w:right="-96" w:right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维修车间（丁类）</w:t>
                  </w:r>
                </w:p>
              </w:tc>
              <w:tc>
                <w:tcPr>
                  <w:tcW w:w="954" w:type="dxa"/>
                  <w:noWrap w:val="0"/>
                  <w:vAlign w:val="center"/>
                </w:tcPr>
                <w:p w14:paraId="2A07ADFB">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10</w:t>
                  </w:r>
                </w:p>
              </w:tc>
              <w:tc>
                <w:tcPr>
                  <w:tcW w:w="1041" w:type="dxa"/>
                  <w:noWrap w:val="0"/>
                  <w:vAlign w:val="center"/>
                </w:tcPr>
                <w:p w14:paraId="78E963FD">
                  <w:pPr>
                    <w:ind w:right="-96"/>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32</w:t>
                  </w:r>
                </w:p>
              </w:tc>
              <w:tc>
                <w:tcPr>
                  <w:tcW w:w="591" w:type="dxa"/>
                  <w:noWrap w:val="0"/>
                  <w:vAlign w:val="center"/>
                </w:tcPr>
                <w:p w14:paraId="4CD6C9AD">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符合</w:t>
                  </w:r>
                </w:p>
              </w:tc>
              <w:tc>
                <w:tcPr>
                  <w:tcW w:w="1491" w:type="dxa"/>
                  <w:noWrap w:val="0"/>
                  <w:vAlign w:val="center"/>
                </w:tcPr>
                <w:p w14:paraId="7CC1EAE6">
                  <w:pPr>
                    <w:ind w:right="-96"/>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GB50016-2014 </w:t>
                  </w:r>
                  <w:r>
                    <w:rPr>
                      <w:rFonts w:hint="eastAsia" w:cs="Times New Roman"/>
                      <w:color w:val="auto"/>
                      <w:sz w:val="21"/>
                      <w:szCs w:val="21"/>
                      <w:u w:val="none"/>
                      <w:lang w:val="en-US" w:eastAsia="zh-CN"/>
                    </w:rPr>
                    <w:t>（</w:t>
                  </w:r>
                  <w:r>
                    <w:rPr>
                      <w:rFonts w:hint="default" w:ascii="Times New Roman" w:hAnsi="Times New Roman" w:eastAsia="宋体" w:cs="Times New Roman"/>
                      <w:color w:val="auto"/>
                      <w:sz w:val="21"/>
                      <w:szCs w:val="21"/>
                      <w:u w:val="none"/>
                      <w:lang w:val="en-US" w:eastAsia="zh-CN"/>
                    </w:rPr>
                    <w:t>2018年版</w:t>
                  </w:r>
                  <w:r>
                    <w:rPr>
                      <w:rFonts w:hint="eastAsia" w:cs="Times New Roman"/>
                      <w:color w:val="auto"/>
                      <w:sz w:val="21"/>
                      <w:szCs w:val="21"/>
                      <w:u w:val="none"/>
                      <w:lang w:val="en-US" w:eastAsia="zh-CN"/>
                    </w:rPr>
                    <w:t>）</w:t>
                  </w:r>
                  <w:r>
                    <w:rPr>
                      <w:rFonts w:hint="default" w:ascii="Times New Roman" w:hAnsi="Times New Roman" w:eastAsia="宋体" w:cs="Times New Roman"/>
                      <w:color w:val="auto"/>
                      <w:sz w:val="21"/>
                      <w:szCs w:val="21"/>
                      <w:u w:val="none"/>
                      <w:lang w:val="en-US" w:eastAsia="zh-CN"/>
                    </w:rPr>
                    <w:t>第3.4.1条</w:t>
                  </w:r>
                </w:p>
              </w:tc>
            </w:tr>
            <w:tr w14:paraId="0919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9" w:type="dxa"/>
                  <w:vMerge w:val="continue"/>
                  <w:noWrap w:val="0"/>
                  <w:vAlign w:val="center"/>
                </w:tcPr>
                <w:p w14:paraId="19A6BBB9">
                  <w:pPr>
                    <w:ind w:right="-96"/>
                    <w:jc w:val="center"/>
                    <w:rPr>
                      <w:rFonts w:hint="default" w:ascii="Times New Roman" w:hAnsi="Times New Roman" w:cs="Times New Roman"/>
                      <w:color w:val="0000FF"/>
                      <w:sz w:val="21"/>
                      <w:szCs w:val="21"/>
                      <w:u w:val="none"/>
                      <w:lang w:val="en-US" w:eastAsia="zh-CN"/>
                    </w:rPr>
                  </w:pPr>
                </w:p>
              </w:tc>
              <w:tc>
                <w:tcPr>
                  <w:tcW w:w="1500" w:type="dxa"/>
                  <w:vMerge w:val="continue"/>
                  <w:noWrap w:val="0"/>
                  <w:vAlign w:val="center"/>
                </w:tcPr>
                <w:p w14:paraId="1D8ACAB2">
                  <w:pPr>
                    <w:ind w:right="-96"/>
                    <w:jc w:val="center"/>
                    <w:rPr>
                      <w:rFonts w:hint="default" w:ascii="Times New Roman" w:hAnsi="Times New Roman" w:eastAsia="宋体" w:cs="Times New Roman"/>
                      <w:color w:val="0000FF"/>
                      <w:sz w:val="21"/>
                      <w:szCs w:val="21"/>
                      <w:u w:val="none"/>
                      <w:lang w:val="en-US" w:eastAsia="zh-CN"/>
                    </w:rPr>
                  </w:pPr>
                </w:p>
              </w:tc>
              <w:tc>
                <w:tcPr>
                  <w:tcW w:w="853" w:type="dxa"/>
                  <w:noWrap w:val="0"/>
                  <w:vAlign w:val="center"/>
                </w:tcPr>
                <w:p w14:paraId="7BF1BB2B">
                  <w:pPr>
                    <w:ind w:right="-96" w:right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西</w:t>
                  </w:r>
                </w:p>
              </w:tc>
              <w:tc>
                <w:tcPr>
                  <w:tcW w:w="1384" w:type="dxa"/>
                  <w:noWrap w:val="0"/>
                  <w:vAlign w:val="center"/>
                </w:tcPr>
                <w:p w14:paraId="070AFBD5">
                  <w:pPr>
                    <w:ind w:right="-96" w:rightChars="0"/>
                    <w:jc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柴油橇装加油站</w:t>
                  </w:r>
                </w:p>
              </w:tc>
              <w:tc>
                <w:tcPr>
                  <w:tcW w:w="954" w:type="dxa"/>
                  <w:noWrap w:val="0"/>
                  <w:vAlign w:val="center"/>
                </w:tcPr>
                <w:p w14:paraId="7CDA344B">
                  <w:pPr>
                    <w:ind w:right="-96" w:rightChars="0"/>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16</w:t>
                  </w:r>
                </w:p>
              </w:tc>
              <w:tc>
                <w:tcPr>
                  <w:tcW w:w="1041" w:type="dxa"/>
                  <w:noWrap w:val="0"/>
                  <w:vAlign w:val="center"/>
                </w:tcPr>
                <w:p w14:paraId="4002B574">
                  <w:pPr>
                    <w:ind w:right="-96" w:right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41.4</w:t>
                  </w:r>
                </w:p>
              </w:tc>
              <w:tc>
                <w:tcPr>
                  <w:tcW w:w="591" w:type="dxa"/>
                  <w:noWrap w:val="0"/>
                  <w:vAlign w:val="center"/>
                </w:tcPr>
                <w:p w14:paraId="06D05C80">
                  <w:pPr>
                    <w:ind w:right="-96" w:rightChars="0"/>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符合</w:t>
                  </w:r>
                </w:p>
              </w:tc>
              <w:tc>
                <w:tcPr>
                  <w:tcW w:w="1491" w:type="dxa"/>
                  <w:noWrap w:val="0"/>
                  <w:vAlign w:val="center"/>
                </w:tcPr>
                <w:p w14:paraId="72750C80">
                  <w:pPr>
                    <w:ind w:right="-96" w:righ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SH/T3134-2002第4.4条</w:t>
                  </w:r>
                </w:p>
              </w:tc>
            </w:tr>
          </w:tbl>
          <w:p w14:paraId="73B88106">
            <w:pPr>
              <w:pStyle w:val="6"/>
              <w:keepNext w:val="0"/>
              <w:keepLines w:val="0"/>
              <w:pageBreakBefore w:val="0"/>
              <w:widowControl w:val="0"/>
              <w:kinsoku/>
              <w:wordWrap/>
              <w:overflowPunct/>
              <w:topLinePunct w:val="0"/>
              <w:autoSpaceDE/>
              <w:autoSpaceDN/>
              <w:bidi w:val="0"/>
              <w:adjustRightInd/>
              <w:snapToGrid/>
              <w:spacing w:before="157" w:beforeLines="50" w:line="360" w:lineRule="auto"/>
              <w:ind w:firstLine="480"/>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9、项目水平衡</w:t>
            </w:r>
          </w:p>
          <w:p w14:paraId="7B3F8E40">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eastAsia="宋体"/>
                <w:b/>
                <w:bCs/>
                <w:color w:val="0000FF"/>
                <w:sz w:val="24"/>
                <w:lang w:val="en-US" w:eastAsia="zh-CN"/>
              </w:rPr>
            </w:pPr>
            <w:r>
              <w:rPr>
                <w:rFonts w:hint="eastAsia"/>
                <w:color w:val="000000"/>
                <w:kern w:val="0"/>
                <w:sz w:val="24"/>
                <w:lang w:val="en-US" w:eastAsia="zh-CN"/>
              </w:rPr>
              <w:t>改扩建</w:t>
            </w:r>
            <w:r>
              <w:rPr>
                <w:rFonts w:hint="eastAsia"/>
                <w:color w:val="000000"/>
                <w:kern w:val="0"/>
                <w:sz w:val="24"/>
                <w:lang w:eastAsia="zh-CN"/>
              </w:rPr>
              <w:t>项目</w:t>
            </w:r>
            <w:r>
              <w:rPr>
                <w:rFonts w:hint="eastAsia"/>
                <w:color w:val="000000"/>
                <w:kern w:val="0"/>
                <w:sz w:val="24"/>
                <w:lang w:val="en-US" w:eastAsia="zh-CN"/>
              </w:rPr>
              <w:t>不新增员工，不新增生活污水，</w:t>
            </w:r>
            <w:r>
              <w:rPr>
                <w:rFonts w:hint="eastAsia"/>
                <w:color w:val="000000"/>
                <w:kern w:val="0"/>
                <w:sz w:val="24"/>
                <w:lang w:eastAsia="zh-CN"/>
              </w:rPr>
              <w:t>废水主要为初期雨水，初期雨水经初期雨水收集</w:t>
            </w:r>
            <w:r>
              <w:rPr>
                <w:kern w:val="0"/>
                <w:sz w:val="24"/>
              </w:rPr>
              <w:t>后</w:t>
            </w:r>
            <w:r>
              <w:rPr>
                <w:rFonts w:hint="eastAsia"/>
                <w:color w:val="000000"/>
                <w:kern w:val="0"/>
                <w:sz w:val="24"/>
                <w:lang w:val="en-US" w:eastAsia="zh-CN"/>
              </w:rPr>
              <w:t>排至园区污水管网进入钦州港工业污水集中处理厂处理。</w:t>
            </w:r>
          </w:p>
        </w:tc>
      </w:tr>
      <w:tr w14:paraId="71604C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423" w:type="dxa"/>
            <w:noWrap w:val="0"/>
            <w:vAlign w:val="center"/>
          </w:tcPr>
          <w:p w14:paraId="057DE774">
            <w:pPr>
              <w:pStyle w:val="17"/>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8637" w:type="dxa"/>
            <w:noWrap w:val="0"/>
            <w:vAlign w:val="top"/>
          </w:tcPr>
          <w:p w14:paraId="3DDC8566">
            <w:pPr>
              <w:spacing w:line="500" w:lineRule="exact"/>
              <w:rPr>
                <w:b/>
                <w:bCs/>
                <w:sz w:val="24"/>
              </w:rPr>
            </w:pPr>
            <w:r>
              <w:rPr>
                <w:b/>
                <w:bCs/>
                <w:sz w:val="24"/>
              </w:rPr>
              <w:t>工艺流程简述</w:t>
            </w:r>
          </w:p>
          <w:p w14:paraId="0868994D">
            <w:pPr>
              <w:pStyle w:val="6"/>
              <w:numPr>
                <w:ilvl w:val="0"/>
                <w:numId w:val="0"/>
              </w:numPr>
              <w:spacing w:line="500" w:lineRule="exact"/>
              <w:ind w:firstLine="480" w:firstLineChars="200"/>
              <w:rPr>
                <w:rFonts w:hint="eastAsia"/>
                <w:kern w:val="0"/>
                <w:sz w:val="24"/>
              </w:rPr>
            </w:pPr>
            <w:r>
              <w:rPr>
                <w:rFonts w:hint="eastAsia"/>
                <w:kern w:val="0"/>
                <w:sz w:val="24"/>
                <w:lang w:eastAsia="zh-CN"/>
              </w:rPr>
              <w:t>（</w:t>
            </w:r>
            <w:r>
              <w:rPr>
                <w:rFonts w:hint="eastAsia"/>
                <w:kern w:val="0"/>
                <w:sz w:val="24"/>
                <w:lang w:val="en-US" w:eastAsia="zh-CN"/>
              </w:rPr>
              <w:t>一</w:t>
            </w:r>
            <w:r>
              <w:rPr>
                <w:rFonts w:hint="eastAsia"/>
                <w:kern w:val="0"/>
                <w:sz w:val="24"/>
                <w:lang w:eastAsia="zh-CN"/>
              </w:rPr>
              <w:t>）工艺</w:t>
            </w:r>
            <w:r>
              <w:rPr>
                <w:rFonts w:hint="eastAsia"/>
                <w:kern w:val="0"/>
                <w:sz w:val="24"/>
              </w:rPr>
              <w:t>流程</w:t>
            </w:r>
          </w:p>
          <w:p w14:paraId="678B94D8">
            <w:pPr>
              <w:pStyle w:val="6"/>
              <w:numPr>
                <w:ilvl w:val="0"/>
                <w:numId w:val="0"/>
              </w:numPr>
              <w:spacing w:line="500" w:lineRule="exact"/>
              <w:ind w:firstLine="480" w:firstLineChars="200"/>
              <w:rPr>
                <w:rFonts w:hint="eastAsia" w:ascii="Times New Roman" w:hAnsi="Times New Roman" w:eastAsia="宋体" w:cs="Times New Roman"/>
                <w:color w:val="auto"/>
                <w:kern w:val="0"/>
                <w:sz w:val="24"/>
                <w:u w:val="none"/>
                <w:lang w:val="en-US" w:eastAsia="zh-CN"/>
              </w:rPr>
            </w:pPr>
            <w:r>
              <w:rPr>
                <w:rFonts w:hint="eastAsia" w:ascii="Times New Roman" w:hAnsi="Times New Roman" w:eastAsia="宋体" w:cs="Times New Roman"/>
                <w:kern w:val="0"/>
                <w:sz w:val="24"/>
                <w:lang w:val="en-US" w:eastAsia="zh-CN"/>
              </w:rPr>
              <w:t>本项目主要危险化学品仓储项目，</w:t>
            </w:r>
            <w:r>
              <w:rPr>
                <w:rFonts w:hint="eastAsia" w:ascii="Times New Roman" w:hAnsi="Times New Roman" w:eastAsia="宋体" w:cs="Times New Roman"/>
                <w:kern w:val="0"/>
                <w:sz w:val="24"/>
                <w:u w:val="none"/>
                <w:lang w:val="en-US" w:eastAsia="zh-CN"/>
              </w:rPr>
              <w:t>危险化学品</w:t>
            </w:r>
            <w:r>
              <w:rPr>
                <w:rFonts w:hint="eastAsia" w:cs="Times New Roman"/>
                <w:kern w:val="0"/>
                <w:sz w:val="24"/>
                <w:u w:val="none"/>
                <w:lang w:val="en-US" w:eastAsia="zh-CN"/>
              </w:rPr>
              <w:t>的运输</w:t>
            </w:r>
            <w:r>
              <w:rPr>
                <w:rFonts w:hint="eastAsia" w:ascii="Times New Roman" w:hAnsi="Times New Roman" w:eastAsia="宋体" w:cs="Times New Roman"/>
                <w:kern w:val="0"/>
                <w:sz w:val="24"/>
                <w:u w:val="none"/>
                <w:lang w:val="en-US" w:eastAsia="zh-CN"/>
              </w:rPr>
              <w:t>由</w:t>
            </w:r>
            <w:r>
              <w:rPr>
                <w:rFonts w:hint="eastAsia" w:cs="Times New Roman"/>
                <w:kern w:val="0"/>
                <w:sz w:val="24"/>
                <w:u w:val="none"/>
                <w:lang w:val="en-US" w:eastAsia="zh-CN"/>
              </w:rPr>
              <w:t>建设单位和有</w:t>
            </w:r>
            <w:r>
              <w:rPr>
                <w:rFonts w:hint="eastAsia" w:ascii="Times New Roman" w:hAnsi="Times New Roman" w:eastAsia="宋体" w:cs="Times New Roman"/>
                <w:kern w:val="0"/>
                <w:sz w:val="24"/>
                <w:u w:val="none"/>
                <w:lang w:val="en-US" w:eastAsia="zh-CN"/>
              </w:rPr>
              <w:t>相关资质的第三方单位</w:t>
            </w:r>
            <w:r>
              <w:rPr>
                <w:rFonts w:hint="eastAsia" w:cs="Times New Roman"/>
                <w:kern w:val="0"/>
                <w:sz w:val="24"/>
                <w:u w:val="none"/>
                <w:lang w:val="en-US" w:eastAsia="zh-CN"/>
              </w:rPr>
              <w:t>承担</w:t>
            </w:r>
            <w:r>
              <w:rPr>
                <w:rFonts w:hint="eastAsia" w:ascii="Times New Roman" w:hAnsi="Times New Roman" w:eastAsia="宋体" w:cs="Times New Roman"/>
                <w:kern w:val="0"/>
                <w:sz w:val="24"/>
                <w:u w:val="none"/>
                <w:lang w:val="en-US" w:eastAsia="zh-CN"/>
              </w:rPr>
              <w:t>，本项目无任何</w:t>
            </w:r>
            <w:r>
              <w:rPr>
                <w:rFonts w:hint="eastAsia" w:cs="Times New Roman"/>
                <w:kern w:val="0"/>
                <w:sz w:val="24"/>
                <w:u w:val="none"/>
                <w:lang w:val="en-US" w:eastAsia="zh-CN"/>
              </w:rPr>
              <w:t>物料生产行为，仅提供仓储服务</w:t>
            </w:r>
            <w:r>
              <w:rPr>
                <w:rFonts w:hint="eastAsia" w:ascii="Times New Roman" w:hAnsi="Times New Roman" w:eastAsia="宋体" w:cs="Times New Roman"/>
                <w:kern w:val="0"/>
                <w:sz w:val="24"/>
                <w:u w:val="none"/>
                <w:lang w:val="en-US" w:eastAsia="zh-CN"/>
              </w:rPr>
              <w:t>，</w:t>
            </w:r>
            <w:r>
              <w:rPr>
                <w:rFonts w:hint="eastAsia" w:ascii="Times New Roman" w:hAnsi="Times New Roman" w:eastAsia="宋体" w:cs="Times New Roman"/>
                <w:kern w:val="0"/>
                <w:sz w:val="24"/>
                <w:lang w:val="en-US" w:eastAsia="zh-CN"/>
              </w:rPr>
              <w:t>也不进行任何形式的分装、灌装。</w:t>
            </w:r>
            <w:r>
              <w:rPr>
                <w:rFonts w:hint="eastAsia" w:ascii="Times New Roman" w:hAnsi="Times New Roman" w:eastAsia="宋体" w:cs="Times New Roman"/>
                <w:color w:val="auto"/>
                <w:kern w:val="0"/>
                <w:sz w:val="24"/>
                <w:u w:val="none"/>
                <w:lang w:val="en-US" w:eastAsia="zh-CN"/>
              </w:rPr>
              <w:t>仓库暂存的货物采用集装箱拆装箱工艺。</w:t>
            </w:r>
          </w:p>
          <w:p w14:paraId="1A6CC766">
            <w:pPr>
              <w:pStyle w:val="6"/>
              <w:numPr>
                <w:ilvl w:val="0"/>
                <w:numId w:val="0"/>
              </w:numPr>
              <w:spacing w:line="500" w:lineRule="exact"/>
              <w:ind w:firstLine="480" w:firstLineChars="200"/>
              <w:rPr>
                <w:rFonts w:hint="default" w:ascii="Times New Roman" w:hAnsi="Times New Roman" w:eastAsia="宋体" w:cs="Times New Roman"/>
                <w:color w:val="auto"/>
                <w:kern w:val="0"/>
                <w:sz w:val="24"/>
                <w:u w:val="none"/>
                <w:lang w:val="en-US" w:eastAsia="zh-CN"/>
              </w:rPr>
            </w:pPr>
            <w:r>
              <w:rPr>
                <w:rFonts w:hint="eastAsia" w:ascii="Times New Roman" w:hAnsi="Times New Roman" w:eastAsia="宋体" w:cs="Times New Roman"/>
                <w:color w:val="auto"/>
                <w:kern w:val="0"/>
                <w:sz w:val="24"/>
                <w:u w:val="none"/>
                <w:lang w:val="en-US" w:eastAsia="zh-CN"/>
              </w:rPr>
              <w:t>仓库暂存的货物装卸工艺：</w:t>
            </w:r>
          </w:p>
          <w:p w14:paraId="4CFFEA77">
            <w:pPr>
              <w:pStyle w:val="6"/>
              <w:numPr>
                <w:ilvl w:val="0"/>
                <w:numId w:val="0"/>
              </w:numPr>
              <w:spacing w:line="500" w:lineRule="exact"/>
              <w:ind w:firstLine="480" w:firstLineChars="200"/>
              <w:rPr>
                <w:rFonts w:hint="eastAsia" w:ascii="Times New Roman" w:hAnsi="Times New Roman" w:eastAsia="宋体" w:cs="Times New Roman"/>
                <w:color w:val="auto"/>
                <w:kern w:val="0"/>
                <w:sz w:val="24"/>
                <w:u w:val="none"/>
                <w:lang w:val="en-US" w:eastAsia="zh-CN"/>
              </w:rPr>
            </w:pPr>
            <w:r>
              <w:rPr>
                <w:rFonts w:hint="eastAsia" w:ascii="Times New Roman" w:hAnsi="Times New Roman" w:eastAsia="宋体" w:cs="Times New Roman"/>
                <w:color w:val="auto"/>
                <w:kern w:val="0"/>
                <w:sz w:val="24"/>
                <w:u w:val="none"/>
                <w:lang w:val="en-US" w:eastAsia="zh-CN"/>
              </w:rPr>
              <w:t>1、货物抵达，卸货</w:t>
            </w:r>
          </w:p>
          <w:p w14:paraId="5E174877">
            <w:pPr>
              <w:pStyle w:val="6"/>
              <w:numPr>
                <w:ilvl w:val="0"/>
                <w:numId w:val="0"/>
              </w:numPr>
              <w:spacing w:line="500" w:lineRule="exact"/>
              <w:ind w:firstLine="480" w:firstLineChars="200"/>
              <w:rPr>
                <w:rFonts w:hint="eastAsia" w:ascii="Times New Roman" w:hAnsi="Times New Roman" w:eastAsia="宋体" w:cs="Times New Roman"/>
                <w:color w:val="auto"/>
                <w:kern w:val="0"/>
                <w:sz w:val="24"/>
                <w:u w:val="none"/>
                <w:lang w:val="en-US" w:eastAsia="zh-CN"/>
              </w:rPr>
            </w:pPr>
            <w:r>
              <w:rPr>
                <w:rFonts w:hint="eastAsia" w:ascii="Times New Roman" w:hAnsi="Times New Roman" w:eastAsia="宋体" w:cs="Times New Roman"/>
                <w:color w:val="auto"/>
                <w:kern w:val="0"/>
                <w:sz w:val="24"/>
                <w:u w:val="none"/>
                <w:lang w:val="en-US" w:eastAsia="zh-CN"/>
              </w:rPr>
              <w:t>⑴签订仓储</w:t>
            </w:r>
            <w:r>
              <w:rPr>
                <w:rFonts w:hint="eastAsia" w:cs="Times New Roman"/>
                <w:color w:val="auto"/>
                <w:kern w:val="0"/>
                <w:sz w:val="24"/>
                <w:u w:val="none"/>
                <w:lang w:val="en-US" w:eastAsia="zh-CN"/>
              </w:rPr>
              <w:t>运输</w:t>
            </w:r>
            <w:r>
              <w:rPr>
                <w:rFonts w:hint="eastAsia" w:ascii="Times New Roman" w:hAnsi="Times New Roman" w:eastAsia="宋体" w:cs="Times New Roman"/>
                <w:color w:val="auto"/>
                <w:kern w:val="0"/>
                <w:sz w:val="24"/>
                <w:u w:val="none"/>
                <w:lang w:val="en-US" w:eastAsia="zh-CN"/>
              </w:rPr>
              <w:t>合同</w:t>
            </w:r>
          </w:p>
          <w:p w14:paraId="6F691037">
            <w:pPr>
              <w:pStyle w:val="6"/>
              <w:numPr>
                <w:ilvl w:val="0"/>
                <w:numId w:val="0"/>
              </w:numPr>
              <w:spacing w:line="500" w:lineRule="exact"/>
              <w:ind w:firstLine="480" w:firstLineChars="200"/>
              <w:rPr>
                <w:rFonts w:hint="eastAsia" w:ascii="Times New Roman" w:hAnsi="Times New Roman" w:eastAsia="宋体" w:cs="Times New Roman"/>
                <w:color w:val="auto"/>
                <w:kern w:val="0"/>
                <w:sz w:val="24"/>
                <w:u w:val="none"/>
                <w:lang w:val="en-US" w:eastAsia="zh-CN"/>
              </w:rPr>
            </w:pPr>
            <w:r>
              <w:rPr>
                <w:rFonts w:hint="eastAsia" w:ascii="Times New Roman" w:hAnsi="Times New Roman" w:eastAsia="宋体" w:cs="Times New Roman"/>
                <w:color w:val="auto"/>
                <w:kern w:val="0"/>
                <w:sz w:val="24"/>
                <w:u w:val="none"/>
                <w:lang w:val="en-US" w:eastAsia="zh-CN"/>
              </w:rPr>
              <w:t>⑵货物到达后，按照预定的卸货计划，以叉车或人工从集装箱中卸货至仓库暂存。</w:t>
            </w:r>
          </w:p>
          <w:p w14:paraId="09CEB696">
            <w:pPr>
              <w:pStyle w:val="6"/>
              <w:numPr>
                <w:ilvl w:val="0"/>
                <w:numId w:val="0"/>
              </w:numPr>
              <w:spacing w:line="500" w:lineRule="exact"/>
              <w:ind w:firstLine="480" w:firstLineChars="200"/>
              <w:rPr>
                <w:rFonts w:hint="eastAsia" w:ascii="Times New Roman" w:hAnsi="Times New Roman" w:eastAsia="宋体" w:cs="Times New Roman"/>
                <w:color w:val="auto"/>
                <w:kern w:val="0"/>
                <w:sz w:val="24"/>
                <w:u w:val="none"/>
                <w:lang w:val="en-US" w:eastAsia="zh-CN"/>
              </w:rPr>
            </w:pPr>
            <w:r>
              <w:rPr>
                <w:rFonts w:hint="eastAsia" w:ascii="Times New Roman" w:hAnsi="Times New Roman" w:eastAsia="宋体" w:cs="Times New Roman"/>
                <w:color w:val="auto"/>
                <w:kern w:val="0"/>
                <w:sz w:val="24"/>
                <w:u w:val="none"/>
                <w:lang w:val="en-US" w:eastAsia="zh-CN"/>
              </w:rPr>
              <w:t>⑶按原来包装，要求发货方准备同包装的备用袋；作业时如发现包装破损，渗漏等问题，</w:t>
            </w:r>
            <w:r>
              <w:rPr>
                <w:rFonts w:hint="eastAsia" w:cs="Times New Roman"/>
                <w:color w:val="auto"/>
                <w:kern w:val="0"/>
                <w:sz w:val="24"/>
                <w:u w:val="none"/>
                <w:lang w:val="en-US" w:eastAsia="zh-CN"/>
              </w:rPr>
              <w:t>及</w:t>
            </w:r>
            <w:r>
              <w:rPr>
                <w:rFonts w:hint="eastAsia" w:ascii="Times New Roman" w:hAnsi="Times New Roman" w:eastAsia="宋体" w:cs="Times New Roman"/>
                <w:color w:val="auto"/>
                <w:kern w:val="0"/>
                <w:sz w:val="24"/>
                <w:u w:val="none"/>
                <w:lang w:val="en-US" w:eastAsia="zh-CN"/>
              </w:rPr>
              <w:t>时换包装后再作业装箱。</w:t>
            </w:r>
          </w:p>
          <w:p w14:paraId="065A6F36">
            <w:pPr>
              <w:pStyle w:val="6"/>
              <w:numPr>
                <w:ilvl w:val="0"/>
                <w:numId w:val="0"/>
              </w:numPr>
              <w:spacing w:line="500" w:lineRule="exact"/>
              <w:ind w:firstLine="480" w:firstLineChars="200"/>
              <w:rPr>
                <w:rFonts w:hint="default" w:ascii="Times New Roman" w:hAnsi="Times New Roman" w:eastAsia="宋体" w:cs="Times New Roman"/>
                <w:color w:val="auto"/>
                <w:kern w:val="0"/>
                <w:sz w:val="24"/>
                <w:u w:val="none"/>
                <w:lang w:val="en-US" w:eastAsia="zh-CN"/>
              </w:rPr>
            </w:pPr>
            <w:r>
              <w:rPr>
                <w:rFonts w:hint="eastAsia" w:ascii="Times New Roman" w:hAnsi="Times New Roman" w:eastAsia="宋体" w:cs="Times New Roman"/>
                <w:color w:val="auto"/>
                <w:kern w:val="0"/>
                <w:sz w:val="24"/>
                <w:u w:val="none"/>
                <w:lang w:val="en-US" w:eastAsia="zh-CN"/>
              </w:rPr>
              <w:t>2、货物装箱发货</w:t>
            </w:r>
          </w:p>
          <w:p w14:paraId="0E6D59E9">
            <w:pPr>
              <w:pStyle w:val="6"/>
              <w:numPr>
                <w:ilvl w:val="0"/>
                <w:numId w:val="0"/>
              </w:numPr>
              <w:spacing w:line="500" w:lineRule="exact"/>
              <w:ind w:firstLine="480" w:firstLineChars="200"/>
              <w:rPr>
                <w:rFonts w:hint="eastAsia" w:ascii="Times New Roman" w:hAnsi="Times New Roman" w:eastAsia="宋体" w:cs="Times New Roman"/>
                <w:color w:val="auto"/>
                <w:kern w:val="0"/>
                <w:sz w:val="24"/>
                <w:u w:val="none"/>
                <w:lang w:val="en-US" w:eastAsia="zh-CN"/>
              </w:rPr>
            </w:pPr>
            <w:r>
              <w:rPr>
                <w:rFonts w:hint="eastAsia" w:ascii="Times New Roman" w:hAnsi="Times New Roman" w:eastAsia="宋体" w:cs="Times New Roman"/>
                <w:color w:val="auto"/>
                <w:kern w:val="0"/>
                <w:sz w:val="24"/>
                <w:u w:val="none"/>
                <w:lang w:val="en-US" w:eastAsia="zh-CN"/>
              </w:rPr>
              <w:t>⑴确定发货的时间，货运空箱用汽车先拉到作业场所。</w:t>
            </w:r>
          </w:p>
          <w:p w14:paraId="6169FEF9">
            <w:pPr>
              <w:pStyle w:val="6"/>
              <w:numPr>
                <w:ilvl w:val="0"/>
                <w:numId w:val="0"/>
              </w:numPr>
              <w:spacing w:line="500" w:lineRule="exact"/>
              <w:ind w:firstLine="480" w:firstLineChars="200"/>
              <w:rPr>
                <w:rFonts w:hint="eastAsia" w:ascii="Times New Roman" w:hAnsi="Times New Roman" w:eastAsia="宋体" w:cs="Times New Roman"/>
                <w:color w:val="auto"/>
                <w:kern w:val="0"/>
                <w:sz w:val="24"/>
                <w:u w:val="none"/>
                <w:lang w:val="en-US" w:eastAsia="zh-CN"/>
              </w:rPr>
            </w:pPr>
            <w:r>
              <w:rPr>
                <w:rFonts w:hint="eastAsia" w:ascii="Times New Roman" w:hAnsi="Times New Roman" w:eastAsia="宋体" w:cs="Times New Roman"/>
                <w:color w:val="auto"/>
                <w:kern w:val="0"/>
                <w:sz w:val="24"/>
                <w:u w:val="none"/>
                <w:lang w:val="en-US" w:eastAsia="zh-CN"/>
              </w:rPr>
              <w:t>⑵在作业区摆好空箱，打开并固定箱门。把集装箱空箱提到指定操作区域，打开箱门并固定好，按照预定的装箱计划，以叉车或人工从汽车装货入箱，作业完成关好柜门，用汽车吊把重箱摆放到暂存区域，整车则直接装入厢车。</w:t>
            </w:r>
          </w:p>
          <w:p w14:paraId="01A6B422">
            <w:pPr>
              <w:pStyle w:val="6"/>
              <w:numPr>
                <w:ilvl w:val="0"/>
                <w:numId w:val="0"/>
              </w:numPr>
              <w:spacing w:line="500" w:lineRule="exact"/>
              <w:ind w:firstLine="480" w:firstLineChars="200"/>
              <w:rPr>
                <w:color w:val="auto"/>
                <w:u w:val="none"/>
              </w:rPr>
            </w:pPr>
            <w:r>
              <w:rPr>
                <w:rFonts w:hint="eastAsia" w:ascii="Times New Roman" w:hAnsi="Times New Roman" w:eastAsia="宋体" w:cs="Times New Roman"/>
                <w:color w:val="auto"/>
                <w:kern w:val="0"/>
                <w:sz w:val="24"/>
                <w:u w:val="none"/>
                <w:lang w:val="en-US" w:eastAsia="zh-CN"/>
              </w:rPr>
              <w:t>⑶按原来包装，要求发货方准备同包装的备用袋；作业时如发现包装破损，渗漏等问题，</w:t>
            </w:r>
            <w:r>
              <w:rPr>
                <w:rFonts w:hint="eastAsia" w:cs="Times New Roman"/>
                <w:color w:val="auto"/>
                <w:kern w:val="0"/>
                <w:sz w:val="24"/>
                <w:u w:val="none"/>
                <w:lang w:val="en-US" w:eastAsia="zh-CN"/>
              </w:rPr>
              <w:t>及</w:t>
            </w:r>
            <w:r>
              <w:rPr>
                <w:rFonts w:hint="eastAsia" w:ascii="Times New Roman" w:hAnsi="Times New Roman" w:eastAsia="宋体" w:cs="Times New Roman"/>
                <w:color w:val="auto"/>
                <w:kern w:val="0"/>
                <w:sz w:val="24"/>
                <w:u w:val="none"/>
                <w:lang w:val="en-US" w:eastAsia="zh-CN"/>
              </w:rPr>
              <w:t>时换包装后再作业装箱。</w:t>
            </w:r>
          </w:p>
          <w:p w14:paraId="74FB647D">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67350" cy="762000"/>
                  <wp:effectExtent l="0" t="0" r="0" b="0"/>
                  <wp:docPr id="9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descr="IMG_256"/>
                          <pic:cNvPicPr>
                            <a:picLocks noChangeAspect="1"/>
                          </pic:cNvPicPr>
                        </pic:nvPicPr>
                        <pic:blipFill>
                          <a:blip r:embed="rId13"/>
                          <a:stretch>
                            <a:fillRect/>
                          </a:stretch>
                        </pic:blipFill>
                        <pic:spPr>
                          <a:xfrm>
                            <a:off x="0" y="0"/>
                            <a:ext cx="5467350" cy="762000"/>
                          </a:xfrm>
                          <a:prstGeom prst="rect">
                            <a:avLst/>
                          </a:prstGeom>
                          <a:noFill/>
                          <a:ln w="9525">
                            <a:noFill/>
                          </a:ln>
                        </pic:spPr>
                      </pic:pic>
                    </a:graphicData>
                  </a:graphic>
                </wp:inline>
              </w:drawing>
            </w:r>
          </w:p>
          <w:p w14:paraId="325E7786">
            <w:pPr>
              <w:pStyle w:val="6"/>
              <w:numPr>
                <w:ilvl w:val="0"/>
                <w:numId w:val="0"/>
              </w:numPr>
              <w:spacing w:line="500" w:lineRule="exact"/>
              <w:jc w:val="center"/>
              <w:rPr>
                <w:rFonts w:hint="eastAsia"/>
                <w:b/>
                <w:bCs/>
                <w:color w:val="auto"/>
                <w:kern w:val="0"/>
                <w:sz w:val="24"/>
                <w:lang w:val="en-US" w:eastAsia="zh-CN"/>
              </w:rPr>
            </w:pPr>
            <w:r>
              <w:rPr>
                <w:rFonts w:hint="eastAsia"/>
                <w:b/>
                <w:bCs/>
                <w:color w:val="auto"/>
                <w:kern w:val="0"/>
                <w:sz w:val="24"/>
                <w:lang w:val="en-US" w:eastAsia="zh-CN"/>
              </w:rPr>
              <w:t>图2-2项目危险化学品仓库储存工艺流程</w:t>
            </w:r>
          </w:p>
          <w:p w14:paraId="4E0106F9">
            <w:pPr>
              <w:pStyle w:val="6"/>
              <w:numPr>
                <w:ilvl w:val="0"/>
                <w:numId w:val="0"/>
              </w:numPr>
              <w:spacing w:line="500" w:lineRule="exact"/>
              <w:ind w:firstLine="480" w:firstLineChars="200"/>
              <w:rPr>
                <w:rFonts w:hint="default"/>
                <w:color w:val="auto"/>
                <w:kern w:val="0"/>
                <w:sz w:val="24"/>
                <w:lang w:val="en-US" w:eastAsia="zh-CN"/>
              </w:rPr>
            </w:pPr>
            <w:r>
              <w:rPr>
                <w:rFonts w:hint="eastAsia"/>
                <w:color w:val="auto"/>
                <w:kern w:val="0"/>
                <w:sz w:val="24"/>
                <w:lang w:val="en-US" w:eastAsia="zh-CN"/>
              </w:rPr>
              <w:t>所有物料均为原包装进出，</w:t>
            </w:r>
            <w:r>
              <w:rPr>
                <w:rFonts w:hint="eastAsia"/>
                <w:color w:val="auto"/>
                <w:kern w:val="0"/>
                <w:sz w:val="24"/>
                <w:u w:val="none"/>
                <w:lang w:val="en-US" w:eastAsia="zh-CN"/>
              </w:rPr>
              <w:t>危险化学品采用常温常压密闭式贮存，包装桶不留气密口，贮存的物料不涉及受热易分解物质，易挥发性液体主要为盐酸，盐酸包装桶贮存量为包装桶的80%，正常贮存条件下，基本无废气挥发到大气环境中，运输车辆不在厂内清洗，无冲洗废水产生，</w:t>
            </w:r>
            <w:r>
              <w:rPr>
                <w:rFonts w:hint="eastAsia"/>
                <w:color w:val="auto"/>
                <w:kern w:val="0"/>
                <w:sz w:val="24"/>
                <w:lang w:val="en-US" w:eastAsia="zh-CN"/>
              </w:rPr>
              <w:t>仅搬运货物产生汽车尾气及噪声，</w:t>
            </w:r>
            <w:r>
              <w:rPr>
                <w:rFonts w:hint="eastAsia"/>
                <w:color w:val="auto"/>
                <w:kern w:val="0"/>
                <w:sz w:val="24"/>
                <w:u w:val="none"/>
                <w:lang w:val="en-US" w:eastAsia="zh-CN"/>
              </w:rPr>
              <w:t>货物破损时更换包装产生的废包装袋/桶。</w:t>
            </w:r>
          </w:p>
          <w:p w14:paraId="1B03EE2F">
            <w:pPr>
              <w:spacing w:line="500" w:lineRule="exact"/>
              <w:ind w:firstLine="480" w:firstLineChars="200"/>
              <w:rPr>
                <w:rFonts w:hint="eastAsia"/>
                <w:color w:val="auto"/>
                <w:sz w:val="24"/>
              </w:rPr>
            </w:pPr>
            <w:r>
              <w:rPr>
                <w:rFonts w:hint="eastAsia"/>
                <w:color w:val="auto"/>
                <w:sz w:val="24"/>
              </w:rPr>
              <w:t>项目运营期产生的污染因子如下表。</w:t>
            </w:r>
          </w:p>
          <w:p w14:paraId="1B2C0C56">
            <w:pPr>
              <w:spacing w:line="500" w:lineRule="exact"/>
              <w:ind w:firstLine="482" w:firstLineChars="200"/>
              <w:jc w:val="center"/>
              <w:rPr>
                <w:rFonts w:hint="eastAsia"/>
                <w:b/>
                <w:color w:val="auto"/>
                <w:sz w:val="24"/>
              </w:rPr>
            </w:pPr>
            <w:r>
              <w:rPr>
                <w:rFonts w:hint="eastAsia"/>
                <w:b/>
                <w:color w:val="auto"/>
                <w:sz w:val="24"/>
              </w:rPr>
              <w:t>表2-</w:t>
            </w:r>
            <w:r>
              <w:rPr>
                <w:rFonts w:hint="eastAsia"/>
                <w:b/>
                <w:color w:val="auto"/>
                <w:sz w:val="24"/>
                <w:lang w:val="en-US" w:eastAsia="zh-CN"/>
              </w:rPr>
              <w:t>8</w:t>
            </w:r>
            <w:r>
              <w:rPr>
                <w:rFonts w:hint="eastAsia"/>
                <w:b/>
                <w:color w:val="auto"/>
                <w:sz w:val="24"/>
              </w:rPr>
              <w:t xml:space="preserve">  项目运营期产污情况一览表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2321"/>
              <w:gridCol w:w="2816"/>
              <w:gridCol w:w="1927"/>
            </w:tblGrid>
            <w:tr w14:paraId="42A3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dxa"/>
                  <w:noWrap w:val="0"/>
                  <w:vAlign w:val="center"/>
                </w:tcPr>
                <w:p w14:paraId="714301CD">
                  <w:pPr>
                    <w:spacing w:line="240" w:lineRule="exact"/>
                    <w:jc w:val="center"/>
                    <w:rPr>
                      <w:color w:val="auto"/>
                      <w:szCs w:val="21"/>
                    </w:rPr>
                  </w:pPr>
                  <w:r>
                    <w:rPr>
                      <w:color w:val="auto"/>
                      <w:szCs w:val="21"/>
                    </w:rPr>
                    <w:t>类型</w:t>
                  </w:r>
                </w:p>
              </w:tc>
              <w:tc>
                <w:tcPr>
                  <w:tcW w:w="2321" w:type="dxa"/>
                  <w:noWrap w:val="0"/>
                  <w:vAlign w:val="center"/>
                </w:tcPr>
                <w:p w14:paraId="4EA22949">
                  <w:pPr>
                    <w:spacing w:line="240" w:lineRule="exact"/>
                    <w:jc w:val="center"/>
                    <w:rPr>
                      <w:color w:val="auto"/>
                      <w:szCs w:val="21"/>
                    </w:rPr>
                  </w:pPr>
                  <w:r>
                    <w:rPr>
                      <w:color w:val="auto"/>
                      <w:szCs w:val="21"/>
                    </w:rPr>
                    <w:t>种类</w:t>
                  </w:r>
                </w:p>
              </w:tc>
              <w:tc>
                <w:tcPr>
                  <w:tcW w:w="2816" w:type="dxa"/>
                  <w:noWrap w:val="0"/>
                  <w:vAlign w:val="center"/>
                </w:tcPr>
                <w:p w14:paraId="59B1341B">
                  <w:pPr>
                    <w:spacing w:line="240" w:lineRule="exact"/>
                    <w:jc w:val="center"/>
                    <w:rPr>
                      <w:color w:val="auto"/>
                      <w:szCs w:val="21"/>
                    </w:rPr>
                  </w:pPr>
                  <w:r>
                    <w:rPr>
                      <w:color w:val="auto"/>
                      <w:szCs w:val="21"/>
                    </w:rPr>
                    <w:t>污染因子</w:t>
                  </w:r>
                </w:p>
              </w:tc>
              <w:tc>
                <w:tcPr>
                  <w:tcW w:w="1927" w:type="dxa"/>
                  <w:noWrap w:val="0"/>
                  <w:vAlign w:val="center"/>
                </w:tcPr>
                <w:p w14:paraId="7A274547">
                  <w:pPr>
                    <w:spacing w:line="240" w:lineRule="exact"/>
                    <w:jc w:val="center"/>
                    <w:rPr>
                      <w:color w:val="auto"/>
                      <w:szCs w:val="21"/>
                    </w:rPr>
                  </w:pPr>
                  <w:r>
                    <w:rPr>
                      <w:color w:val="auto"/>
                      <w:szCs w:val="21"/>
                    </w:rPr>
                    <w:t>产污环节</w:t>
                  </w:r>
                </w:p>
              </w:tc>
            </w:tr>
            <w:tr w14:paraId="29CC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dxa"/>
                  <w:vMerge w:val="restart"/>
                  <w:noWrap w:val="0"/>
                  <w:vAlign w:val="center"/>
                </w:tcPr>
                <w:p w14:paraId="7B2598A7">
                  <w:pPr>
                    <w:spacing w:line="240" w:lineRule="exact"/>
                    <w:jc w:val="center"/>
                    <w:rPr>
                      <w:color w:val="auto"/>
                      <w:szCs w:val="21"/>
                    </w:rPr>
                  </w:pPr>
                  <w:r>
                    <w:rPr>
                      <w:color w:val="auto"/>
                      <w:szCs w:val="21"/>
                    </w:rPr>
                    <w:t>废气</w:t>
                  </w:r>
                </w:p>
              </w:tc>
              <w:tc>
                <w:tcPr>
                  <w:tcW w:w="2321" w:type="dxa"/>
                  <w:noWrap w:val="0"/>
                  <w:vAlign w:val="center"/>
                </w:tcPr>
                <w:p w14:paraId="06FE2D30">
                  <w:pPr>
                    <w:spacing w:line="240" w:lineRule="exact"/>
                    <w:jc w:val="center"/>
                    <w:rPr>
                      <w:rFonts w:hint="default" w:eastAsia="宋体"/>
                      <w:color w:val="auto"/>
                      <w:szCs w:val="21"/>
                      <w:lang w:val="en-US" w:eastAsia="zh-CN"/>
                    </w:rPr>
                  </w:pPr>
                  <w:r>
                    <w:rPr>
                      <w:rFonts w:hint="eastAsia"/>
                      <w:bCs/>
                      <w:color w:val="auto"/>
                      <w:szCs w:val="21"/>
                      <w:lang w:val="en-US" w:eastAsia="zh-CN"/>
                    </w:rPr>
                    <w:t>运输扬尘</w:t>
                  </w:r>
                </w:p>
              </w:tc>
              <w:tc>
                <w:tcPr>
                  <w:tcW w:w="2816" w:type="dxa"/>
                  <w:noWrap w:val="0"/>
                  <w:vAlign w:val="center"/>
                </w:tcPr>
                <w:p w14:paraId="2B869190">
                  <w:pPr>
                    <w:spacing w:line="240" w:lineRule="exact"/>
                    <w:jc w:val="center"/>
                    <w:rPr>
                      <w:rFonts w:hint="eastAsia" w:eastAsia="宋体"/>
                      <w:bCs/>
                      <w:color w:val="auto"/>
                      <w:szCs w:val="21"/>
                      <w:lang w:eastAsia="zh-CN"/>
                    </w:rPr>
                  </w:pPr>
                  <w:r>
                    <w:rPr>
                      <w:rFonts w:hint="eastAsia"/>
                      <w:bCs/>
                      <w:color w:val="auto"/>
                      <w:szCs w:val="21"/>
                      <w:lang w:val="en-US" w:eastAsia="zh-CN"/>
                    </w:rPr>
                    <w:t>颗粒物</w:t>
                  </w:r>
                </w:p>
              </w:tc>
              <w:tc>
                <w:tcPr>
                  <w:tcW w:w="1927" w:type="dxa"/>
                  <w:noWrap w:val="0"/>
                  <w:vAlign w:val="center"/>
                </w:tcPr>
                <w:p w14:paraId="44227106">
                  <w:pPr>
                    <w:spacing w:line="240" w:lineRule="exact"/>
                    <w:jc w:val="center"/>
                    <w:rPr>
                      <w:rFonts w:hint="default" w:eastAsia="宋体"/>
                      <w:bCs/>
                      <w:color w:val="auto"/>
                      <w:szCs w:val="21"/>
                      <w:lang w:val="en-US" w:eastAsia="zh-CN"/>
                    </w:rPr>
                  </w:pPr>
                  <w:r>
                    <w:rPr>
                      <w:rFonts w:hint="eastAsia"/>
                      <w:bCs/>
                      <w:color w:val="auto"/>
                      <w:szCs w:val="21"/>
                      <w:lang w:val="en-US" w:eastAsia="zh-CN"/>
                    </w:rPr>
                    <w:t>道路运输</w:t>
                  </w:r>
                </w:p>
              </w:tc>
            </w:tr>
            <w:tr w14:paraId="0713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dxa"/>
                  <w:vMerge w:val="continue"/>
                  <w:noWrap w:val="0"/>
                  <w:vAlign w:val="center"/>
                </w:tcPr>
                <w:p w14:paraId="71F54DDD">
                  <w:pPr>
                    <w:spacing w:line="240" w:lineRule="exact"/>
                    <w:jc w:val="center"/>
                    <w:rPr>
                      <w:color w:val="auto"/>
                      <w:szCs w:val="21"/>
                    </w:rPr>
                  </w:pPr>
                </w:p>
              </w:tc>
              <w:tc>
                <w:tcPr>
                  <w:tcW w:w="2321" w:type="dxa"/>
                  <w:noWrap w:val="0"/>
                  <w:vAlign w:val="center"/>
                </w:tcPr>
                <w:p w14:paraId="17332467">
                  <w:pPr>
                    <w:spacing w:line="240" w:lineRule="exact"/>
                    <w:jc w:val="center"/>
                    <w:rPr>
                      <w:rFonts w:hint="eastAsia"/>
                      <w:bCs/>
                      <w:color w:val="auto"/>
                      <w:szCs w:val="21"/>
                    </w:rPr>
                  </w:pPr>
                  <w:r>
                    <w:rPr>
                      <w:rFonts w:hint="eastAsia"/>
                      <w:bCs/>
                      <w:color w:val="auto"/>
                      <w:szCs w:val="21"/>
                    </w:rPr>
                    <w:t>汽车尾气</w:t>
                  </w:r>
                </w:p>
              </w:tc>
              <w:tc>
                <w:tcPr>
                  <w:tcW w:w="2816" w:type="dxa"/>
                  <w:noWrap w:val="0"/>
                  <w:vAlign w:val="center"/>
                </w:tcPr>
                <w:p w14:paraId="76CF2405">
                  <w:pPr>
                    <w:spacing w:line="240" w:lineRule="exact"/>
                    <w:jc w:val="center"/>
                    <w:rPr>
                      <w:rFonts w:hint="eastAsia"/>
                      <w:bCs/>
                      <w:color w:val="auto"/>
                      <w:szCs w:val="21"/>
                    </w:rPr>
                  </w:pPr>
                  <w:r>
                    <w:rPr>
                      <w:rFonts w:hint="eastAsia"/>
                      <w:bCs/>
                      <w:color w:val="auto"/>
                      <w:szCs w:val="21"/>
                    </w:rPr>
                    <w:t>CO、HC、NO</w:t>
                  </w:r>
                  <w:r>
                    <w:rPr>
                      <w:rFonts w:hint="eastAsia"/>
                      <w:bCs/>
                      <w:color w:val="auto"/>
                      <w:szCs w:val="21"/>
                      <w:vertAlign w:val="subscript"/>
                    </w:rPr>
                    <w:t>2</w:t>
                  </w:r>
                </w:p>
              </w:tc>
              <w:tc>
                <w:tcPr>
                  <w:tcW w:w="1927" w:type="dxa"/>
                  <w:noWrap w:val="0"/>
                  <w:vAlign w:val="center"/>
                </w:tcPr>
                <w:p w14:paraId="186C4682">
                  <w:pPr>
                    <w:spacing w:line="240" w:lineRule="exact"/>
                    <w:jc w:val="center"/>
                    <w:rPr>
                      <w:rFonts w:hint="eastAsia"/>
                      <w:bCs/>
                      <w:color w:val="auto"/>
                      <w:szCs w:val="21"/>
                    </w:rPr>
                  </w:pPr>
                  <w:r>
                    <w:rPr>
                      <w:rFonts w:hint="eastAsia"/>
                      <w:bCs/>
                      <w:color w:val="auto"/>
                      <w:szCs w:val="21"/>
                      <w:lang w:val="en-US" w:eastAsia="zh-CN"/>
                    </w:rPr>
                    <w:t>叉车、来往运输</w:t>
                  </w:r>
                  <w:r>
                    <w:rPr>
                      <w:rFonts w:hint="eastAsia"/>
                      <w:bCs/>
                      <w:color w:val="auto"/>
                      <w:szCs w:val="21"/>
                    </w:rPr>
                    <w:t>车辆</w:t>
                  </w:r>
                </w:p>
              </w:tc>
            </w:tr>
            <w:tr w14:paraId="14C5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dxa"/>
                  <w:noWrap w:val="0"/>
                  <w:vAlign w:val="center"/>
                </w:tcPr>
                <w:p w14:paraId="5AE6E81D">
                  <w:pPr>
                    <w:spacing w:line="240" w:lineRule="exact"/>
                    <w:jc w:val="center"/>
                    <w:rPr>
                      <w:color w:val="auto"/>
                      <w:szCs w:val="21"/>
                    </w:rPr>
                  </w:pPr>
                  <w:r>
                    <w:rPr>
                      <w:rFonts w:hint="eastAsia"/>
                      <w:color w:val="auto"/>
                      <w:szCs w:val="21"/>
                    </w:rPr>
                    <w:t>废水</w:t>
                  </w:r>
                </w:p>
              </w:tc>
              <w:tc>
                <w:tcPr>
                  <w:tcW w:w="2321" w:type="dxa"/>
                  <w:noWrap w:val="0"/>
                  <w:vAlign w:val="center"/>
                </w:tcPr>
                <w:p w14:paraId="5B266004">
                  <w:pPr>
                    <w:spacing w:line="240" w:lineRule="exact"/>
                    <w:jc w:val="center"/>
                    <w:rPr>
                      <w:color w:val="auto"/>
                      <w:szCs w:val="21"/>
                    </w:rPr>
                  </w:pPr>
                  <w:r>
                    <w:rPr>
                      <w:rFonts w:hint="eastAsia"/>
                      <w:color w:val="auto"/>
                      <w:szCs w:val="21"/>
                      <w:lang w:val="en-US" w:eastAsia="zh-CN"/>
                    </w:rPr>
                    <w:t>初期雨水</w:t>
                  </w:r>
                </w:p>
              </w:tc>
              <w:tc>
                <w:tcPr>
                  <w:tcW w:w="2816" w:type="dxa"/>
                  <w:noWrap w:val="0"/>
                  <w:vAlign w:val="center"/>
                </w:tcPr>
                <w:p w14:paraId="2153262D">
                  <w:pPr>
                    <w:spacing w:line="240" w:lineRule="exact"/>
                    <w:jc w:val="center"/>
                    <w:rPr>
                      <w:color w:val="auto"/>
                      <w:szCs w:val="21"/>
                    </w:rPr>
                  </w:pPr>
                  <w:r>
                    <w:rPr>
                      <w:rFonts w:hint="eastAsia"/>
                      <w:color w:val="auto"/>
                      <w:szCs w:val="21"/>
                    </w:rPr>
                    <w:t>COD、</w:t>
                  </w:r>
                  <w:r>
                    <w:rPr>
                      <w:rFonts w:hint="eastAsia"/>
                      <w:color w:val="auto"/>
                      <w:szCs w:val="21"/>
                      <w:lang w:val="en-US" w:eastAsia="zh-CN"/>
                    </w:rPr>
                    <w:t>石油类</w:t>
                  </w:r>
                  <w:r>
                    <w:rPr>
                      <w:rFonts w:hint="eastAsia"/>
                      <w:color w:val="auto"/>
                      <w:szCs w:val="21"/>
                    </w:rPr>
                    <w:t>、SS</w:t>
                  </w:r>
                </w:p>
              </w:tc>
              <w:tc>
                <w:tcPr>
                  <w:tcW w:w="1927" w:type="dxa"/>
                  <w:noWrap w:val="0"/>
                  <w:vAlign w:val="center"/>
                </w:tcPr>
                <w:p w14:paraId="52F36AB7">
                  <w:pPr>
                    <w:spacing w:line="240" w:lineRule="exact"/>
                    <w:jc w:val="center"/>
                    <w:rPr>
                      <w:color w:val="auto"/>
                      <w:szCs w:val="21"/>
                    </w:rPr>
                  </w:pPr>
                  <w:r>
                    <w:rPr>
                      <w:rFonts w:hint="eastAsia"/>
                      <w:color w:val="auto"/>
                      <w:szCs w:val="21"/>
                      <w:lang w:val="en-US" w:eastAsia="zh-CN"/>
                    </w:rPr>
                    <w:t>厂区</w:t>
                  </w:r>
                </w:p>
              </w:tc>
            </w:tr>
            <w:tr w14:paraId="1FC5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dxa"/>
                  <w:noWrap w:val="0"/>
                  <w:vAlign w:val="center"/>
                </w:tcPr>
                <w:p w14:paraId="4BCE8BA6">
                  <w:pPr>
                    <w:spacing w:line="240" w:lineRule="exact"/>
                    <w:jc w:val="center"/>
                    <w:rPr>
                      <w:color w:val="auto"/>
                      <w:szCs w:val="21"/>
                    </w:rPr>
                  </w:pPr>
                  <w:r>
                    <w:rPr>
                      <w:color w:val="auto"/>
                      <w:szCs w:val="21"/>
                    </w:rPr>
                    <w:t>固体废物</w:t>
                  </w:r>
                </w:p>
              </w:tc>
              <w:tc>
                <w:tcPr>
                  <w:tcW w:w="2321" w:type="dxa"/>
                  <w:noWrap w:val="0"/>
                  <w:vAlign w:val="center"/>
                </w:tcPr>
                <w:p w14:paraId="25B32C52">
                  <w:pPr>
                    <w:spacing w:line="240" w:lineRule="exact"/>
                    <w:jc w:val="center"/>
                    <w:rPr>
                      <w:color w:val="auto"/>
                      <w:sz w:val="21"/>
                      <w:szCs w:val="21"/>
                    </w:rPr>
                  </w:pPr>
                  <w:r>
                    <w:rPr>
                      <w:rFonts w:hint="eastAsia"/>
                      <w:color w:val="auto"/>
                      <w:kern w:val="0"/>
                      <w:sz w:val="21"/>
                      <w:szCs w:val="21"/>
                      <w:u w:val="none"/>
                      <w:lang w:val="en-US" w:eastAsia="zh-CN"/>
                    </w:rPr>
                    <w:t>废包装袋/桶</w:t>
                  </w:r>
                </w:p>
              </w:tc>
              <w:tc>
                <w:tcPr>
                  <w:tcW w:w="2816" w:type="dxa"/>
                  <w:noWrap w:val="0"/>
                  <w:vAlign w:val="center"/>
                </w:tcPr>
                <w:p w14:paraId="2E18979D">
                  <w:pPr>
                    <w:spacing w:line="240" w:lineRule="exact"/>
                    <w:ind w:firstLine="420" w:firstLineChars="200"/>
                    <w:jc w:val="center"/>
                    <w:rPr>
                      <w:color w:val="auto"/>
                      <w:szCs w:val="21"/>
                    </w:rPr>
                  </w:pPr>
                  <w:r>
                    <w:rPr>
                      <w:rFonts w:hint="eastAsia"/>
                      <w:color w:val="auto"/>
                      <w:kern w:val="0"/>
                      <w:sz w:val="21"/>
                      <w:szCs w:val="21"/>
                      <w:u w:val="none"/>
                      <w:lang w:val="en-US" w:eastAsia="zh-CN"/>
                    </w:rPr>
                    <w:t>废包装袋/桶</w:t>
                  </w:r>
                </w:p>
              </w:tc>
              <w:tc>
                <w:tcPr>
                  <w:tcW w:w="1927" w:type="dxa"/>
                  <w:noWrap w:val="0"/>
                  <w:vAlign w:val="center"/>
                </w:tcPr>
                <w:p w14:paraId="0A73B188">
                  <w:pPr>
                    <w:spacing w:line="240" w:lineRule="exact"/>
                    <w:jc w:val="center"/>
                    <w:rPr>
                      <w:color w:val="auto"/>
                      <w:szCs w:val="21"/>
                    </w:rPr>
                  </w:pPr>
                  <w:r>
                    <w:rPr>
                      <w:rFonts w:hint="eastAsia"/>
                      <w:color w:val="auto"/>
                      <w:szCs w:val="21"/>
                      <w:u w:val="none"/>
                      <w:lang w:val="en-US" w:eastAsia="zh-CN"/>
                    </w:rPr>
                    <w:t>更换包装</w:t>
                  </w:r>
                </w:p>
              </w:tc>
            </w:tr>
            <w:tr w14:paraId="3F60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dxa"/>
                  <w:noWrap w:val="0"/>
                  <w:vAlign w:val="center"/>
                </w:tcPr>
                <w:p w14:paraId="2F24D82F">
                  <w:pPr>
                    <w:spacing w:line="240" w:lineRule="exact"/>
                    <w:jc w:val="center"/>
                    <w:rPr>
                      <w:szCs w:val="21"/>
                    </w:rPr>
                  </w:pPr>
                  <w:r>
                    <w:rPr>
                      <w:szCs w:val="21"/>
                    </w:rPr>
                    <w:t>噪声</w:t>
                  </w:r>
                </w:p>
              </w:tc>
              <w:tc>
                <w:tcPr>
                  <w:tcW w:w="2321" w:type="dxa"/>
                  <w:noWrap w:val="0"/>
                  <w:vAlign w:val="center"/>
                </w:tcPr>
                <w:p w14:paraId="408BC856">
                  <w:pPr>
                    <w:spacing w:line="240" w:lineRule="exact"/>
                    <w:jc w:val="center"/>
                    <w:rPr>
                      <w:szCs w:val="21"/>
                    </w:rPr>
                  </w:pPr>
                  <w:r>
                    <w:rPr>
                      <w:rFonts w:hint="eastAsia"/>
                      <w:szCs w:val="21"/>
                    </w:rPr>
                    <w:t>设备运行噪声</w:t>
                  </w:r>
                </w:p>
              </w:tc>
              <w:tc>
                <w:tcPr>
                  <w:tcW w:w="2816" w:type="dxa"/>
                  <w:noWrap w:val="0"/>
                  <w:vAlign w:val="center"/>
                </w:tcPr>
                <w:p w14:paraId="3058B37B">
                  <w:pPr>
                    <w:spacing w:line="240" w:lineRule="exact"/>
                    <w:ind w:firstLine="420" w:firstLineChars="200"/>
                    <w:jc w:val="center"/>
                    <w:rPr>
                      <w:szCs w:val="21"/>
                    </w:rPr>
                  </w:pPr>
                  <w:r>
                    <w:rPr>
                      <w:rFonts w:hint="eastAsia"/>
                      <w:szCs w:val="21"/>
                    </w:rPr>
                    <w:t>等效连续A声级</w:t>
                  </w:r>
                </w:p>
              </w:tc>
              <w:tc>
                <w:tcPr>
                  <w:tcW w:w="1927" w:type="dxa"/>
                  <w:noWrap w:val="0"/>
                  <w:vAlign w:val="center"/>
                </w:tcPr>
                <w:p w14:paraId="3B713F7C">
                  <w:pPr>
                    <w:spacing w:line="240" w:lineRule="exact"/>
                    <w:jc w:val="center"/>
                    <w:rPr>
                      <w:rFonts w:hint="eastAsia" w:eastAsia="宋体"/>
                      <w:szCs w:val="21"/>
                      <w:lang w:eastAsia="zh-CN"/>
                    </w:rPr>
                  </w:pPr>
                  <w:r>
                    <w:rPr>
                      <w:rFonts w:hint="eastAsia"/>
                      <w:szCs w:val="21"/>
                      <w:lang w:val="en-US" w:eastAsia="zh-CN"/>
                    </w:rPr>
                    <w:t>风机</w:t>
                  </w:r>
                </w:p>
              </w:tc>
            </w:tr>
          </w:tbl>
          <w:p w14:paraId="65A66262">
            <w:pPr>
              <w:adjustRightInd w:val="0"/>
              <w:snapToGrid w:val="0"/>
              <w:rPr>
                <w:bCs/>
                <w:szCs w:val="21"/>
              </w:rPr>
            </w:pPr>
          </w:p>
        </w:tc>
      </w:tr>
      <w:tr w14:paraId="48B5A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23" w:type="dxa"/>
            <w:noWrap w:val="0"/>
            <w:vAlign w:val="center"/>
          </w:tcPr>
          <w:p w14:paraId="09BB8831">
            <w:pPr>
              <w:pStyle w:val="17"/>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8637" w:type="dxa"/>
            <w:noWrap w:val="0"/>
            <w:vAlign w:val="top"/>
          </w:tcPr>
          <w:p w14:paraId="062C0B59">
            <w:pPr>
              <w:pStyle w:val="6"/>
              <w:spacing w:line="500" w:lineRule="exact"/>
              <w:ind w:firstLine="480"/>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1、现有工程概况</w:t>
            </w:r>
          </w:p>
          <w:p w14:paraId="1A8C8255">
            <w:pPr>
              <w:pStyle w:val="6"/>
              <w:spacing w:line="500" w:lineRule="exact"/>
              <w:ind w:firstLine="48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现有工程项目主要从事矿石、建材、粮食、日用品等物品的仓储物流，不涉及化学品、有毒有害物品和易燃易爆物品的仓储物流。现有工程主要建设内容为：建设1栋1F生活区</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总建筑面积3500m</w:t>
            </w:r>
            <w:r>
              <w:rPr>
                <w:rFonts w:hint="eastAsia" w:ascii="Times New Roman" w:hAnsi="Times New Roman" w:eastAsia="宋体" w:cs="Times New Roman"/>
                <w:color w:val="auto"/>
                <w:kern w:val="0"/>
                <w:sz w:val="24"/>
                <w:vertAlign w:val="superscript"/>
                <w:lang w:val="en-US" w:eastAsia="zh-CN"/>
              </w:rPr>
              <w:t>2</w:t>
            </w:r>
            <w:r>
              <w:rPr>
                <w:rFonts w:hint="eastAsia" w:cs="Times New Roman"/>
                <w:color w:val="auto"/>
                <w:kern w:val="0"/>
                <w:sz w:val="24"/>
                <w:vertAlign w:val="baseline"/>
                <w:lang w:val="en-US" w:eastAsia="zh-CN"/>
              </w:rPr>
              <w:t>）</w:t>
            </w:r>
            <w:r>
              <w:rPr>
                <w:rFonts w:hint="eastAsia" w:ascii="Times New Roman" w:hAnsi="Times New Roman" w:eastAsia="宋体" w:cs="Times New Roman"/>
                <w:color w:val="auto"/>
                <w:kern w:val="0"/>
                <w:sz w:val="24"/>
                <w:lang w:val="en-US" w:eastAsia="zh-CN"/>
              </w:rPr>
              <w:t>、1栋2F办公区</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总建筑面积2000m</w:t>
            </w:r>
            <w:r>
              <w:rPr>
                <w:rFonts w:hint="eastAsia" w:ascii="Times New Roman" w:hAnsi="Times New Roman" w:eastAsia="宋体" w:cs="Times New Roman"/>
                <w:color w:val="auto"/>
                <w:kern w:val="0"/>
                <w:sz w:val="24"/>
                <w:vertAlign w:val="superscript"/>
                <w:lang w:val="en-US" w:eastAsia="zh-CN"/>
              </w:rPr>
              <w:t>2</w:t>
            </w:r>
            <w:r>
              <w:rPr>
                <w:rFonts w:hint="eastAsia" w:cs="Times New Roman"/>
                <w:color w:val="auto"/>
                <w:kern w:val="0"/>
                <w:sz w:val="24"/>
                <w:vertAlign w:val="baseline"/>
                <w:lang w:val="en-US" w:eastAsia="zh-CN"/>
              </w:rPr>
              <w:t>）</w:t>
            </w:r>
            <w:r>
              <w:rPr>
                <w:rFonts w:hint="eastAsia" w:ascii="Times New Roman" w:hAnsi="Times New Roman" w:eastAsia="宋体" w:cs="Times New Roman"/>
                <w:color w:val="auto"/>
                <w:kern w:val="0"/>
                <w:sz w:val="24"/>
                <w:lang w:val="en-US" w:eastAsia="zh-CN"/>
              </w:rPr>
              <w:t>、2栋1F仓库（1号仓库、2号仓库）</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总建筑面积22000m</w:t>
            </w:r>
            <w:r>
              <w:rPr>
                <w:rFonts w:hint="eastAsia" w:ascii="Times New Roman" w:hAnsi="Times New Roman" w:eastAsia="宋体" w:cs="Times New Roman"/>
                <w:color w:val="auto"/>
                <w:kern w:val="0"/>
                <w:sz w:val="24"/>
                <w:vertAlign w:val="superscript"/>
                <w:lang w:val="en-US" w:eastAsia="zh-CN"/>
              </w:rPr>
              <w:t>2</w:t>
            </w:r>
            <w:r>
              <w:rPr>
                <w:rFonts w:hint="eastAsia" w:cs="Times New Roman"/>
                <w:color w:val="auto"/>
                <w:kern w:val="0"/>
                <w:sz w:val="24"/>
                <w:vertAlign w:val="baseline"/>
                <w:lang w:val="en-US" w:eastAsia="zh-CN"/>
              </w:rPr>
              <w:t>）</w:t>
            </w:r>
            <w:r>
              <w:rPr>
                <w:rFonts w:hint="eastAsia" w:ascii="Times New Roman" w:hAnsi="Times New Roman" w:eastAsia="宋体" w:cs="Times New Roman"/>
                <w:color w:val="auto"/>
                <w:kern w:val="0"/>
                <w:sz w:val="24"/>
                <w:lang w:val="en-US" w:eastAsia="zh-CN"/>
              </w:rPr>
              <w:t>、拆装箱堆场</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总建筑面积20000m</w:t>
            </w:r>
            <w:r>
              <w:rPr>
                <w:rFonts w:hint="eastAsia" w:ascii="Times New Roman" w:hAnsi="Times New Roman" w:eastAsia="宋体" w:cs="Times New Roman"/>
                <w:color w:val="auto"/>
                <w:kern w:val="0"/>
                <w:sz w:val="24"/>
                <w:vertAlign w:val="superscript"/>
                <w:lang w:val="en-US" w:eastAsia="zh-CN"/>
              </w:rPr>
              <w:t>2</w:t>
            </w:r>
            <w:r>
              <w:rPr>
                <w:rFonts w:hint="eastAsia" w:cs="Times New Roman"/>
                <w:color w:val="auto"/>
                <w:kern w:val="0"/>
                <w:sz w:val="24"/>
                <w:vertAlign w:val="baseline"/>
                <w:lang w:val="en-US" w:eastAsia="zh-CN"/>
              </w:rPr>
              <w:t>）</w:t>
            </w:r>
            <w:r>
              <w:rPr>
                <w:rFonts w:hint="eastAsia" w:ascii="Times New Roman" w:hAnsi="Times New Roman" w:eastAsia="宋体" w:cs="Times New Roman"/>
                <w:color w:val="auto"/>
                <w:kern w:val="0"/>
                <w:sz w:val="24"/>
                <w:lang w:val="en-US" w:eastAsia="zh-CN"/>
              </w:rPr>
              <w:t>、散货堆场</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总建筑面积10000m</w:t>
            </w:r>
            <w:r>
              <w:rPr>
                <w:rFonts w:hint="eastAsia"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，盖棚及硬底化</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、临时停车场</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总建筑面积350m</w:t>
            </w:r>
            <w:r>
              <w:rPr>
                <w:rFonts w:hint="eastAsia" w:ascii="Times New Roman" w:hAnsi="Times New Roman" w:eastAsia="宋体" w:cs="Times New Roman"/>
                <w:color w:val="auto"/>
                <w:kern w:val="0"/>
                <w:sz w:val="24"/>
                <w:vertAlign w:val="superscript"/>
                <w:lang w:val="en-US" w:eastAsia="zh-CN"/>
              </w:rPr>
              <w:t>2</w:t>
            </w:r>
            <w:r>
              <w:rPr>
                <w:rFonts w:hint="eastAsia" w:cs="Times New Roman"/>
                <w:color w:val="auto"/>
                <w:kern w:val="0"/>
                <w:sz w:val="24"/>
                <w:vertAlign w:val="superscript"/>
                <w:lang w:val="en-US" w:eastAsia="zh-CN"/>
              </w:rPr>
              <w:t>）</w:t>
            </w:r>
            <w:r>
              <w:rPr>
                <w:rFonts w:hint="eastAsia" w:ascii="Times New Roman" w:hAnsi="Times New Roman" w:eastAsia="宋体" w:cs="Times New Roman"/>
                <w:color w:val="auto"/>
                <w:kern w:val="0"/>
                <w:sz w:val="24"/>
                <w:lang w:val="en-US" w:eastAsia="zh-CN"/>
              </w:rPr>
              <w:t>、矿石加工区</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总建筑面积22000m</w:t>
            </w:r>
            <w:r>
              <w:rPr>
                <w:rFonts w:hint="eastAsia"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，盖棚及硬底化</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等，以及配套建设公用设施、绿化工程、环保工程。项目年拆装15万标箱、年加工矿石100万吨。</w:t>
            </w:r>
          </w:p>
          <w:p w14:paraId="76040F1F">
            <w:pPr>
              <w:pStyle w:val="6"/>
              <w:spacing w:line="500" w:lineRule="exact"/>
              <w:ind w:firstLine="48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根据建设单位规划，现有工程项目</w:t>
            </w:r>
            <w:r>
              <w:rPr>
                <w:rFonts w:hint="eastAsia" w:cs="Times New Roman"/>
                <w:color w:val="auto"/>
                <w:kern w:val="0"/>
                <w:sz w:val="24"/>
                <w:lang w:val="en-US" w:eastAsia="zh-CN"/>
              </w:rPr>
              <w:t>拟</w:t>
            </w:r>
            <w:r>
              <w:rPr>
                <w:rFonts w:hint="eastAsia" w:ascii="Times New Roman" w:hAnsi="Times New Roman" w:eastAsia="宋体" w:cs="Times New Roman"/>
                <w:color w:val="auto"/>
                <w:kern w:val="0"/>
                <w:sz w:val="24"/>
                <w:lang w:val="en-US" w:eastAsia="zh-CN"/>
              </w:rPr>
              <w:t>取消1栋1F生活区、1栋2F办公区，取消食堂</w:t>
            </w:r>
            <w:r>
              <w:rPr>
                <w:rFonts w:hint="eastAsia" w:cs="Times New Roman"/>
                <w:color w:val="auto"/>
                <w:kern w:val="0"/>
                <w:sz w:val="24"/>
                <w:lang w:val="en-US" w:eastAsia="zh-CN"/>
              </w:rPr>
              <w:t>。</w:t>
            </w:r>
          </w:p>
          <w:p w14:paraId="5581B238">
            <w:pPr>
              <w:pStyle w:val="6"/>
              <w:spacing w:line="500" w:lineRule="exact"/>
              <w:ind w:left="0" w:leftChars="0" w:firstLine="0" w:firstLineChars="0"/>
              <w:rPr>
                <w:rFonts w:hint="eastAsia"/>
                <w:b/>
                <w:bCs/>
                <w:color w:val="auto"/>
                <w:kern w:val="0"/>
                <w:sz w:val="24"/>
              </w:rPr>
            </w:pPr>
            <w:r>
              <w:rPr>
                <w:rFonts w:hint="eastAsia"/>
                <w:b/>
                <w:bCs/>
                <w:color w:val="auto"/>
                <w:kern w:val="0"/>
                <w:sz w:val="24"/>
                <w:lang w:val="en-US" w:eastAsia="zh-CN"/>
              </w:rPr>
              <w:t>2</w:t>
            </w:r>
            <w:r>
              <w:rPr>
                <w:rFonts w:hint="eastAsia"/>
                <w:b/>
                <w:bCs/>
                <w:color w:val="auto"/>
                <w:kern w:val="0"/>
                <w:sz w:val="24"/>
              </w:rPr>
              <w:t>、现有工程环保审批及排污许可证申领情况</w:t>
            </w:r>
          </w:p>
          <w:p w14:paraId="4FB4A909">
            <w:pPr>
              <w:pStyle w:val="6"/>
              <w:spacing w:line="500" w:lineRule="exact"/>
              <w:ind w:firstLine="480"/>
              <w:rPr>
                <w:rFonts w:hint="default" w:eastAsia="宋体"/>
                <w:color w:val="auto"/>
                <w:kern w:val="0"/>
                <w:sz w:val="24"/>
                <w:lang w:val="en-US" w:eastAsia="zh-CN"/>
              </w:rPr>
            </w:pPr>
            <w:r>
              <w:rPr>
                <w:rFonts w:hint="eastAsia"/>
                <w:color w:val="auto"/>
                <w:kern w:val="0"/>
                <w:sz w:val="24"/>
              </w:rPr>
              <w:t>⑴</w:t>
            </w:r>
            <w:r>
              <w:rPr>
                <w:rFonts w:hint="eastAsia"/>
                <w:color w:val="auto"/>
                <w:kern w:val="0"/>
                <w:sz w:val="24"/>
                <w:lang w:val="en-US" w:eastAsia="zh-CN"/>
              </w:rPr>
              <w:t>现有工程环保审批手续情况</w:t>
            </w:r>
          </w:p>
          <w:p w14:paraId="3E0075CC">
            <w:pPr>
              <w:pStyle w:val="6"/>
              <w:spacing w:line="500" w:lineRule="exact"/>
              <w:ind w:firstLine="480"/>
              <w:rPr>
                <w:rFonts w:hint="default"/>
                <w:color w:val="auto"/>
                <w:kern w:val="0"/>
                <w:sz w:val="24"/>
                <w:lang w:val="en-US" w:eastAsia="zh-CN"/>
              </w:rPr>
            </w:pPr>
            <w:r>
              <w:rPr>
                <w:rFonts w:hint="eastAsia"/>
                <w:color w:val="auto"/>
                <w:kern w:val="0"/>
                <w:sz w:val="24"/>
              </w:rPr>
              <w:t>201</w:t>
            </w:r>
            <w:r>
              <w:rPr>
                <w:rFonts w:hint="eastAsia"/>
                <w:color w:val="auto"/>
                <w:kern w:val="0"/>
                <w:sz w:val="24"/>
                <w:lang w:val="en-US" w:eastAsia="zh-CN"/>
              </w:rPr>
              <w:t>6</w:t>
            </w:r>
            <w:r>
              <w:rPr>
                <w:rFonts w:hint="eastAsia"/>
                <w:color w:val="auto"/>
                <w:kern w:val="0"/>
                <w:sz w:val="24"/>
              </w:rPr>
              <w:t>年</w:t>
            </w:r>
            <w:r>
              <w:rPr>
                <w:rFonts w:hint="eastAsia"/>
                <w:color w:val="auto"/>
                <w:kern w:val="0"/>
                <w:sz w:val="24"/>
                <w:lang w:val="en-US" w:eastAsia="zh-CN"/>
              </w:rPr>
              <w:t>5</w:t>
            </w:r>
            <w:r>
              <w:rPr>
                <w:rFonts w:hint="eastAsia"/>
                <w:color w:val="auto"/>
                <w:kern w:val="0"/>
                <w:sz w:val="24"/>
              </w:rPr>
              <w:t>月，</w:t>
            </w:r>
            <w:r>
              <w:rPr>
                <w:rFonts w:hint="eastAsia"/>
                <w:color w:val="auto"/>
                <w:kern w:val="0"/>
                <w:sz w:val="24"/>
                <w:lang w:val="en-US" w:eastAsia="zh-CN"/>
              </w:rPr>
              <w:t>广西志得实业有限公司</w:t>
            </w:r>
            <w:r>
              <w:rPr>
                <w:rFonts w:hint="eastAsia"/>
                <w:color w:val="auto"/>
                <w:kern w:val="0"/>
                <w:sz w:val="24"/>
              </w:rPr>
              <w:t>委托</w:t>
            </w:r>
            <w:r>
              <w:rPr>
                <w:rFonts w:hint="eastAsia"/>
                <w:color w:val="auto"/>
                <w:kern w:val="0"/>
                <w:sz w:val="24"/>
                <w:lang w:val="en-US" w:eastAsia="zh-CN"/>
              </w:rPr>
              <w:t>重庆市环境保护工程设计研究院有限公司</w:t>
            </w:r>
            <w:r>
              <w:rPr>
                <w:rFonts w:hint="eastAsia"/>
                <w:color w:val="auto"/>
                <w:kern w:val="0"/>
                <w:sz w:val="24"/>
              </w:rPr>
              <w:t>编制了《</w:t>
            </w:r>
            <w:r>
              <w:rPr>
                <w:rFonts w:hint="eastAsia"/>
                <w:color w:val="auto"/>
                <w:kern w:val="0"/>
                <w:sz w:val="24"/>
                <w:lang w:val="en-US" w:eastAsia="zh-CN"/>
              </w:rPr>
              <w:t>广西钦州志得物流中心</w:t>
            </w:r>
            <w:r>
              <w:rPr>
                <w:rFonts w:hint="eastAsia"/>
                <w:color w:val="auto"/>
                <w:kern w:val="0"/>
                <w:sz w:val="24"/>
              </w:rPr>
              <w:t>项目环境影响报告表》</w:t>
            </w:r>
            <w:r>
              <w:rPr>
                <w:rFonts w:hint="eastAsia"/>
                <w:color w:val="auto"/>
                <w:kern w:val="0"/>
                <w:sz w:val="24"/>
                <w:lang w:val="en-US" w:eastAsia="zh-CN"/>
              </w:rPr>
              <w:t>，并于2016年5月31日取得钦州市生态环境局（原钦州市环境保护局）文件《关于广西钦州志得物流中心</w:t>
            </w:r>
            <w:r>
              <w:rPr>
                <w:rFonts w:hint="eastAsia"/>
                <w:color w:val="auto"/>
                <w:kern w:val="0"/>
                <w:sz w:val="24"/>
              </w:rPr>
              <w:t>项目环境影响报告表</w:t>
            </w:r>
            <w:r>
              <w:rPr>
                <w:rFonts w:hint="eastAsia"/>
                <w:color w:val="auto"/>
                <w:kern w:val="0"/>
                <w:sz w:val="24"/>
                <w:lang w:val="en-US" w:eastAsia="zh-CN"/>
              </w:rPr>
              <w:t>的批复》，（钦港环管字〔2016〕13号）。项目于2019年10月28日通过水、气、声自主验收，2020年1月8日取得钦州市生态环境局文件《钦州市生态环境局关于广西钦州志得物料中心项目固体废物环境保护设施竣工验收申请的批复》，（钦港环验字〔2020〕3号）。</w:t>
            </w:r>
          </w:p>
          <w:p w14:paraId="1E5E475F">
            <w:pPr>
              <w:pStyle w:val="6"/>
              <w:spacing w:line="500" w:lineRule="exact"/>
              <w:ind w:firstLine="480"/>
              <w:rPr>
                <w:rFonts w:hint="default" w:eastAsia="宋体"/>
                <w:color w:val="auto"/>
                <w:kern w:val="0"/>
                <w:sz w:val="24"/>
                <w:lang w:val="en-US" w:eastAsia="zh-CN"/>
              </w:rPr>
            </w:pPr>
            <w:r>
              <w:rPr>
                <w:rFonts w:hint="eastAsia"/>
                <w:color w:val="auto"/>
                <w:kern w:val="0"/>
                <w:sz w:val="24"/>
                <w:lang w:val="en-US" w:eastAsia="zh-CN"/>
              </w:rPr>
              <w:t>2016年6月23日钦州市工商行政管理局同意建设单位将“广西钦州志得物流有限公司”企业名称变更为“广西志得实业有限公司”。</w:t>
            </w:r>
          </w:p>
          <w:p w14:paraId="47292BDD">
            <w:pPr>
              <w:pStyle w:val="6"/>
              <w:spacing w:line="500" w:lineRule="exact"/>
              <w:ind w:firstLine="480"/>
              <w:rPr>
                <w:rFonts w:hint="eastAsia"/>
                <w:color w:val="auto"/>
                <w:kern w:val="0"/>
                <w:sz w:val="24"/>
              </w:rPr>
            </w:pPr>
            <w:r>
              <w:rPr>
                <w:rFonts w:hint="eastAsia"/>
                <w:color w:val="auto"/>
                <w:kern w:val="0"/>
                <w:sz w:val="24"/>
              </w:rPr>
              <w:t>环</w:t>
            </w:r>
            <w:r>
              <w:rPr>
                <w:rFonts w:hint="eastAsia"/>
                <w:color w:val="auto"/>
                <w:kern w:val="0"/>
                <w:sz w:val="24"/>
                <w:lang w:val="en-US" w:eastAsia="zh-CN"/>
              </w:rPr>
              <w:t>评</w:t>
            </w:r>
            <w:r>
              <w:rPr>
                <w:rFonts w:hint="eastAsia"/>
                <w:color w:val="auto"/>
                <w:kern w:val="0"/>
                <w:sz w:val="24"/>
              </w:rPr>
              <w:t>及验收批示情况见下表：</w:t>
            </w:r>
          </w:p>
          <w:p w14:paraId="24ACC293">
            <w:pPr>
              <w:pStyle w:val="6"/>
              <w:spacing w:line="500" w:lineRule="exact"/>
              <w:ind w:firstLine="482"/>
              <w:jc w:val="center"/>
              <w:rPr>
                <w:rFonts w:hint="eastAsia" w:ascii="Times New Roman" w:hAnsi="Times New Roman" w:eastAsia="宋体" w:cs="Times New Roman"/>
                <w:b/>
                <w:bCs/>
                <w:color w:val="auto"/>
                <w:kern w:val="0"/>
                <w:sz w:val="24"/>
                <w:lang w:val="en-GB" w:eastAsia="zh-CN"/>
              </w:rPr>
            </w:pPr>
            <w:r>
              <w:rPr>
                <w:rFonts w:hint="eastAsia" w:ascii="Times New Roman" w:hAnsi="Times New Roman" w:eastAsia="宋体" w:cs="Times New Roman"/>
                <w:b/>
                <w:bCs/>
                <w:color w:val="auto"/>
                <w:kern w:val="0"/>
                <w:sz w:val="24"/>
                <w:lang w:val="en-GB" w:eastAsia="zh-CN"/>
              </w:rPr>
              <w:t>表2-</w:t>
            </w:r>
            <w:r>
              <w:rPr>
                <w:rFonts w:hint="eastAsia" w:cs="Times New Roman"/>
                <w:b/>
                <w:bCs/>
                <w:color w:val="auto"/>
                <w:kern w:val="0"/>
                <w:sz w:val="24"/>
                <w:lang w:val="en-US" w:eastAsia="zh-CN"/>
              </w:rPr>
              <w:t>9</w:t>
            </w:r>
            <w:r>
              <w:rPr>
                <w:rFonts w:hint="eastAsia" w:ascii="Times New Roman" w:hAnsi="Times New Roman" w:eastAsia="宋体" w:cs="Times New Roman"/>
                <w:b/>
                <w:bCs/>
                <w:color w:val="auto"/>
                <w:kern w:val="0"/>
                <w:sz w:val="24"/>
                <w:lang w:val="en-GB" w:eastAsia="zh-CN"/>
              </w:rPr>
              <w:t xml:space="preserve">  现有工程环保审批情况一览表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2423"/>
              <w:gridCol w:w="2746"/>
              <w:gridCol w:w="1242"/>
              <w:gridCol w:w="1242"/>
            </w:tblGrid>
            <w:tr w14:paraId="3E0E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noWrap w:val="0"/>
                  <w:vAlign w:val="center"/>
                </w:tcPr>
                <w:p w14:paraId="793A82D2">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类型</w:t>
                  </w:r>
                </w:p>
              </w:tc>
              <w:tc>
                <w:tcPr>
                  <w:tcW w:w="1440" w:type="pct"/>
                  <w:noWrap w:val="0"/>
                  <w:vAlign w:val="center"/>
                </w:tcPr>
                <w:p w14:paraId="21FCA126">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项目名称</w:t>
                  </w:r>
                </w:p>
              </w:tc>
              <w:tc>
                <w:tcPr>
                  <w:tcW w:w="1632" w:type="pct"/>
                  <w:noWrap w:val="0"/>
                  <w:vAlign w:val="center"/>
                </w:tcPr>
                <w:p w14:paraId="10567BDA">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审批文件</w:t>
                  </w:r>
                </w:p>
              </w:tc>
              <w:tc>
                <w:tcPr>
                  <w:tcW w:w="738" w:type="pct"/>
                  <w:noWrap w:val="0"/>
                  <w:vAlign w:val="center"/>
                </w:tcPr>
                <w:p w14:paraId="6379E784">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审批时间</w:t>
                  </w:r>
                </w:p>
              </w:tc>
              <w:tc>
                <w:tcPr>
                  <w:tcW w:w="738" w:type="pct"/>
                  <w:noWrap w:val="0"/>
                  <w:vAlign w:val="center"/>
                </w:tcPr>
                <w:p w14:paraId="74DDF91D">
                  <w:pPr>
                    <w:jc w:val="center"/>
                    <w:rPr>
                      <w:color w:val="auto"/>
                      <w:szCs w:val="21"/>
                    </w:rPr>
                  </w:pPr>
                  <w:r>
                    <w:rPr>
                      <w:color w:val="auto"/>
                      <w:szCs w:val="21"/>
                    </w:rPr>
                    <w:t>审批部门</w:t>
                  </w:r>
                </w:p>
              </w:tc>
            </w:tr>
            <w:tr w14:paraId="79D1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noWrap w:val="0"/>
                  <w:vAlign w:val="center"/>
                </w:tcPr>
                <w:p w14:paraId="43163D75">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环评</w:t>
                  </w:r>
                </w:p>
              </w:tc>
              <w:tc>
                <w:tcPr>
                  <w:tcW w:w="1440" w:type="pct"/>
                  <w:vMerge w:val="restart"/>
                  <w:noWrap w:val="0"/>
                  <w:vAlign w:val="center"/>
                </w:tcPr>
                <w:p w14:paraId="5C20C161">
                  <w:pPr>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广西钦州志得物流中心项目</w:t>
                  </w:r>
                </w:p>
              </w:tc>
              <w:tc>
                <w:tcPr>
                  <w:tcW w:w="1632" w:type="pct"/>
                  <w:noWrap w:val="0"/>
                  <w:vAlign w:val="center"/>
                </w:tcPr>
                <w:p w14:paraId="3331A97C">
                  <w:pPr>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钦港环管字〔2016〕13号</w:t>
                  </w:r>
                </w:p>
              </w:tc>
              <w:tc>
                <w:tcPr>
                  <w:tcW w:w="738" w:type="pct"/>
                  <w:noWrap w:val="0"/>
                  <w:vAlign w:val="center"/>
                </w:tcPr>
                <w:p w14:paraId="1BAAAA87">
                  <w:pPr>
                    <w:jc w:val="center"/>
                    <w:rPr>
                      <w:rFonts w:hint="default" w:ascii="Times New Roman" w:hAnsi="Times New Roman" w:eastAsia="宋体" w:cs="Times New Roman"/>
                      <w:color w:val="auto"/>
                      <w:kern w:val="0"/>
                      <w:szCs w:val="21"/>
                      <w:lang w:val="en-US" w:eastAsia="zh-CN"/>
                    </w:rPr>
                  </w:pPr>
                  <w:r>
                    <w:rPr>
                      <w:rFonts w:ascii="Times New Roman" w:hAnsi="Times New Roman" w:eastAsia="宋体" w:cs="Times New Roman"/>
                      <w:color w:val="auto"/>
                      <w:kern w:val="0"/>
                      <w:szCs w:val="21"/>
                    </w:rPr>
                    <w:t>201</w:t>
                  </w:r>
                  <w:r>
                    <w:rPr>
                      <w:rFonts w:hint="eastAsia" w:ascii="Times New Roman" w:hAnsi="Times New Roman" w:eastAsia="宋体" w:cs="Times New Roman"/>
                      <w:color w:val="auto"/>
                      <w:kern w:val="0"/>
                      <w:szCs w:val="21"/>
                      <w:lang w:val="en-US" w:eastAsia="zh-CN"/>
                    </w:rPr>
                    <w:t>6</w:t>
                  </w:r>
                  <w:r>
                    <w:rPr>
                      <w:rFonts w:ascii="Times New Roman" w:hAnsi="Times New Roman" w:eastAsia="宋体" w:cs="Times New Roman"/>
                      <w:color w:val="auto"/>
                      <w:kern w:val="0"/>
                      <w:szCs w:val="21"/>
                    </w:rPr>
                    <w:t>.0</w:t>
                  </w:r>
                  <w:r>
                    <w:rPr>
                      <w:rFonts w:hint="eastAsia" w:ascii="Times New Roman" w:hAnsi="Times New Roman" w:eastAsia="宋体" w:cs="Times New Roman"/>
                      <w:color w:val="auto"/>
                      <w:kern w:val="0"/>
                      <w:szCs w:val="21"/>
                      <w:lang w:val="en-US" w:eastAsia="zh-CN"/>
                    </w:rPr>
                    <w:t>5.31</w:t>
                  </w:r>
                </w:p>
              </w:tc>
              <w:tc>
                <w:tcPr>
                  <w:tcW w:w="738" w:type="pct"/>
                  <w:vMerge w:val="restart"/>
                  <w:noWrap w:val="0"/>
                  <w:vAlign w:val="center"/>
                </w:tcPr>
                <w:p w14:paraId="1DB367AE">
                  <w:pPr>
                    <w:jc w:val="center"/>
                    <w:rPr>
                      <w:color w:val="auto"/>
                      <w:szCs w:val="21"/>
                    </w:rPr>
                  </w:pPr>
                  <w:r>
                    <w:rPr>
                      <w:rFonts w:hint="eastAsia"/>
                      <w:color w:val="auto"/>
                      <w:szCs w:val="21"/>
                      <w:lang w:val="en-US" w:eastAsia="zh-CN"/>
                    </w:rPr>
                    <w:t>钦州</w:t>
                  </w:r>
                  <w:r>
                    <w:rPr>
                      <w:color w:val="auto"/>
                      <w:szCs w:val="21"/>
                    </w:rPr>
                    <w:t>市生态环境局</w:t>
                  </w:r>
                </w:p>
              </w:tc>
            </w:tr>
            <w:tr w14:paraId="2B25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vMerge w:val="restart"/>
                  <w:noWrap w:val="0"/>
                  <w:vAlign w:val="center"/>
                </w:tcPr>
                <w:p w14:paraId="59811DAE">
                  <w:pPr>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验收</w:t>
                  </w:r>
                </w:p>
              </w:tc>
              <w:tc>
                <w:tcPr>
                  <w:tcW w:w="1440" w:type="pct"/>
                  <w:vMerge w:val="continue"/>
                  <w:noWrap w:val="0"/>
                  <w:vAlign w:val="center"/>
                </w:tcPr>
                <w:p w14:paraId="4220EE41">
                  <w:pPr>
                    <w:jc w:val="center"/>
                    <w:rPr>
                      <w:rFonts w:ascii="Times New Roman" w:hAnsi="Times New Roman" w:eastAsia="宋体" w:cs="Times New Roman"/>
                      <w:color w:val="auto"/>
                      <w:kern w:val="0"/>
                      <w:szCs w:val="21"/>
                    </w:rPr>
                  </w:pPr>
                </w:p>
              </w:tc>
              <w:tc>
                <w:tcPr>
                  <w:tcW w:w="1632" w:type="pct"/>
                  <w:noWrap w:val="0"/>
                  <w:vAlign w:val="center"/>
                </w:tcPr>
                <w:p w14:paraId="7B8448D7">
                  <w:pPr>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钦港环验字〔2020〕3号</w:t>
                  </w:r>
                </w:p>
              </w:tc>
              <w:tc>
                <w:tcPr>
                  <w:tcW w:w="738" w:type="pct"/>
                  <w:noWrap w:val="0"/>
                  <w:vAlign w:val="center"/>
                </w:tcPr>
                <w:p w14:paraId="39D60A56">
                  <w:pPr>
                    <w:jc w:val="center"/>
                    <w:rPr>
                      <w:rFonts w:hint="eastAsia"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rPr>
                    <w:t>20</w:t>
                  </w:r>
                  <w:r>
                    <w:rPr>
                      <w:rFonts w:hint="eastAsia" w:ascii="Times New Roman" w:hAnsi="Times New Roman" w:eastAsia="宋体" w:cs="Times New Roman"/>
                      <w:color w:val="auto"/>
                      <w:kern w:val="0"/>
                      <w:szCs w:val="21"/>
                      <w:lang w:val="en-US" w:eastAsia="zh-CN"/>
                    </w:rPr>
                    <w:t>20</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01</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08</w:t>
                  </w:r>
                </w:p>
              </w:tc>
              <w:tc>
                <w:tcPr>
                  <w:tcW w:w="738" w:type="pct"/>
                  <w:vMerge w:val="continue"/>
                  <w:noWrap w:val="0"/>
                  <w:vAlign w:val="center"/>
                </w:tcPr>
                <w:p w14:paraId="3023352F">
                  <w:pPr>
                    <w:jc w:val="center"/>
                    <w:rPr>
                      <w:color w:val="auto"/>
                      <w:szCs w:val="21"/>
                    </w:rPr>
                  </w:pPr>
                </w:p>
              </w:tc>
            </w:tr>
            <w:tr w14:paraId="334F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 w:type="pct"/>
                  <w:vMerge w:val="continue"/>
                  <w:noWrap w:val="0"/>
                  <w:vAlign w:val="center"/>
                </w:tcPr>
                <w:p w14:paraId="08BE0437">
                  <w:pPr>
                    <w:jc w:val="center"/>
                    <w:rPr>
                      <w:rFonts w:ascii="Times New Roman" w:hAnsi="Times New Roman" w:eastAsia="宋体" w:cs="Times New Roman"/>
                      <w:color w:val="auto"/>
                      <w:kern w:val="0"/>
                      <w:szCs w:val="21"/>
                    </w:rPr>
                  </w:pPr>
                </w:p>
              </w:tc>
              <w:tc>
                <w:tcPr>
                  <w:tcW w:w="1440" w:type="pct"/>
                  <w:vMerge w:val="continue"/>
                  <w:noWrap w:val="0"/>
                  <w:vAlign w:val="center"/>
                </w:tcPr>
                <w:p w14:paraId="7185714F">
                  <w:pPr>
                    <w:jc w:val="center"/>
                    <w:rPr>
                      <w:rFonts w:ascii="Times New Roman" w:hAnsi="Times New Roman" w:eastAsia="宋体" w:cs="Times New Roman"/>
                      <w:color w:val="auto"/>
                      <w:kern w:val="0"/>
                      <w:szCs w:val="21"/>
                    </w:rPr>
                  </w:pPr>
                </w:p>
              </w:tc>
              <w:tc>
                <w:tcPr>
                  <w:tcW w:w="1632" w:type="pct"/>
                  <w:noWrap w:val="0"/>
                  <w:vAlign w:val="center"/>
                </w:tcPr>
                <w:p w14:paraId="65B113A6">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自主验收</w:t>
                  </w:r>
                </w:p>
              </w:tc>
              <w:tc>
                <w:tcPr>
                  <w:tcW w:w="738" w:type="pct"/>
                  <w:noWrap w:val="0"/>
                  <w:vAlign w:val="center"/>
                </w:tcPr>
                <w:p w14:paraId="31362A7A">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2019.10.28</w:t>
                  </w:r>
                </w:p>
              </w:tc>
              <w:tc>
                <w:tcPr>
                  <w:tcW w:w="738" w:type="pct"/>
                  <w:noWrap w:val="0"/>
                  <w:vAlign w:val="center"/>
                </w:tcPr>
                <w:p w14:paraId="3951C5CF">
                  <w:pPr>
                    <w:jc w:val="center"/>
                    <w:rPr>
                      <w:rFonts w:hint="eastAsia" w:eastAsia="宋体"/>
                      <w:color w:val="auto"/>
                      <w:szCs w:val="21"/>
                      <w:lang w:eastAsia="zh-CN"/>
                    </w:rPr>
                  </w:pPr>
                  <w:r>
                    <w:rPr>
                      <w:rFonts w:hint="eastAsia"/>
                      <w:color w:val="auto"/>
                      <w:szCs w:val="21"/>
                      <w:lang w:eastAsia="zh-CN"/>
                    </w:rPr>
                    <w:t>—</w:t>
                  </w:r>
                </w:p>
              </w:tc>
            </w:tr>
          </w:tbl>
          <w:p w14:paraId="47CBF29A">
            <w:pPr>
              <w:pStyle w:val="6"/>
              <w:spacing w:line="500" w:lineRule="exact"/>
              <w:ind w:firstLine="482"/>
              <w:jc w:val="center"/>
              <w:rPr>
                <w:rFonts w:hint="eastAsia" w:ascii="Times New Roman" w:hAnsi="Times New Roman" w:eastAsia="宋体" w:cs="Times New Roman"/>
                <w:b/>
                <w:bCs/>
                <w:color w:val="auto"/>
                <w:kern w:val="0"/>
                <w:sz w:val="24"/>
                <w:lang w:val="en-GB" w:eastAsia="zh-CN"/>
              </w:rPr>
            </w:pPr>
            <w:r>
              <w:rPr>
                <w:rFonts w:hint="eastAsia" w:ascii="Times New Roman" w:hAnsi="Times New Roman" w:eastAsia="宋体" w:cs="Times New Roman"/>
                <w:b/>
                <w:bCs/>
                <w:color w:val="auto"/>
                <w:kern w:val="0"/>
                <w:sz w:val="24"/>
                <w:lang w:val="en-GB" w:eastAsia="zh-CN"/>
              </w:rPr>
              <w:t>表2-</w:t>
            </w:r>
            <w:r>
              <w:rPr>
                <w:rFonts w:hint="eastAsia" w:ascii="Times New Roman" w:hAnsi="Times New Roman" w:eastAsia="宋体" w:cs="Times New Roman"/>
                <w:b/>
                <w:bCs/>
                <w:color w:val="auto"/>
                <w:kern w:val="0"/>
                <w:sz w:val="24"/>
                <w:lang w:val="en-US" w:eastAsia="zh-CN"/>
              </w:rPr>
              <w:t>1</w:t>
            </w:r>
            <w:r>
              <w:rPr>
                <w:rFonts w:hint="eastAsia" w:cs="Times New Roman"/>
                <w:b/>
                <w:bCs/>
                <w:color w:val="auto"/>
                <w:kern w:val="0"/>
                <w:sz w:val="24"/>
                <w:lang w:val="en-US" w:eastAsia="zh-CN"/>
              </w:rPr>
              <w:t>0</w:t>
            </w:r>
            <w:r>
              <w:rPr>
                <w:rFonts w:hint="eastAsia" w:ascii="Times New Roman" w:hAnsi="Times New Roman" w:eastAsia="宋体" w:cs="Times New Roman"/>
                <w:b/>
                <w:bCs/>
                <w:color w:val="auto"/>
                <w:kern w:val="0"/>
                <w:sz w:val="24"/>
                <w:lang w:val="en-GB" w:eastAsia="zh-CN"/>
              </w:rPr>
              <w:t xml:space="preserve">  广西钦州志得物流中心项目环评批复要求落实情况一览表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3947"/>
              <w:gridCol w:w="3933"/>
            </w:tblGrid>
            <w:tr w14:paraId="1A3A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15" w:type="pct"/>
                  <w:noWrap w:val="0"/>
                  <w:vAlign w:val="center"/>
                </w:tcPr>
                <w:p w14:paraId="0493841E">
                  <w:pPr>
                    <w:jc w:val="center"/>
                    <w:rPr>
                      <w:color w:val="auto"/>
                      <w:szCs w:val="21"/>
                    </w:rPr>
                  </w:pPr>
                  <w:r>
                    <w:rPr>
                      <w:color w:val="auto"/>
                      <w:szCs w:val="21"/>
                    </w:rPr>
                    <w:t>序号</w:t>
                  </w:r>
                </w:p>
              </w:tc>
              <w:tc>
                <w:tcPr>
                  <w:tcW w:w="2346" w:type="pct"/>
                  <w:noWrap w:val="0"/>
                  <w:vAlign w:val="center"/>
                </w:tcPr>
                <w:p w14:paraId="63AEB112">
                  <w:pPr>
                    <w:jc w:val="center"/>
                    <w:rPr>
                      <w:color w:val="auto"/>
                      <w:szCs w:val="21"/>
                    </w:rPr>
                  </w:pPr>
                  <w:r>
                    <w:rPr>
                      <w:rFonts w:hint="eastAsia"/>
                      <w:color w:val="auto"/>
                      <w:szCs w:val="21"/>
                    </w:rPr>
                    <w:t>钦港环管字〔2016〕13号</w:t>
                  </w:r>
                  <w:r>
                    <w:rPr>
                      <w:color w:val="auto"/>
                      <w:szCs w:val="21"/>
                    </w:rPr>
                    <w:t>要求</w:t>
                  </w:r>
                </w:p>
              </w:tc>
              <w:tc>
                <w:tcPr>
                  <w:tcW w:w="2337" w:type="pct"/>
                  <w:noWrap w:val="0"/>
                  <w:vAlign w:val="center"/>
                </w:tcPr>
                <w:p w14:paraId="7EF02DFD">
                  <w:pPr>
                    <w:jc w:val="center"/>
                    <w:rPr>
                      <w:color w:val="auto"/>
                      <w:szCs w:val="21"/>
                    </w:rPr>
                  </w:pPr>
                  <w:r>
                    <w:rPr>
                      <w:color w:val="auto"/>
                      <w:szCs w:val="21"/>
                    </w:rPr>
                    <w:t>落实情况</w:t>
                  </w:r>
                </w:p>
              </w:tc>
            </w:tr>
            <w:tr w14:paraId="03C6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15" w:type="pct"/>
                  <w:noWrap w:val="0"/>
                  <w:vAlign w:val="center"/>
                </w:tcPr>
                <w:p w14:paraId="5E2F07EE">
                  <w:pPr>
                    <w:jc w:val="center"/>
                    <w:rPr>
                      <w:color w:val="auto"/>
                      <w:szCs w:val="21"/>
                    </w:rPr>
                  </w:pPr>
                  <w:r>
                    <w:rPr>
                      <w:color w:val="auto"/>
                      <w:szCs w:val="21"/>
                    </w:rPr>
                    <w:t>1</w:t>
                  </w:r>
                </w:p>
              </w:tc>
              <w:tc>
                <w:tcPr>
                  <w:tcW w:w="2346" w:type="pct"/>
                  <w:noWrap w:val="0"/>
                  <w:vAlign w:val="center"/>
                </w:tcPr>
                <w:p w14:paraId="33D0EFED">
                  <w:pPr>
                    <w:ind w:firstLine="420" w:firstLineChars="200"/>
                    <w:rPr>
                      <w:color w:val="auto"/>
                      <w:szCs w:val="21"/>
                    </w:rPr>
                  </w:pPr>
                  <w:r>
                    <w:rPr>
                      <w:rFonts w:hint="eastAsia"/>
                      <w:color w:val="auto"/>
                      <w:szCs w:val="21"/>
                    </w:rPr>
                    <w:t>项目必须严格按许可的物质种类范围进行经营，严禁从事涉及危险化学品、有毒有害物品、易燃易爆物品的仓储物流</w:t>
                  </w:r>
                  <w:r>
                    <w:rPr>
                      <w:color w:val="auto"/>
                      <w:szCs w:val="21"/>
                    </w:rPr>
                    <w:t>。</w:t>
                  </w:r>
                </w:p>
              </w:tc>
              <w:tc>
                <w:tcPr>
                  <w:tcW w:w="2337" w:type="pct"/>
                  <w:noWrap w:val="0"/>
                  <w:vAlign w:val="center"/>
                </w:tcPr>
                <w:p w14:paraId="789CEEDC">
                  <w:pPr>
                    <w:ind w:firstLine="420" w:firstLineChars="200"/>
                    <w:rPr>
                      <w:color w:val="0000FF"/>
                      <w:szCs w:val="21"/>
                    </w:rPr>
                  </w:pPr>
                  <w:r>
                    <w:rPr>
                      <w:rFonts w:hint="eastAsia"/>
                      <w:color w:val="auto"/>
                      <w:szCs w:val="21"/>
                      <w:lang w:val="en-US" w:eastAsia="zh-CN"/>
                    </w:rPr>
                    <w:t>已落实，</w:t>
                  </w:r>
                  <w:r>
                    <w:rPr>
                      <w:rFonts w:hint="eastAsia"/>
                      <w:color w:val="auto"/>
                      <w:szCs w:val="21"/>
                    </w:rPr>
                    <w:t>项目严格按许可的物质种类范围进行经营，</w:t>
                  </w:r>
                  <w:r>
                    <w:rPr>
                      <w:rFonts w:hint="eastAsia"/>
                      <w:color w:val="auto"/>
                      <w:szCs w:val="21"/>
                      <w:lang w:val="en-US" w:eastAsia="zh-CN"/>
                    </w:rPr>
                    <w:t>未</w:t>
                  </w:r>
                  <w:r>
                    <w:rPr>
                      <w:rFonts w:hint="eastAsia"/>
                      <w:color w:val="auto"/>
                      <w:szCs w:val="21"/>
                    </w:rPr>
                    <w:t>从事涉及危险化学品、有毒有害物品、易燃易爆物品的仓储物流</w:t>
                  </w:r>
                  <w:r>
                    <w:rPr>
                      <w:color w:val="auto"/>
                      <w:szCs w:val="21"/>
                    </w:rPr>
                    <w:t>。</w:t>
                  </w:r>
                </w:p>
              </w:tc>
            </w:tr>
            <w:tr w14:paraId="2EDD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15" w:type="pct"/>
                  <w:noWrap w:val="0"/>
                  <w:vAlign w:val="center"/>
                </w:tcPr>
                <w:p w14:paraId="304A53D1">
                  <w:pPr>
                    <w:jc w:val="center"/>
                    <w:rPr>
                      <w:color w:val="auto"/>
                      <w:szCs w:val="21"/>
                    </w:rPr>
                  </w:pPr>
                  <w:r>
                    <w:rPr>
                      <w:color w:val="auto"/>
                      <w:szCs w:val="21"/>
                    </w:rPr>
                    <w:t>2</w:t>
                  </w:r>
                </w:p>
              </w:tc>
              <w:tc>
                <w:tcPr>
                  <w:tcW w:w="2346" w:type="pct"/>
                  <w:noWrap w:val="0"/>
                  <w:vAlign w:val="center"/>
                </w:tcPr>
                <w:p w14:paraId="0EF89640">
                  <w:pPr>
                    <w:ind w:firstLine="420" w:firstLineChars="200"/>
                    <w:rPr>
                      <w:color w:val="auto"/>
                      <w:szCs w:val="21"/>
                    </w:rPr>
                  </w:pPr>
                  <w:r>
                    <w:rPr>
                      <w:rFonts w:hint="eastAsia"/>
                      <w:color w:val="auto"/>
                      <w:szCs w:val="21"/>
                    </w:rPr>
                    <w:t>项目中转货物均要求放置于盖棚堆场或露天堆场的集装箱内，矿石加工区及堆场要求全部做到硬底化</w:t>
                  </w:r>
                  <w:r>
                    <w:rPr>
                      <w:rFonts w:hint="eastAsia"/>
                      <w:color w:val="auto"/>
                      <w:szCs w:val="21"/>
                      <w:lang w:eastAsia="zh-CN"/>
                    </w:rPr>
                    <w:t>；</w:t>
                  </w:r>
                  <w:r>
                    <w:rPr>
                      <w:rFonts w:hint="eastAsia"/>
                      <w:color w:val="auto"/>
                      <w:szCs w:val="21"/>
                    </w:rPr>
                    <w:t>矿石破碎工序要求安装相应的防尘设施，场内须安装洒水喷淋设施对易产生扬尘的货物装卸、矿石加工过程进行洒水抑尘，并采取有效措施防止厂内扬尘的无组织排放。厂地内不得对集装箱开展清洗作业，不得在场内从事洗矿作业。</w:t>
                  </w:r>
                </w:p>
              </w:tc>
              <w:tc>
                <w:tcPr>
                  <w:tcW w:w="2337" w:type="pct"/>
                  <w:noWrap w:val="0"/>
                  <w:vAlign w:val="center"/>
                </w:tcPr>
                <w:p w14:paraId="361D0079">
                  <w:pPr>
                    <w:ind w:firstLine="420" w:firstLineChars="200"/>
                    <w:rPr>
                      <w:rFonts w:hint="default" w:eastAsia="宋体"/>
                      <w:color w:val="0000FF"/>
                      <w:szCs w:val="21"/>
                      <w:lang w:val="en-US" w:eastAsia="zh-CN"/>
                    </w:rPr>
                  </w:pPr>
                  <w:r>
                    <w:rPr>
                      <w:rFonts w:hint="eastAsia"/>
                      <w:color w:val="auto"/>
                      <w:szCs w:val="21"/>
                      <w:lang w:val="en-US" w:eastAsia="zh-CN"/>
                    </w:rPr>
                    <w:t>已落实，项目中转货物均放置在盖棚仓库内，未能及时卸货的货物临时堆放在集装箱内；</w:t>
                  </w:r>
                  <w:r>
                    <w:rPr>
                      <w:rFonts w:hint="eastAsia"/>
                      <w:color w:val="auto"/>
                      <w:szCs w:val="21"/>
                    </w:rPr>
                    <w:t>矿石破碎工序</w:t>
                  </w:r>
                  <w:r>
                    <w:rPr>
                      <w:rFonts w:hint="eastAsia"/>
                      <w:color w:val="auto"/>
                      <w:szCs w:val="21"/>
                      <w:lang w:val="en-US" w:eastAsia="zh-CN"/>
                    </w:rPr>
                    <w:t>采用脉冲布袋除尘处理后仓库内无组织排放，矿石加工过程采用洒水抑尘方式，减少粉尘无组织排放。厂地内不对集装箱开展清洗作业，不在场内从事洗矿作业。</w:t>
                  </w:r>
                </w:p>
              </w:tc>
            </w:tr>
            <w:tr w14:paraId="5BDB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15" w:type="pct"/>
                  <w:noWrap w:val="0"/>
                  <w:vAlign w:val="center"/>
                </w:tcPr>
                <w:p w14:paraId="037CF135">
                  <w:pPr>
                    <w:jc w:val="center"/>
                    <w:rPr>
                      <w:color w:val="auto"/>
                      <w:szCs w:val="21"/>
                    </w:rPr>
                  </w:pPr>
                  <w:r>
                    <w:rPr>
                      <w:color w:val="auto"/>
                      <w:szCs w:val="21"/>
                    </w:rPr>
                    <w:t>3</w:t>
                  </w:r>
                </w:p>
              </w:tc>
              <w:tc>
                <w:tcPr>
                  <w:tcW w:w="2346" w:type="pct"/>
                  <w:noWrap w:val="0"/>
                  <w:vAlign w:val="center"/>
                </w:tcPr>
                <w:p w14:paraId="4DEF62AB">
                  <w:pPr>
                    <w:ind w:firstLine="420" w:firstLineChars="200"/>
                    <w:rPr>
                      <w:color w:val="auto"/>
                      <w:szCs w:val="21"/>
                    </w:rPr>
                  </w:pPr>
                  <w:r>
                    <w:rPr>
                      <w:rFonts w:hint="eastAsia"/>
                      <w:color w:val="auto"/>
                      <w:szCs w:val="21"/>
                    </w:rPr>
                    <w:t>场区要求按照“雨污分流”原则建设排水系统，室外雨水进入市政雨水管网，生活污水经处理达标后排</w:t>
                  </w:r>
                  <w:r>
                    <w:rPr>
                      <w:rFonts w:hint="eastAsia"/>
                      <w:color w:val="auto"/>
                      <w:szCs w:val="21"/>
                      <w:lang w:eastAsia="zh-CN"/>
                    </w:rPr>
                    <w:t>放</w:t>
                  </w:r>
                  <w:r>
                    <w:rPr>
                      <w:color w:val="auto"/>
                      <w:szCs w:val="21"/>
                    </w:rPr>
                    <w:t>。</w:t>
                  </w:r>
                </w:p>
              </w:tc>
              <w:tc>
                <w:tcPr>
                  <w:tcW w:w="2337" w:type="pct"/>
                  <w:noWrap w:val="0"/>
                  <w:vAlign w:val="center"/>
                </w:tcPr>
                <w:p w14:paraId="134076E1">
                  <w:pPr>
                    <w:ind w:firstLine="420" w:firstLineChars="200"/>
                    <w:rPr>
                      <w:rFonts w:hint="default" w:eastAsia="宋体"/>
                      <w:color w:val="auto"/>
                      <w:szCs w:val="21"/>
                      <w:lang w:val="en-US" w:eastAsia="zh-CN"/>
                    </w:rPr>
                  </w:pPr>
                  <w:r>
                    <w:rPr>
                      <w:rFonts w:hint="eastAsia"/>
                      <w:color w:val="auto"/>
                      <w:szCs w:val="21"/>
                      <w:lang w:val="en-US" w:eastAsia="zh-CN"/>
                    </w:rPr>
                    <w:t>落实，项目采用雨污分流制，</w:t>
                  </w:r>
                  <w:r>
                    <w:rPr>
                      <w:rFonts w:hint="eastAsia"/>
                      <w:color w:val="000000"/>
                      <w:szCs w:val="21"/>
                      <w:lang w:val="en-US" w:eastAsia="zh-CN"/>
                    </w:rPr>
                    <w:t>雨水经雨水沟收集后排入</w:t>
                  </w:r>
                  <w:r>
                    <w:rPr>
                      <w:rFonts w:hint="eastAsia"/>
                      <w:color w:val="auto"/>
                      <w:szCs w:val="21"/>
                      <w:lang w:val="en-US" w:eastAsia="zh-CN"/>
                    </w:rPr>
                    <w:t>钦州湾海域，生活污水经化粪池处理后排入钦州港工业污水集中处理厂处理。</w:t>
                  </w:r>
                </w:p>
              </w:tc>
            </w:tr>
            <w:tr w14:paraId="167B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15" w:type="pct"/>
                  <w:noWrap w:val="0"/>
                  <w:vAlign w:val="center"/>
                </w:tcPr>
                <w:p w14:paraId="482F07BE">
                  <w:pPr>
                    <w:jc w:val="center"/>
                    <w:rPr>
                      <w:color w:val="auto"/>
                      <w:szCs w:val="21"/>
                    </w:rPr>
                  </w:pPr>
                  <w:r>
                    <w:rPr>
                      <w:color w:val="auto"/>
                      <w:szCs w:val="21"/>
                    </w:rPr>
                    <w:t>4</w:t>
                  </w:r>
                </w:p>
              </w:tc>
              <w:tc>
                <w:tcPr>
                  <w:tcW w:w="2346" w:type="pct"/>
                  <w:noWrap w:val="0"/>
                  <w:vAlign w:val="center"/>
                </w:tcPr>
                <w:p w14:paraId="186462F0">
                  <w:pPr>
                    <w:ind w:firstLine="420" w:firstLineChars="200"/>
                    <w:rPr>
                      <w:color w:val="auto"/>
                      <w:szCs w:val="21"/>
                    </w:rPr>
                  </w:pPr>
                  <w:r>
                    <w:rPr>
                      <w:rFonts w:hint="eastAsia"/>
                      <w:color w:val="auto"/>
                      <w:szCs w:val="21"/>
                    </w:rPr>
                    <w:t>选用低噪声设备，合理布置高噪声设备并采取有效的隔声、基础减振、绿化等降噪措施，并按有关规定安排作业时间，确保厂界噪声达标排放。</w:t>
                  </w:r>
                </w:p>
              </w:tc>
              <w:tc>
                <w:tcPr>
                  <w:tcW w:w="2337" w:type="pct"/>
                  <w:noWrap w:val="0"/>
                  <w:vAlign w:val="center"/>
                </w:tcPr>
                <w:p w14:paraId="654CB6E6">
                  <w:pPr>
                    <w:ind w:firstLine="420" w:firstLineChars="200"/>
                    <w:rPr>
                      <w:rFonts w:hint="default" w:eastAsia="宋体"/>
                      <w:color w:val="auto"/>
                      <w:szCs w:val="21"/>
                      <w:lang w:val="en-US" w:eastAsia="zh-CN"/>
                    </w:rPr>
                  </w:pPr>
                  <w:r>
                    <w:rPr>
                      <w:rFonts w:hint="eastAsia"/>
                      <w:color w:val="auto"/>
                      <w:szCs w:val="21"/>
                      <w:lang w:val="en-US" w:eastAsia="zh-CN"/>
                    </w:rPr>
                    <w:t>落实，根据验收监测，项目西面厂界噪声满足《工业企业厂界环境噪声排放标准》（GB12348-2008）4类标准限值要求，其余厂界噪声满足《工业企业厂界环境噪声排放标准》（GB12348-2008）3类标准限值要求。</w:t>
                  </w:r>
                </w:p>
              </w:tc>
            </w:tr>
            <w:tr w14:paraId="1C3F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15" w:type="pct"/>
                  <w:noWrap w:val="0"/>
                  <w:vAlign w:val="center"/>
                </w:tcPr>
                <w:p w14:paraId="41FC76BD">
                  <w:pPr>
                    <w:jc w:val="center"/>
                    <w:rPr>
                      <w:color w:val="auto"/>
                      <w:szCs w:val="21"/>
                    </w:rPr>
                  </w:pPr>
                  <w:r>
                    <w:rPr>
                      <w:color w:val="auto"/>
                      <w:szCs w:val="21"/>
                    </w:rPr>
                    <w:t>5</w:t>
                  </w:r>
                </w:p>
              </w:tc>
              <w:tc>
                <w:tcPr>
                  <w:tcW w:w="2346" w:type="pct"/>
                  <w:noWrap w:val="0"/>
                  <w:vAlign w:val="center"/>
                </w:tcPr>
                <w:p w14:paraId="49567ED8">
                  <w:pPr>
                    <w:ind w:firstLine="420" w:firstLineChars="200"/>
                    <w:rPr>
                      <w:color w:val="auto"/>
                      <w:szCs w:val="21"/>
                    </w:rPr>
                  </w:pPr>
                  <w:r>
                    <w:rPr>
                      <w:rFonts w:hint="eastAsia"/>
                      <w:color w:val="auto"/>
                      <w:szCs w:val="21"/>
                    </w:rPr>
                    <w:t>车辆维修及机械修理产生的废矿物油、废油抹布等属危险废物，必须委托具有危险废物经营许可资质的单位进行处理，其收集、储存必须严格执行《危险废物贮存污染控制标准》</w:t>
                  </w:r>
                  <w:r>
                    <w:rPr>
                      <w:rFonts w:hint="eastAsia"/>
                      <w:color w:val="auto"/>
                      <w:szCs w:val="21"/>
                      <w:lang w:eastAsia="zh-CN"/>
                    </w:rPr>
                    <w:t>（</w:t>
                  </w:r>
                  <w:r>
                    <w:rPr>
                      <w:rFonts w:hint="eastAsia"/>
                      <w:color w:val="auto"/>
                      <w:szCs w:val="21"/>
                    </w:rPr>
                    <w:t>GB18597-2001</w:t>
                  </w:r>
                  <w:r>
                    <w:rPr>
                      <w:rFonts w:hint="eastAsia"/>
                      <w:color w:val="auto"/>
                      <w:szCs w:val="21"/>
                      <w:lang w:eastAsia="zh-CN"/>
                    </w:rPr>
                    <w:t>）</w:t>
                  </w:r>
                  <w:r>
                    <w:rPr>
                      <w:rFonts w:hint="eastAsia"/>
                      <w:color w:val="auto"/>
                      <w:szCs w:val="21"/>
                    </w:rPr>
                    <w:t>等的有关规定，转移须执行转移联单制度。厂区内必须按照相关规范建设危险废物临时贮存场所，临时贮存场所必须做到“防扬撒、防流失、防渗漏”。废机油桶集中交由厂家回收处理。</w:t>
                  </w:r>
                </w:p>
              </w:tc>
              <w:tc>
                <w:tcPr>
                  <w:tcW w:w="2337" w:type="pct"/>
                  <w:noWrap w:val="0"/>
                  <w:vAlign w:val="center"/>
                </w:tcPr>
                <w:p w14:paraId="4E915A85">
                  <w:pPr>
                    <w:ind w:firstLine="420" w:firstLineChars="200"/>
                    <w:rPr>
                      <w:rFonts w:hint="default" w:eastAsia="宋体"/>
                      <w:color w:val="0000FF"/>
                      <w:szCs w:val="21"/>
                      <w:lang w:val="en-US" w:eastAsia="zh-CN"/>
                    </w:rPr>
                  </w:pPr>
                  <w:r>
                    <w:rPr>
                      <w:rFonts w:hint="eastAsia" w:eastAsia="宋体"/>
                      <w:color w:val="auto"/>
                      <w:szCs w:val="21"/>
                      <w:lang w:val="en-US" w:eastAsia="zh-CN"/>
                    </w:rPr>
                    <w:t>建设单位未在厂内设置危险废物暂存间，车辆维修委托第三方公司进行维修保养，不在厂内进行</w:t>
                  </w:r>
                  <w:r>
                    <w:rPr>
                      <w:rFonts w:hint="eastAsia"/>
                      <w:color w:val="auto"/>
                      <w:szCs w:val="21"/>
                      <w:lang w:val="en-US" w:eastAsia="zh-CN"/>
                    </w:rPr>
                    <w:t>，无危险废物产生</w:t>
                  </w:r>
                  <w:r>
                    <w:rPr>
                      <w:rFonts w:hint="eastAsia" w:eastAsia="宋体"/>
                      <w:color w:val="auto"/>
                      <w:szCs w:val="21"/>
                      <w:lang w:val="en-US" w:eastAsia="zh-CN"/>
                    </w:rPr>
                    <w:t>。</w:t>
                  </w:r>
                </w:p>
              </w:tc>
            </w:tr>
            <w:tr w14:paraId="34BA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15" w:type="pct"/>
                  <w:noWrap w:val="0"/>
                  <w:vAlign w:val="center"/>
                </w:tcPr>
                <w:p w14:paraId="6232609F">
                  <w:pPr>
                    <w:jc w:val="center"/>
                    <w:rPr>
                      <w:rFonts w:hint="eastAsia" w:eastAsia="宋体"/>
                      <w:color w:val="auto"/>
                      <w:szCs w:val="21"/>
                      <w:lang w:val="en-US" w:eastAsia="zh-CN"/>
                    </w:rPr>
                  </w:pPr>
                  <w:r>
                    <w:rPr>
                      <w:rFonts w:hint="eastAsia"/>
                      <w:color w:val="auto"/>
                      <w:szCs w:val="21"/>
                      <w:lang w:val="en-US" w:eastAsia="zh-CN"/>
                    </w:rPr>
                    <w:t>6</w:t>
                  </w:r>
                </w:p>
              </w:tc>
              <w:tc>
                <w:tcPr>
                  <w:tcW w:w="2346" w:type="pct"/>
                  <w:noWrap w:val="0"/>
                  <w:vAlign w:val="center"/>
                </w:tcPr>
                <w:p w14:paraId="4474EBEF">
                  <w:pPr>
                    <w:ind w:firstLine="420" w:firstLineChars="200"/>
                    <w:rPr>
                      <w:rFonts w:hint="eastAsia"/>
                      <w:color w:val="auto"/>
                      <w:szCs w:val="21"/>
                    </w:rPr>
                  </w:pPr>
                  <w:r>
                    <w:rPr>
                      <w:rFonts w:hint="eastAsia"/>
                      <w:color w:val="auto"/>
                      <w:szCs w:val="21"/>
                    </w:rPr>
                    <w:t>食堂燃料要求使用液化气、天然气、电等清洁能源</w:t>
                  </w:r>
                </w:p>
              </w:tc>
              <w:tc>
                <w:tcPr>
                  <w:tcW w:w="2337" w:type="pct"/>
                  <w:noWrap w:val="0"/>
                  <w:vAlign w:val="center"/>
                </w:tcPr>
                <w:p w14:paraId="01B51B5C">
                  <w:pPr>
                    <w:ind w:firstLine="420" w:firstLineChars="200"/>
                    <w:rPr>
                      <w:rFonts w:hint="default" w:eastAsia="宋体"/>
                      <w:color w:val="auto"/>
                      <w:szCs w:val="21"/>
                      <w:lang w:val="en-US" w:eastAsia="zh-CN"/>
                    </w:rPr>
                  </w:pPr>
                  <w:r>
                    <w:rPr>
                      <w:rFonts w:hint="eastAsia"/>
                      <w:color w:val="auto"/>
                      <w:szCs w:val="21"/>
                      <w:lang w:val="en-US" w:eastAsia="zh-CN"/>
                    </w:rPr>
                    <w:t>落实，食堂燃料使用清洁能源。</w:t>
                  </w:r>
                </w:p>
              </w:tc>
            </w:tr>
            <w:tr w14:paraId="5E52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15" w:type="pct"/>
                  <w:noWrap w:val="0"/>
                  <w:vAlign w:val="center"/>
                </w:tcPr>
                <w:p w14:paraId="10744F4B">
                  <w:pPr>
                    <w:jc w:val="center"/>
                    <w:rPr>
                      <w:rFonts w:hint="default"/>
                      <w:color w:val="auto"/>
                      <w:szCs w:val="21"/>
                      <w:lang w:val="en-US" w:eastAsia="zh-CN"/>
                    </w:rPr>
                  </w:pPr>
                  <w:r>
                    <w:rPr>
                      <w:rFonts w:hint="eastAsia"/>
                      <w:color w:val="auto"/>
                      <w:szCs w:val="21"/>
                      <w:lang w:val="en-US" w:eastAsia="zh-CN"/>
                    </w:rPr>
                    <w:t>7</w:t>
                  </w:r>
                </w:p>
              </w:tc>
              <w:tc>
                <w:tcPr>
                  <w:tcW w:w="2346" w:type="pct"/>
                  <w:noWrap w:val="0"/>
                  <w:vAlign w:val="center"/>
                </w:tcPr>
                <w:p w14:paraId="3153A1E4">
                  <w:pPr>
                    <w:ind w:firstLine="420" w:firstLineChars="200"/>
                    <w:rPr>
                      <w:rFonts w:hint="eastAsia"/>
                      <w:color w:val="auto"/>
                      <w:szCs w:val="21"/>
                    </w:rPr>
                  </w:pPr>
                  <w:r>
                    <w:rPr>
                      <w:rFonts w:hint="eastAsia"/>
                      <w:color w:val="auto"/>
                      <w:szCs w:val="21"/>
                    </w:rPr>
                    <w:t>按设计要求落实场区道路及绿化，加强对道路的清扫。</w:t>
                  </w:r>
                </w:p>
              </w:tc>
              <w:tc>
                <w:tcPr>
                  <w:tcW w:w="2337" w:type="pct"/>
                  <w:noWrap w:val="0"/>
                  <w:vAlign w:val="center"/>
                </w:tcPr>
                <w:p w14:paraId="42CB9A35">
                  <w:pPr>
                    <w:ind w:firstLine="420" w:firstLineChars="200"/>
                    <w:rPr>
                      <w:rFonts w:hint="default" w:eastAsia="宋体"/>
                      <w:color w:val="auto"/>
                      <w:szCs w:val="21"/>
                      <w:lang w:val="en-US" w:eastAsia="zh-CN"/>
                    </w:rPr>
                  </w:pPr>
                  <w:r>
                    <w:rPr>
                      <w:rFonts w:hint="eastAsia"/>
                      <w:color w:val="auto"/>
                      <w:szCs w:val="21"/>
                      <w:lang w:val="en-US" w:eastAsia="zh-CN"/>
                    </w:rPr>
                    <w:t>落实，项目已在厂内进行绿化，定期进行道路清扫。</w:t>
                  </w:r>
                </w:p>
              </w:tc>
            </w:tr>
            <w:tr w14:paraId="4E28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15" w:type="pct"/>
                  <w:noWrap w:val="0"/>
                  <w:vAlign w:val="center"/>
                </w:tcPr>
                <w:p w14:paraId="7DFE3965">
                  <w:pPr>
                    <w:jc w:val="center"/>
                    <w:rPr>
                      <w:rFonts w:hint="eastAsia" w:eastAsia="宋体"/>
                      <w:color w:val="auto"/>
                      <w:szCs w:val="21"/>
                      <w:lang w:val="en-US" w:eastAsia="zh-CN"/>
                    </w:rPr>
                  </w:pPr>
                  <w:r>
                    <w:rPr>
                      <w:rFonts w:hint="eastAsia"/>
                      <w:color w:val="auto"/>
                      <w:szCs w:val="21"/>
                      <w:lang w:val="en-US" w:eastAsia="zh-CN"/>
                    </w:rPr>
                    <w:t>8</w:t>
                  </w:r>
                </w:p>
              </w:tc>
              <w:tc>
                <w:tcPr>
                  <w:tcW w:w="2346" w:type="pct"/>
                  <w:noWrap w:val="0"/>
                  <w:vAlign w:val="center"/>
                </w:tcPr>
                <w:p w14:paraId="51CC6921">
                  <w:pPr>
                    <w:ind w:firstLine="420" w:firstLineChars="200"/>
                    <w:rPr>
                      <w:rFonts w:hint="eastAsia"/>
                      <w:color w:val="auto"/>
                      <w:szCs w:val="21"/>
                    </w:rPr>
                  </w:pPr>
                  <w:r>
                    <w:rPr>
                      <w:rFonts w:hint="eastAsia"/>
                      <w:color w:val="auto"/>
                      <w:szCs w:val="21"/>
                    </w:rPr>
                    <w:t>严格执行环境保护设施与主体工程同时设计、同时施工、同时投入使用的环境保护“三同时”制度。项目竣工后你单位必须向我局申请办理排污许可证</w:t>
                  </w:r>
                  <w:r>
                    <w:rPr>
                      <w:rFonts w:hint="eastAsia"/>
                      <w:color w:val="auto"/>
                      <w:szCs w:val="21"/>
                      <w:lang w:eastAsia="zh-CN"/>
                    </w:rPr>
                    <w:t>（</w:t>
                  </w:r>
                  <w:r>
                    <w:rPr>
                      <w:rFonts w:hint="eastAsia"/>
                      <w:color w:val="auto"/>
                      <w:szCs w:val="21"/>
                    </w:rPr>
                    <w:t>临时</w:t>
                  </w:r>
                  <w:r>
                    <w:rPr>
                      <w:rFonts w:hint="eastAsia"/>
                      <w:color w:val="auto"/>
                      <w:szCs w:val="21"/>
                      <w:lang w:eastAsia="zh-CN"/>
                    </w:rPr>
                    <w:t>）</w:t>
                  </w:r>
                  <w:r>
                    <w:rPr>
                      <w:rFonts w:hint="eastAsia"/>
                      <w:color w:val="auto"/>
                      <w:szCs w:val="21"/>
                    </w:rPr>
                    <w:t>方可进行试生产。在试生产三个月内必须按照规定程序向我局申请竣工环境保护验收。</w:t>
                  </w:r>
                </w:p>
              </w:tc>
              <w:tc>
                <w:tcPr>
                  <w:tcW w:w="2337" w:type="pct"/>
                  <w:noWrap w:val="0"/>
                  <w:vAlign w:val="center"/>
                </w:tcPr>
                <w:p w14:paraId="10D4097B">
                  <w:pPr>
                    <w:ind w:firstLine="420" w:firstLineChars="200"/>
                    <w:rPr>
                      <w:rFonts w:hint="default" w:eastAsia="宋体"/>
                      <w:color w:val="auto"/>
                      <w:szCs w:val="21"/>
                      <w:lang w:val="en-US" w:eastAsia="zh-CN"/>
                    </w:rPr>
                  </w:pPr>
                  <w:r>
                    <w:rPr>
                      <w:rFonts w:hint="eastAsia"/>
                      <w:color w:val="auto"/>
                      <w:szCs w:val="21"/>
                      <w:lang w:val="en-US" w:eastAsia="zh-CN"/>
                    </w:rPr>
                    <w:t>落实，项目已执行三同时，已进行验收。</w:t>
                  </w:r>
                </w:p>
              </w:tc>
            </w:tr>
          </w:tbl>
          <w:p w14:paraId="2BB85130">
            <w:pPr>
              <w:pStyle w:val="6"/>
              <w:spacing w:line="500" w:lineRule="exact"/>
              <w:ind w:firstLine="482"/>
              <w:jc w:val="center"/>
              <w:rPr>
                <w:rFonts w:hint="eastAsia" w:ascii="Times New Roman" w:hAnsi="Times New Roman" w:eastAsia="宋体" w:cs="Times New Roman"/>
                <w:b/>
                <w:bCs/>
                <w:color w:val="auto"/>
                <w:kern w:val="0"/>
                <w:sz w:val="24"/>
                <w:lang w:val="en-GB" w:eastAsia="zh-CN"/>
              </w:rPr>
            </w:pPr>
            <w:r>
              <w:rPr>
                <w:rFonts w:hint="eastAsia" w:ascii="Times New Roman" w:hAnsi="Times New Roman" w:eastAsia="宋体" w:cs="Times New Roman"/>
                <w:b/>
                <w:bCs/>
                <w:color w:val="auto"/>
                <w:kern w:val="0"/>
                <w:sz w:val="24"/>
                <w:lang w:val="en-GB" w:eastAsia="zh-CN"/>
              </w:rPr>
              <w:t>表2-</w:t>
            </w:r>
            <w:r>
              <w:rPr>
                <w:rFonts w:hint="eastAsia" w:cs="Times New Roman"/>
                <w:b/>
                <w:bCs/>
                <w:color w:val="auto"/>
                <w:kern w:val="0"/>
                <w:sz w:val="24"/>
                <w:lang w:val="en-US" w:eastAsia="zh-CN"/>
              </w:rPr>
              <w:t>1</w:t>
            </w:r>
            <w:r>
              <w:rPr>
                <w:rFonts w:hint="eastAsia" w:ascii="Times New Roman" w:hAnsi="Times New Roman" w:eastAsia="宋体" w:cs="Times New Roman"/>
                <w:b/>
                <w:bCs/>
                <w:color w:val="auto"/>
                <w:kern w:val="0"/>
                <w:sz w:val="24"/>
                <w:lang w:val="en-GB" w:eastAsia="zh-CN"/>
              </w:rPr>
              <w:t xml:space="preserve">  验收批复要求落实情况一览表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867"/>
              <w:gridCol w:w="4724"/>
            </w:tblGrid>
            <w:tr w14:paraId="580E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87" w:type="pct"/>
                  <w:noWrap w:val="0"/>
                  <w:vAlign w:val="center"/>
                </w:tcPr>
                <w:p w14:paraId="7797DF08">
                  <w:pPr>
                    <w:jc w:val="center"/>
                    <w:rPr>
                      <w:color w:val="auto"/>
                      <w:szCs w:val="21"/>
                    </w:rPr>
                  </w:pPr>
                  <w:r>
                    <w:rPr>
                      <w:color w:val="auto"/>
                      <w:szCs w:val="21"/>
                    </w:rPr>
                    <w:t>序号</w:t>
                  </w:r>
                </w:p>
              </w:tc>
              <w:tc>
                <w:tcPr>
                  <w:tcW w:w="1704" w:type="pct"/>
                  <w:noWrap w:val="0"/>
                  <w:vAlign w:val="center"/>
                </w:tcPr>
                <w:p w14:paraId="7EAC2A09">
                  <w:pPr>
                    <w:jc w:val="center"/>
                    <w:rPr>
                      <w:rFonts w:hint="default" w:eastAsia="宋体"/>
                      <w:color w:val="auto"/>
                      <w:szCs w:val="21"/>
                      <w:lang w:val="en-US" w:eastAsia="zh-CN"/>
                    </w:rPr>
                  </w:pPr>
                  <w:r>
                    <w:rPr>
                      <w:rFonts w:hint="eastAsia"/>
                      <w:color w:val="auto"/>
                      <w:szCs w:val="21"/>
                    </w:rPr>
                    <w:t>钦港环验字〔2020〕3号</w:t>
                  </w:r>
                  <w:r>
                    <w:rPr>
                      <w:rFonts w:hint="eastAsia"/>
                      <w:color w:val="auto"/>
                      <w:szCs w:val="21"/>
                      <w:lang w:eastAsia="zh-CN"/>
                    </w:rPr>
                    <w:t>、</w:t>
                  </w:r>
                  <w:r>
                    <w:rPr>
                      <w:rFonts w:hint="eastAsia"/>
                      <w:color w:val="auto"/>
                      <w:szCs w:val="21"/>
                      <w:lang w:val="en-US" w:eastAsia="zh-CN"/>
                    </w:rPr>
                    <w:t>自主验收要求</w:t>
                  </w:r>
                </w:p>
              </w:tc>
              <w:tc>
                <w:tcPr>
                  <w:tcW w:w="2807" w:type="pct"/>
                  <w:noWrap w:val="0"/>
                  <w:vAlign w:val="center"/>
                </w:tcPr>
                <w:p w14:paraId="7E8C48EF">
                  <w:pPr>
                    <w:jc w:val="center"/>
                    <w:rPr>
                      <w:color w:val="auto"/>
                      <w:szCs w:val="21"/>
                    </w:rPr>
                  </w:pPr>
                  <w:r>
                    <w:rPr>
                      <w:color w:val="auto"/>
                      <w:szCs w:val="21"/>
                    </w:rPr>
                    <w:t>落实情况</w:t>
                  </w:r>
                </w:p>
              </w:tc>
            </w:tr>
            <w:tr w14:paraId="237B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87" w:type="pct"/>
                  <w:noWrap w:val="0"/>
                  <w:vAlign w:val="center"/>
                </w:tcPr>
                <w:p w14:paraId="27E1B8F6">
                  <w:pPr>
                    <w:jc w:val="center"/>
                    <w:rPr>
                      <w:color w:val="auto"/>
                      <w:szCs w:val="21"/>
                    </w:rPr>
                  </w:pPr>
                  <w:r>
                    <w:rPr>
                      <w:color w:val="auto"/>
                      <w:szCs w:val="21"/>
                    </w:rPr>
                    <w:t>1</w:t>
                  </w:r>
                </w:p>
              </w:tc>
              <w:tc>
                <w:tcPr>
                  <w:tcW w:w="1704" w:type="pct"/>
                  <w:noWrap w:val="0"/>
                  <w:vAlign w:val="center"/>
                </w:tcPr>
                <w:p w14:paraId="44186DB3">
                  <w:pPr>
                    <w:ind w:firstLine="420" w:firstLineChars="200"/>
                    <w:rPr>
                      <w:color w:val="auto"/>
                      <w:szCs w:val="21"/>
                    </w:rPr>
                  </w:pPr>
                  <w:r>
                    <w:rPr>
                      <w:rFonts w:hint="eastAsia"/>
                      <w:color w:val="auto"/>
                      <w:szCs w:val="21"/>
                      <w:lang w:val="en-US" w:eastAsia="zh-CN"/>
                    </w:rPr>
                    <w:t>对各类固体废物分类收集，按质处理，做到“资源化、减量化、无害化”</w:t>
                  </w:r>
                  <w:r>
                    <w:rPr>
                      <w:color w:val="auto"/>
                      <w:szCs w:val="21"/>
                    </w:rPr>
                    <w:t>。</w:t>
                  </w:r>
                </w:p>
              </w:tc>
              <w:tc>
                <w:tcPr>
                  <w:tcW w:w="2807" w:type="pct"/>
                  <w:noWrap w:val="0"/>
                  <w:vAlign w:val="center"/>
                </w:tcPr>
                <w:p w14:paraId="3889AC54">
                  <w:pPr>
                    <w:ind w:firstLine="420" w:firstLineChars="200"/>
                    <w:rPr>
                      <w:rFonts w:hint="default" w:eastAsia="宋体"/>
                      <w:color w:val="auto"/>
                      <w:szCs w:val="21"/>
                      <w:u w:val="single"/>
                      <w:lang w:val="en-US" w:eastAsia="zh-CN"/>
                    </w:rPr>
                  </w:pPr>
                  <w:r>
                    <w:rPr>
                      <w:color w:val="auto"/>
                      <w:szCs w:val="21"/>
                      <w:u w:val="none"/>
                    </w:rPr>
                    <w:t>已落实，</w:t>
                  </w:r>
                  <w:r>
                    <w:rPr>
                      <w:rFonts w:hint="eastAsia"/>
                      <w:color w:val="auto"/>
                      <w:szCs w:val="21"/>
                      <w:u w:val="none"/>
                      <w:lang w:val="en-US" w:eastAsia="zh-CN"/>
                    </w:rPr>
                    <w:t>固体废物均得到合理处置。</w:t>
                  </w:r>
                </w:p>
              </w:tc>
            </w:tr>
            <w:tr w14:paraId="10BA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87" w:type="pct"/>
                  <w:noWrap w:val="0"/>
                  <w:vAlign w:val="center"/>
                </w:tcPr>
                <w:p w14:paraId="5C302F2A">
                  <w:pPr>
                    <w:jc w:val="center"/>
                    <w:rPr>
                      <w:color w:val="auto"/>
                      <w:szCs w:val="21"/>
                    </w:rPr>
                  </w:pPr>
                  <w:r>
                    <w:rPr>
                      <w:color w:val="auto"/>
                      <w:szCs w:val="21"/>
                    </w:rPr>
                    <w:t>2</w:t>
                  </w:r>
                </w:p>
              </w:tc>
              <w:tc>
                <w:tcPr>
                  <w:tcW w:w="1704" w:type="pct"/>
                  <w:noWrap w:val="0"/>
                  <w:vAlign w:val="center"/>
                </w:tcPr>
                <w:p w14:paraId="30E808E3">
                  <w:pPr>
                    <w:ind w:firstLine="420" w:firstLineChars="200"/>
                    <w:rPr>
                      <w:color w:val="auto"/>
                      <w:szCs w:val="21"/>
                    </w:rPr>
                  </w:pPr>
                  <w:r>
                    <w:rPr>
                      <w:color w:val="auto"/>
                      <w:szCs w:val="21"/>
                    </w:rPr>
                    <w:t>按危险废物规范化管理要求做好危险废物的管理处置工作。</w:t>
                  </w:r>
                </w:p>
              </w:tc>
              <w:tc>
                <w:tcPr>
                  <w:tcW w:w="2807" w:type="pct"/>
                  <w:noWrap w:val="0"/>
                  <w:vAlign w:val="center"/>
                </w:tcPr>
                <w:p w14:paraId="46721C7B">
                  <w:pPr>
                    <w:ind w:firstLine="420" w:firstLineChars="200"/>
                    <w:rPr>
                      <w:rFonts w:hint="default" w:eastAsia="宋体"/>
                      <w:color w:val="auto"/>
                      <w:szCs w:val="21"/>
                      <w:u w:val="single"/>
                      <w:lang w:val="en-US" w:eastAsia="zh-CN"/>
                    </w:rPr>
                  </w:pPr>
                  <w:r>
                    <w:rPr>
                      <w:rFonts w:hint="eastAsia"/>
                      <w:color w:val="auto"/>
                      <w:szCs w:val="21"/>
                      <w:u w:val="none"/>
                      <w:lang w:val="en-US" w:eastAsia="zh-CN"/>
                    </w:rPr>
                    <w:t>未</w:t>
                  </w:r>
                  <w:r>
                    <w:rPr>
                      <w:color w:val="auto"/>
                      <w:szCs w:val="21"/>
                      <w:u w:val="none"/>
                    </w:rPr>
                    <w:t>落实，</w:t>
                  </w:r>
                  <w:r>
                    <w:rPr>
                      <w:rFonts w:hint="eastAsia"/>
                      <w:color w:val="auto"/>
                      <w:szCs w:val="21"/>
                      <w:u w:val="none"/>
                      <w:lang w:val="en-US" w:eastAsia="zh-CN"/>
                    </w:rPr>
                    <w:t>项目未建设危险废物暂存间和管理台账，现有工程车辆不在厂内进行维护检修，现有工程不产生危险废物。</w:t>
                  </w:r>
                </w:p>
              </w:tc>
            </w:tr>
            <w:tr w14:paraId="4857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87" w:type="pct"/>
                  <w:noWrap w:val="0"/>
                  <w:vAlign w:val="center"/>
                </w:tcPr>
                <w:p w14:paraId="3818928E">
                  <w:pPr>
                    <w:jc w:val="center"/>
                    <w:rPr>
                      <w:rFonts w:hint="eastAsia" w:eastAsia="宋体"/>
                      <w:color w:val="auto"/>
                      <w:szCs w:val="21"/>
                      <w:lang w:val="en-US" w:eastAsia="zh-CN"/>
                    </w:rPr>
                  </w:pPr>
                  <w:r>
                    <w:rPr>
                      <w:rFonts w:hint="eastAsia"/>
                      <w:color w:val="auto"/>
                      <w:szCs w:val="21"/>
                      <w:lang w:val="en-US" w:eastAsia="zh-CN"/>
                    </w:rPr>
                    <w:t>3</w:t>
                  </w:r>
                </w:p>
              </w:tc>
              <w:tc>
                <w:tcPr>
                  <w:tcW w:w="1704" w:type="pct"/>
                  <w:noWrap w:val="0"/>
                  <w:vAlign w:val="center"/>
                </w:tcPr>
                <w:p w14:paraId="1B4359A5">
                  <w:pPr>
                    <w:ind w:firstLine="420" w:firstLineChars="200"/>
                    <w:rPr>
                      <w:rFonts w:hint="default" w:eastAsia="宋体"/>
                      <w:color w:val="auto"/>
                      <w:szCs w:val="21"/>
                      <w:lang w:val="en-US" w:eastAsia="zh-CN"/>
                    </w:rPr>
                  </w:pPr>
                  <w:r>
                    <w:rPr>
                      <w:rFonts w:hint="eastAsia"/>
                      <w:color w:val="auto"/>
                      <w:szCs w:val="21"/>
                      <w:lang w:val="en-US" w:eastAsia="zh-CN"/>
                    </w:rPr>
                    <w:t>落实环境风险管控措施，提高突发环境事件应对能力。</w:t>
                  </w:r>
                </w:p>
              </w:tc>
              <w:tc>
                <w:tcPr>
                  <w:tcW w:w="2807" w:type="pct"/>
                  <w:noWrap w:val="0"/>
                  <w:vAlign w:val="center"/>
                </w:tcPr>
                <w:p w14:paraId="110CF6F5">
                  <w:pPr>
                    <w:ind w:firstLine="420" w:firstLineChars="200"/>
                    <w:rPr>
                      <w:rFonts w:hint="default" w:eastAsia="宋体"/>
                      <w:color w:val="auto"/>
                      <w:szCs w:val="21"/>
                      <w:u w:val="none"/>
                      <w:lang w:val="en-US" w:eastAsia="zh-CN"/>
                    </w:rPr>
                  </w:pPr>
                  <w:r>
                    <w:rPr>
                      <w:rFonts w:hint="eastAsia"/>
                      <w:color w:val="auto"/>
                      <w:szCs w:val="21"/>
                      <w:u w:val="none"/>
                      <w:lang w:val="en-US" w:eastAsia="zh-CN"/>
                    </w:rPr>
                    <w:t>已落实环境风险管控措施。</w:t>
                  </w:r>
                </w:p>
              </w:tc>
            </w:tr>
            <w:tr w14:paraId="1639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87" w:type="pct"/>
                  <w:noWrap w:val="0"/>
                  <w:vAlign w:val="center"/>
                </w:tcPr>
                <w:p w14:paraId="34C85E77">
                  <w:pPr>
                    <w:jc w:val="center"/>
                    <w:rPr>
                      <w:rFonts w:hint="default"/>
                      <w:color w:val="auto"/>
                      <w:szCs w:val="21"/>
                      <w:lang w:val="en-US" w:eastAsia="zh-CN"/>
                    </w:rPr>
                  </w:pPr>
                  <w:r>
                    <w:rPr>
                      <w:rFonts w:hint="eastAsia"/>
                      <w:color w:val="auto"/>
                      <w:szCs w:val="21"/>
                      <w:lang w:val="en-US" w:eastAsia="zh-CN"/>
                    </w:rPr>
                    <w:t>4</w:t>
                  </w:r>
                </w:p>
              </w:tc>
              <w:tc>
                <w:tcPr>
                  <w:tcW w:w="1704" w:type="pct"/>
                  <w:noWrap w:val="0"/>
                  <w:vAlign w:val="center"/>
                </w:tcPr>
                <w:p w14:paraId="2CAE95EF">
                  <w:pPr>
                    <w:ind w:firstLine="420" w:firstLineChars="200"/>
                    <w:rPr>
                      <w:rFonts w:hint="default"/>
                      <w:color w:val="auto"/>
                      <w:szCs w:val="21"/>
                      <w:lang w:val="en-US" w:eastAsia="zh-CN"/>
                    </w:rPr>
                  </w:pPr>
                  <w:r>
                    <w:rPr>
                      <w:rFonts w:hint="eastAsia"/>
                      <w:color w:val="auto"/>
                      <w:szCs w:val="21"/>
                      <w:lang w:val="en-US" w:eastAsia="zh-CN"/>
                    </w:rPr>
                    <w:t>严格落实环境保护主体责任，落实对租赁本项目部分场地开展其他项目业务的环境保护监管责任。</w:t>
                  </w:r>
                </w:p>
              </w:tc>
              <w:tc>
                <w:tcPr>
                  <w:tcW w:w="2807" w:type="pct"/>
                  <w:noWrap w:val="0"/>
                  <w:vAlign w:val="center"/>
                </w:tcPr>
                <w:p w14:paraId="32EF2A9C">
                  <w:pPr>
                    <w:ind w:firstLine="420" w:firstLineChars="200"/>
                    <w:rPr>
                      <w:rFonts w:hint="default" w:eastAsia="宋体"/>
                      <w:color w:val="auto"/>
                      <w:szCs w:val="21"/>
                      <w:u w:val="none"/>
                      <w:lang w:val="en-US" w:eastAsia="zh-CN"/>
                    </w:rPr>
                  </w:pPr>
                  <w:r>
                    <w:rPr>
                      <w:rFonts w:hint="eastAsia"/>
                      <w:color w:val="auto"/>
                      <w:szCs w:val="21"/>
                      <w:u w:val="none"/>
                      <w:lang w:val="en-US" w:eastAsia="zh-CN"/>
                    </w:rPr>
                    <w:t>已落实，建设单位已落实对</w:t>
                  </w:r>
                  <w:r>
                    <w:rPr>
                      <w:rFonts w:hint="eastAsia"/>
                      <w:color w:val="auto"/>
                      <w:szCs w:val="21"/>
                      <w:lang w:val="en-US" w:eastAsia="zh-CN"/>
                    </w:rPr>
                    <w:t>租赁本项目部分场地开展其他项目业务的环境保护监管责任。</w:t>
                  </w:r>
                </w:p>
              </w:tc>
            </w:tr>
          </w:tbl>
          <w:p w14:paraId="48361DF3">
            <w:pPr>
              <w:pStyle w:val="6"/>
              <w:spacing w:line="500" w:lineRule="exact"/>
              <w:ind w:firstLine="48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⑵现有工程排污许可证申领情况</w:t>
            </w:r>
          </w:p>
          <w:p w14:paraId="4EF9F224">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现有工程项目未办理排污许可证。</w:t>
            </w:r>
          </w:p>
          <w:p w14:paraId="468C8190">
            <w:pPr>
              <w:pStyle w:val="6"/>
              <w:spacing w:line="500" w:lineRule="exact"/>
              <w:ind w:left="0" w:leftChars="0" w:firstLine="0" w:firstLineChars="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3</w:t>
            </w:r>
            <w:r>
              <w:rPr>
                <w:rFonts w:hint="default" w:ascii="Times New Roman" w:hAnsi="Times New Roman" w:cs="Times New Roman"/>
                <w:b/>
                <w:bCs/>
                <w:color w:val="auto"/>
                <w:kern w:val="0"/>
                <w:sz w:val="24"/>
              </w:rPr>
              <w:t>、现有工程</w:t>
            </w:r>
            <w:r>
              <w:rPr>
                <w:rFonts w:hint="default" w:ascii="Times New Roman" w:hAnsi="Times New Roman" w:cs="Times New Roman"/>
                <w:b/>
                <w:bCs/>
                <w:color w:val="auto"/>
                <w:kern w:val="0"/>
                <w:sz w:val="24"/>
                <w:lang w:val="en-US" w:eastAsia="zh-CN"/>
              </w:rPr>
              <w:t>污染物排放及防范措施</w:t>
            </w:r>
            <w:r>
              <w:rPr>
                <w:rFonts w:hint="default" w:ascii="Times New Roman" w:hAnsi="Times New Roman" w:cs="Times New Roman"/>
                <w:b/>
                <w:bCs/>
                <w:color w:val="auto"/>
                <w:kern w:val="0"/>
                <w:sz w:val="24"/>
              </w:rPr>
              <w:t>情况</w:t>
            </w:r>
          </w:p>
          <w:p w14:paraId="5B7B4E85">
            <w:pPr>
              <w:pStyle w:val="6"/>
              <w:spacing w:line="500" w:lineRule="exact"/>
              <w:ind w:left="0" w:leftChars="0" w:firstLine="0" w:firstLineChars="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 xml:space="preserve">3.1 </w:t>
            </w:r>
            <w:r>
              <w:rPr>
                <w:rFonts w:hint="default" w:ascii="Times New Roman" w:hAnsi="Times New Roman" w:cs="Times New Roman"/>
                <w:b/>
                <w:bCs/>
                <w:color w:val="auto"/>
                <w:kern w:val="0"/>
                <w:sz w:val="24"/>
              </w:rPr>
              <w:t>现有工程废气产生及排放情况及防治措施</w:t>
            </w:r>
          </w:p>
          <w:p w14:paraId="55D2A7C5">
            <w:pPr>
              <w:pStyle w:val="6"/>
              <w:spacing w:line="500" w:lineRule="exact"/>
              <w:ind w:firstLine="480"/>
              <w:rPr>
                <w:rFonts w:hint="default" w:ascii="Times New Roman" w:hAnsi="Times New Roman" w:cs="Times New Roman"/>
                <w:color w:val="auto"/>
                <w:kern w:val="0"/>
                <w:sz w:val="24"/>
              </w:rPr>
            </w:pPr>
            <w:r>
              <w:rPr>
                <w:rFonts w:hint="default" w:ascii="Times New Roman" w:hAnsi="Times New Roman" w:cs="Times New Roman"/>
                <w:color w:val="auto"/>
                <w:kern w:val="0"/>
                <w:sz w:val="24"/>
              </w:rPr>
              <w:t>现有工程废气</w:t>
            </w:r>
            <w:r>
              <w:rPr>
                <w:rFonts w:hint="default" w:ascii="Times New Roman" w:hAnsi="Times New Roman" w:cs="Times New Roman"/>
                <w:color w:val="auto"/>
                <w:kern w:val="0"/>
                <w:sz w:val="24"/>
                <w:lang w:val="en-US" w:eastAsia="zh-CN"/>
              </w:rPr>
              <w:t>排放情况及防治措施</w:t>
            </w:r>
            <w:r>
              <w:rPr>
                <w:rFonts w:hint="default" w:ascii="Times New Roman" w:hAnsi="Times New Roman" w:cs="Times New Roman"/>
                <w:color w:val="auto"/>
                <w:kern w:val="0"/>
                <w:sz w:val="24"/>
              </w:rPr>
              <w:t>详见下表。</w:t>
            </w:r>
          </w:p>
          <w:p w14:paraId="1DF07B15">
            <w:pPr>
              <w:pStyle w:val="6"/>
              <w:spacing w:line="500" w:lineRule="exact"/>
              <w:ind w:firstLine="482"/>
              <w:jc w:val="center"/>
              <w:rPr>
                <w:rFonts w:hint="default" w:ascii="Times New Roman" w:hAnsi="Times New Roman" w:eastAsia="宋体" w:cs="Times New Roman"/>
                <w:b/>
                <w:bCs/>
                <w:color w:val="auto"/>
                <w:kern w:val="0"/>
                <w:sz w:val="24"/>
                <w:u w:val="none"/>
                <w:lang w:val="en-US" w:eastAsia="zh-CN"/>
              </w:rPr>
            </w:pPr>
            <w:r>
              <w:rPr>
                <w:rFonts w:hint="default" w:ascii="Times New Roman" w:hAnsi="Times New Roman" w:eastAsia="宋体" w:cs="Times New Roman"/>
                <w:b/>
                <w:bCs/>
                <w:color w:val="auto"/>
                <w:kern w:val="0"/>
                <w:sz w:val="24"/>
                <w:u w:val="none"/>
                <w:lang w:val="en-GB" w:eastAsia="zh-CN"/>
              </w:rPr>
              <w:t>表</w:t>
            </w:r>
            <w:r>
              <w:rPr>
                <w:rFonts w:hint="default" w:ascii="Times New Roman" w:hAnsi="Times New Roman" w:eastAsia="宋体" w:cs="Times New Roman"/>
                <w:b/>
                <w:bCs/>
                <w:color w:val="auto"/>
                <w:kern w:val="0"/>
                <w:sz w:val="24"/>
                <w:u w:val="none"/>
                <w:lang w:val="en-US" w:eastAsia="zh-CN"/>
              </w:rPr>
              <w:t>2-1</w:t>
            </w:r>
            <w:r>
              <w:rPr>
                <w:rFonts w:hint="eastAsia" w:cs="Times New Roman"/>
                <w:b/>
                <w:bCs/>
                <w:color w:val="auto"/>
                <w:kern w:val="0"/>
                <w:sz w:val="24"/>
                <w:u w:val="none"/>
                <w:lang w:val="en-US" w:eastAsia="zh-CN"/>
              </w:rPr>
              <w:t>2</w:t>
            </w:r>
            <w:r>
              <w:rPr>
                <w:rFonts w:hint="default" w:ascii="Times New Roman" w:hAnsi="Times New Roman" w:eastAsia="宋体" w:cs="Times New Roman"/>
                <w:b/>
                <w:bCs/>
                <w:color w:val="auto"/>
                <w:kern w:val="0"/>
                <w:sz w:val="24"/>
                <w:u w:val="none"/>
                <w:lang w:val="en-US" w:eastAsia="zh-CN"/>
              </w:rPr>
              <w:t xml:space="preserve">  </w:t>
            </w:r>
            <w:r>
              <w:rPr>
                <w:rFonts w:hint="default" w:ascii="Times New Roman" w:hAnsi="Times New Roman" w:eastAsia="宋体" w:cs="Times New Roman"/>
                <w:b/>
                <w:bCs/>
                <w:color w:val="auto"/>
                <w:kern w:val="0"/>
                <w:sz w:val="24"/>
                <w:u w:val="none"/>
                <w:lang w:val="en-GB" w:eastAsia="zh-CN"/>
              </w:rPr>
              <w:t>现有工程废气</w:t>
            </w:r>
            <w:r>
              <w:rPr>
                <w:rFonts w:hint="default" w:ascii="Times New Roman" w:hAnsi="Times New Roman" w:eastAsia="宋体" w:cs="Times New Roman"/>
                <w:b/>
                <w:bCs/>
                <w:color w:val="auto"/>
                <w:kern w:val="0"/>
                <w:sz w:val="24"/>
                <w:u w:val="none"/>
                <w:lang w:val="en-US" w:eastAsia="zh-CN"/>
              </w:rPr>
              <w:t>排放情况及防治措施</w:t>
            </w:r>
            <w:r>
              <w:rPr>
                <w:rFonts w:hint="default" w:ascii="Times New Roman" w:hAnsi="Times New Roman" w:eastAsia="宋体" w:cs="Times New Roman"/>
                <w:b/>
                <w:bCs/>
                <w:color w:val="auto"/>
                <w:kern w:val="0"/>
                <w:sz w:val="24"/>
                <w:u w:val="none"/>
                <w:lang w:val="en-GB" w:eastAsia="zh-CN"/>
              </w:rPr>
              <w:t>情况表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1274"/>
              <w:gridCol w:w="1156"/>
              <w:gridCol w:w="1410"/>
              <w:gridCol w:w="1952"/>
              <w:gridCol w:w="1365"/>
            </w:tblGrid>
            <w:tr w14:paraId="5824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5" w:type="pct"/>
                  <w:noWrap w:val="0"/>
                  <w:vAlign w:val="center"/>
                </w:tcPr>
                <w:p w14:paraId="6DBC1108">
                  <w:pPr>
                    <w:pStyle w:val="7"/>
                    <w:jc w:val="center"/>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cs="Times New Roman"/>
                      <w:color w:val="auto"/>
                      <w:sz w:val="21"/>
                      <w:szCs w:val="21"/>
                      <w:u w:val="none"/>
                      <w:vertAlign w:val="baseline"/>
                      <w:lang w:eastAsia="zh-CN"/>
                    </w:rPr>
                    <w:t>废气名称</w:t>
                  </w:r>
                </w:p>
              </w:tc>
              <w:tc>
                <w:tcPr>
                  <w:tcW w:w="757" w:type="pct"/>
                  <w:noWrap w:val="0"/>
                  <w:vAlign w:val="center"/>
                </w:tcPr>
                <w:p w14:paraId="7DDE92B8">
                  <w:pPr>
                    <w:pStyle w:val="7"/>
                    <w:jc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污染物</w:t>
                  </w:r>
                </w:p>
              </w:tc>
              <w:tc>
                <w:tcPr>
                  <w:tcW w:w="687" w:type="pct"/>
                  <w:noWrap w:val="0"/>
                  <w:vAlign w:val="center"/>
                </w:tcPr>
                <w:p w14:paraId="66877057">
                  <w:pPr>
                    <w:pStyle w:val="7"/>
                    <w:jc w:val="center"/>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cs="Times New Roman"/>
                      <w:color w:val="auto"/>
                      <w:sz w:val="21"/>
                      <w:szCs w:val="21"/>
                      <w:u w:val="none"/>
                      <w:vertAlign w:val="baseline"/>
                      <w:lang w:eastAsia="zh-CN"/>
                    </w:rPr>
                    <w:t>产污来源</w:t>
                  </w:r>
                </w:p>
              </w:tc>
              <w:tc>
                <w:tcPr>
                  <w:tcW w:w="838" w:type="pct"/>
                  <w:noWrap w:val="0"/>
                  <w:vAlign w:val="center"/>
                </w:tcPr>
                <w:p w14:paraId="77A5F139">
                  <w:pPr>
                    <w:pStyle w:val="7"/>
                    <w:jc w:val="center"/>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cs="Times New Roman"/>
                      <w:color w:val="auto"/>
                      <w:sz w:val="21"/>
                      <w:szCs w:val="21"/>
                      <w:u w:val="none"/>
                      <w:vertAlign w:val="baseline"/>
                      <w:lang w:val="en-US" w:eastAsia="zh-CN"/>
                    </w:rPr>
                    <w:t>排放</w:t>
                  </w:r>
                  <w:r>
                    <w:rPr>
                      <w:rFonts w:hint="default" w:ascii="Times New Roman" w:hAnsi="Times New Roman" w:cs="Times New Roman"/>
                      <w:color w:val="auto"/>
                      <w:sz w:val="21"/>
                      <w:szCs w:val="21"/>
                      <w:u w:val="none"/>
                      <w:vertAlign w:val="baseline"/>
                      <w:lang w:eastAsia="zh-CN"/>
                    </w:rPr>
                    <w:t>量（</w:t>
                  </w:r>
                  <w:r>
                    <w:rPr>
                      <w:rFonts w:hint="default" w:ascii="Times New Roman" w:hAnsi="Times New Roman" w:cs="Times New Roman"/>
                      <w:color w:val="auto"/>
                      <w:sz w:val="21"/>
                      <w:szCs w:val="21"/>
                      <w:u w:val="none"/>
                      <w:vertAlign w:val="baseline"/>
                      <w:lang w:val="en-US" w:eastAsia="zh-CN"/>
                    </w:rPr>
                    <w:t>t/a</w:t>
                  </w:r>
                  <w:r>
                    <w:rPr>
                      <w:rFonts w:hint="default" w:ascii="Times New Roman" w:hAnsi="Times New Roman" w:cs="Times New Roman"/>
                      <w:color w:val="auto"/>
                      <w:sz w:val="21"/>
                      <w:szCs w:val="21"/>
                      <w:u w:val="none"/>
                      <w:vertAlign w:val="baseline"/>
                      <w:lang w:eastAsia="zh-CN"/>
                    </w:rPr>
                    <w:t>）</w:t>
                  </w:r>
                </w:p>
              </w:tc>
              <w:tc>
                <w:tcPr>
                  <w:tcW w:w="1160" w:type="pct"/>
                  <w:noWrap w:val="0"/>
                  <w:vAlign w:val="center"/>
                </w:tcPr>
                <w:p w14:paraId="46B35DA1">
                  <w:pPr>
                    <w:pStyle w:val="7"/>
                    <w:jc w:val="center"/>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cs="Times New Roman"/>
                      <w:color w:val="auto"/>
                      <w:sz w:val="21"/>
                      <w:szCs w:val="21"/>
                      <w:u w:val="none"/>
                      <w:vertAlign w:val="baseline"/>
                      <w:lang w:eastAsia="zh-CN"/>
                    </w:rPr>
                    <w:t>处理措施</w:t>
                  </w:r>
                </w:p>
              </w:tc>
              <w:tc>
                <w:tcPr>
                  <w:tcW w:w="811" w:type="pct"/>
                  <w:noWrap w:val="0"/>
                  <w:vAlign w:val="center"/>
                </w:tcPr>
                <w:p w14:paraId="1CC0D008">
                  <w:pPr>
                    <w:pStyle w:val="7"/>
                    <w:jc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排放方式</w:t>
                  </w:r>
                </w:p>
              </w:tc>
            </w:tr>
            <w:tr w14:paraId="6686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5" w:type="pct"/>
                  <w:noWrap w:val="0"/>
                  <w:vAlign w:val="center"/>
                </w:tcPr>
                <w:p w14:paraId="28CE461E">
                  <w:pPr>
                    <w:pStyle w:val="7"/>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cs="Times New Roman"/>
                      <w:color w:val="auto"/>
                      <w:kern w:val="0"/>
                      <w:sz w:val="21"/>
                      <w:szCs w:val="21"/>
                      <w:u w:val="none"/>
                      <w:lang w:val="en-US" w:eastAsia="zh-CN"/>
                    </w:rPr>
                    <w:t>运输扬尘</w:t>
                  </w:r>
                </w:p>
              </w:tc>
              <w:tc>
                <w:tcPr>
                  <w:tcW w:w="757" w:type="pct"/>
                  <w:noWrap w:val="0"/>
                  <w:vAlign w:val="center"/>
                </w:tcPr>
                <w:p w14:paraId="2EBE242C">
                  <w:pPr>
                    <w:pStyle w:val="7"/>
                    <w:jc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颗粒物</w:t>
                  </w:r>
                </w:p>
              </w:tc>
              <w:tc>
                <w:tcPr>
                  <w:tcW w:w="687" w:type="pct"/>
                  <w:vMerge w:val="restart"/>
                  <w:noWrap w:val="0"/>
                  <w:vAlign w:val="center"/>
                </w:tcPr>
                <w:p w14:paraId="071882D9">
                  <w:pPr>
                    <w:pStyle w:val="7"/>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一般货物运输</w:t>
                  </w:r>
                </w:p>
              </w:tc>
              <w:tc>
                <w:tcPr>
                  <w:tcW w:w="838" w:type="pct"/>
                  <w:noWrap w:val="0"/>
                  <w:vAlign w:val="center"/>
                </w:tcPr>
                <w:p w14:paraId="16870F82">
                  <w:pPr>
                    <w:pStyle w:val="7"/>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0.52</w:t>
                  </w:r>
                </w:p>
              </w:tc>
              <w:tc>
                <w:tcPr>
                  <w:tcW w:w="1160" w:type="pct"/>
                  <w:noWrap w:val="0"/>
                  <w:vAlign w:val="center"/>
                </w:tcPr>
                <w:p w14:paraId="23D6FC9F">
                  <w:pPr>
                    <w:pStyle w:val="7"/>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厂内道路定期清扫</w:t>
                  </w:r>
                </w:p>
              </w:tc>
              <w:tc>
                <w:tcPr>
                  <w:tcW w:w="811" w:type="pct"/>
                  <w:noWrap w:val="0"/>
                  <w:vAlign w:val="center"/>
                </w:tcPr>
                <w:p w14:paraId="63719F77">
                  <w:pPr>
                    <w:pStyle w:val="7"/>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无组织</w:t>
                  </w:r>
                </w:p>
              </w:tc>
            </w:tr>
            <w:tr w14:paraId="42B7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5" w:type="pct"/>
                  <w:vMerge w:val="restart"/>
                  <w:noWrap w:val="0"/>
                  <w:vAlign w:val="center"/>
                </w:tcPr>
                <w:p w14:paraId="5FDDEEE6">
                  <w:pPr>
                    <w:pStyle w:val="7"/>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汽车尾气</w:t>
                  </w:r>
                </w:p>
              </w:tc>
              <w:tc>
                <w:tcPr>
                  <w:tcW w:w="757" w:type="pct"/>
                  <w:noWrap w:val="0"/>
                  <w:vAlign w:val="center"/>
                </w:tcPr>
                <w:p w14:paraId="111CDD73">
                  <w:pPr>
                    <w:pStyle w:val="7"/>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CO</w:t>
                  </w:r>
                </w:p>
              </w:tc>
              <w:tc>
                <w:tcPr>
                  <w:tcW w:w="687" w:type="pct"/>
                  <w:vMerge w:val="continue"/>
                  <w:noWrap w:val="0"/>
                  <w:vAlign w:val="center"/>
                </w:tcPr>
                <w:p w14:paraId="295F888C">
                  <w:pPr>
                    <w:pStyle w:val="7"/>
                    <w:jc w:val="center"/>
                    <w:rPr>
                      <w:rFonts w:hint="default" w:ascii="Times New Roman" w:hAnsi="Times New Roman" w:eastAsia="宋体" w:cs="Times New Roman"/>
                      <w:color w:val="auto"/>
                      <w:kern w:val="0"/>
                      <w:sz w:val="21"/>
                      <w:szCs w:val="21"/>
                      <w:u w:val="none"/>
                      <w:lang w:val="en-US" w:eastAsia="zh-CN"/>
                    </w:rPr>
                  </w:pPr>
                </w:p>
              </w:tc>
              <w:tc>
                <w:tcPr>
                  <w:tcW w:w="838" w:type="pct"/>
                  <w:noWrap w:val="0"/>
                  <w:vAlign w:val="center"/>
                </w:tcPr>
                <w:p w14:paraId="5C669106">
                  <w:pPr>
                    <w:pStyle w:val="7"/>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0.87</w:t>
                  </w:r>
                </w:p>
              </w:tc>
              <w:tc>
                <w:tcPr>
                  <w:tcW w:w="1160" w:type="pct"/>
                  <w:vMerge w:val="restart"/>
                  <w:noWrap w:val="0"/>
                  <w:vAlign w:val="center"/>
                </w:tcPr>
                <w:p w14:paraId="780A3AD0">
                  <w:pPr>
                    <w:pStyle w:val="7"/>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汽车定期维修保养</w:t>
                  </w:r>
                </w:p>
              </w:tc>
              <w:tc>
                <w:tcPr>
                  <w:tcW w:w="811" w:type="pct"/>
                  <w:vMerge w:val="restart"/>
                  <w:noWrap w:val="0"/>
                  <w:vAlign w:val="center"/>
                </w:tcPr>
                <w:p w14:paraId="66CF5DC6">
                  <w:pPr>
                    <w:pStyle w:val="7"/>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kern w:val="0"/>
                      <w:sz w:val="21"/>
                      <w:szCs w:val="21"/>
                      <w:u w:val="none"/>
                      <w:lang w:val="en-US" w:eastAsia="zh-CN"/>
                    </w:rPr>
                    <w:t>无组织</w:t>
                  </w:r>
                </w:p>
              </w:tc>
            </w:tr>
            <w:tr w14:paraId="6000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5" w:type="pct"/>
                  <w:vMerge w:val="continue"/>
                  <w:noWrap w:val="0"/>
                  <w:vAlign w:val="center"/>
                </w:tcPr>
                <w:p w14:paraId="6D00EC39">
                  <w:pPr>
                    <w:pStyle w:val="7"/>
                    <w:jc w:val="center"/>
                    <w:rPr>
                      <w:rFonts w:hint="default" w:ascii="Times New Roman" w:hAnsi="Times New Roman" w:eastAsia="宋体" w:cs="Times New Roman"/>
                      <w:color w:val="auto"/>
                      <w:kern w:val="0"/>
                      <w:sz w:val="21"/>
                      <w:szCs w:val="21"/>
                      <w:u w:val="none"/>
                      <w:lang w:val="en-US" w:eastAsia="zh-CN"/>
                    </w:rPr>
                  </w:pPr>
                </w:p>
              </w:tc>
              <w:tc>
                <w:tcPr>
                  <w:tcW w:w="757" w:type="pct"/>
                  <w:noWrap w:val="0"/>
                  <w:vAlign w:val="center"/>
                </w:tcPr>
                <w:p w14:paraId="4DEB9A97">
                  <w:pPr>
                    <w:pStyle w:val="7"/>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NO</w:t>
                  </w:r>
                  <w:r>
                    <w:rPr>
                      <w:rFonts w:hint="default" w:ascii="Times New Roman" w:hAnsi="Times New Roman" w:eastAsia="宋体" w:cs="Times New Roman"/>
                      <w:color w:val="auto"/>
                      <w:kern w:val="0"/>
                      <w:sz w:val="21"/>
                      <w:szCs w:val="21"/>
                      <w:u w:val="none"/>
                      <w:vertAlign w:val="subscript"/>
                      <w:lang w:val="en-US" w:eastAsia="zh-CN"/>
                    </w:rPr>
                    <w:t>x</w:t>
                  </w:r>
                </w:p>
              </w:tc>
              <w:tc>
                <w:tcPr>
                  <w:tcW w:w="687" w:type="pct"/>
                  <w:vMerge w:val="continue"/>
                  <w:noWrap w:val="0"/>
                  <w:vAlign w:val="center"/>
                </w:tcPr>
                <w:p w14:paraId="1146F452">
                  <w:pPr>
                    <w:pStyle w:val="7"/>
                    <w:jc w:val="center"/>
                    <w:rPr>
                      <w:rFonts w:hint="default" w:ascii="Times New Roman" w:hAnsi="Times New Roman" w:eastAsia="宋体" w:cs="Times New Roman"/>
                      <w:color w:val="auto"/>
                      <w:kern w:val="0"/>
                      <w:sz w:val="21"/>
                      <w:szCs w:val="21"/>
                      <w:u w:val="none"/>
                      <w:lang w:val="en-US" w:eastAsia="zh-CN"/>
                    </w:rPr>
                  </w:pPr>
                </w:p>
              </w:tc>
              <w:tc>
                <w:tcPr>
                  <w:tcW w:w="838" w:type="pct"/>
                  <w:noWrap w:val="0"/>
                  <w:vAlign w:val="center"/>
                </w:tcPr>
                <w:p w14:paraId="52CA2FFC">
                  <w:pPr>
                    <w:pStyle w:val="7"/>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1.16</w:t>
                  </w:r>
                </w:p>
              </w:tc>
              <w:tc>
                <w:tcPr>
                  <w:tcW w:w="1160" w:type="pct"/>
                  <w:vMerge w:val="continue"/>
                  <w:noWrap w:val="0"/>
                  <w:vAlign w:val="center"/>
                </w:tcPr>
                <w:p w14:paraId="74173455">
                  <w:pPr>
                    <w:pStyle w:val="7"/>
                    <w:jc w:val="center"/>
                    <w:rPr>
                      <w:rFonts w:hint="default" w:ascii="Times New Roman" w:hAnsi="Times New Roman" w:eastAsia="宋体" w:cs="Times New Roman"/>
                      <w:color w:val="auto"/>
                      <w:sz w:val="21"/>
                      <w:szCs w:val="21"/>
                      <w:u w:val="none"/>
                      <w:vertAlign w:val="baseline"/>
                      <w:lang w:val="en-US" w:eastAsia="zh-CN"/>
                    </w:rPr>
                  </w:pPr>
                </w:p>
              </w:tc>
              <w:tc>
                <w:tcPr>
                  <w:tcW w:w="811" w:type="pct"/>
                  <w:vMerge w:val="continue"/>
                  <w:noWrap w:val="0"/>
                  <w:vAlign w:val="center"/>
                </w:tcPr>
                <w:p w14:paraId="65C751E7">
                  <w:pPr>
                    <w:pStyle w:val="7"/>
                    <w:jc w:val="center"/>
                    <w:rPr>
                      <w:rFonts w:hint="default" w:ascii="Times New Roman" w:hAnsi="Times New Roman" w:eastAsia="宋体" w:cs="Times New Roman"/>
                      <w:color w:val="auto"/>
                      <w:kern w:val="0"/>
                      <w:sz w:val="21"/>
                      <w:szCs w:val="21"/>
                      <w:u w:val="none"/>
                      <w:lang w:val="en-US" w:eastAsia="zh-CN"/>
                    </w:rPr>
                  </w:pPr>
                </w:p>
              </w:tc>
            </w:tr>
            <w:tr w14:paraId="265A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5" w:type="pct"/>
                  <w:noWrap w:val="0"/>
                  <w:vAlign w:val="center"/>
                </w:tcPr>
                <w:p w14:paraId="3A379419">
                  <w:pPr>
                    <w:pStyle w:val="7"/>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饮食油烟</w:t>
                  </w:r>
                </w:p>
              </w:tc>
              <w:tc>
                <w:tcPr>
                  <w:tcW w:w="757" w:type="pct"/>
                  <w:noWrap w:val="0"/>
                  <w:vAlign w:val="center"/>
                </w:tcPr>
                <w:p w14:paraId="6DEA13E6">
                  <w:pPr>
                    <w:pStyle w:val="7"/>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油烟</w:t>
                  </w:r>
                </w:p>
              </w:tc>
              <w:tc>
                <w:tcPr>
                  <w:tcW w:w="687" w:type="pct"/>
                  <w:noWrap w:val="0"/>
                  <w:vAlign w:val="center"/>
                </w:tcPr>
                <w:p w14:paraId="0D478EC8">
                  <w:pPr>
                    <w:pStyle w:val="7"/>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食堂</w:t>
                  </w:r>
                </w:p>
              </w:tc>
              <w:tc>
                <w:tcPr>
                  <w:tcW w:w="838" w:type="pct"/>
                  <w:noWrap w:val="0"/>
                  <w:vAlign w:val="center"/>
                </w:tcPr>
                <w:p w14:paraId="005B409F">
                  <w:pPr>
                    <w:pStyle w:val="7"/>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0.00648</w:t>
                  </w:r>
                </w:p>
              </w:tc>
              <w:tc>
                <w:tcPr>
                  <w:tcW w:w="1160" w:type="pct"/>
                  <w:noWrap w:val="0"/>
                  <w:vAlign w:val="center"/>
                </w:tcPr>
                <w:p w14:paraId="6C5C0402">
                  <w:pPr>
                    <w:pStyle w:val="7"/>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油烟净化机</w:t>
                  </w:r>
                </w:p>
              </w:tc>
              <w:tc>
                <w:tcPr>
                  <w:tcW w:w="811" w:type="pct"/>
                  <w:noWrap w:val="0"/>
                  <w:vAlign w:val="center"/>
                </w:tcPr>
                <w:p w14:paraId="54AE6E8F">
                  <w:pPr>
                    <w:pStyle w:val="7"/>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有组织</w:t>
                  </w:r>
                </w:p>
              </w:tc>
            </w:tr>
            <w:tr w14:paraId="0B5A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5" w:type="pct"/>
                  <w:noWrap w:val="0"/>
                  <w:vAlign w:val="center"/>
                </w:tcPr>
                <w:p w14:paraId="4B236744">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矿石加工废气</w:t>
                  </w:r>
                </w:p>
              </w:tc>
              <w:tc>
                <w:tcPr>
                  <w:tcW w:w="757" w:type="pct"/>
                  <w:noWrap w:val="0"/>
                  <w:vAlign w:val="center"/>
                </w:tcPr>
                <w:p w14:paraId="5391888D">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颗粒物</w:t>
                  </w:r>
                </w:p>
              </w:tc>
              <w:tc>
                <w:tcPr>
                  <w:tcW w:w="687" w:type="pct"/>
                  <w:noWrap w:val="0"/>
                  <w:vAlign w:val="center"/>
                </w:tcPr>
                <w:p w14:paraId="492DD4EE">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矿石加工</w:t>
                  </w:r>
                </w:p>
              </w:tc>
              <w:tc>
                <w:tcPr>
                  <w:tcW w:w="838" w:type="pct"/>
                  <w:noWrap w:val="0"/>
                  <w:vAlign w:val="center"/>
                </w:tcPr>
                <w:p w14:paraId="64B44F23">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11.3</w:t>
                  </w:r>
                </w:p>
              </w:tc>
              <w:tc>
                <w:tcPr>
                  <w:tcW w:w="1160" w:type="pct"/>
                  <w:noWrap w:val="0"/>
                  <w:vAlign w:val="center"/>
                </w:tcPr>
                <w:p w14:paraId="3A6858A5">
                  <w:pPr>
                    <w:pStyle w:val="7"/>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脉冲布袋除尘器</w:t>
                  </w:r>
                </w:p>
              </w:tc>
              <w:tc>
                <w:tcPr>
                  <w:tcW w:w="811" w:type="pct"/>
                  <w:noWrap w:val="0"/>
                  <w:vAlign w:val="center"/>
                </w:tcPr>
                <w:p w14:paraId="0C7F8F80">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无组织</w:t>
                  </w:r>
                </w:p>
              </w:tc>
            </w:tr>
          </w:tbl>
          <w:p w14:paraId="0A1BEB6D">
            <w:pPr>
              <w:tabs>
                <w:tab w:val="left" w:pos="3225"/>
              </w:tabs>
              <w:spacing w:line="500" w:lineRule="exact"/>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cs="Times New Roman"/>
                <w:color w:val="auto"/>
                <w:sz w:val="24"/>
                <w:u w:val="none"/>
              </w:rPr>
              <w:t>⑴</w:t>
            </w:r>
            <w:r>
              <w:rPr>
                <w:rFonts w:hint="default" w:ascii="Times New Roman" w:hAnsi="Times New Roman" w:cs="Times New Roman"/>
                <w:color w:val="auto"/>
                <w:sz w:val="24"/>
                <w:u w:val="none"/>
                <w:lang w:val="en-US" w:eastAsia="zh-CN"/>
              </w:rPr>
              <w:t>汽车尾气</w:t>
            </w:r>
          </w:p>
          <w:p w14:paraId="11A43775">
            <w:pPr>
              <w:tabs>
                <w:tab w:val="left" w:pos="3225"/>
              </w:tabs>
              <w:spacing w:line="500" w:lineRule="exact"/>
              <w:ind w:firstLine="480" w:firstLineChars="200"/>
              <w:rPr>
                <w:rFonts w:hint="default" w:ascii="Times New Roman" w:hAnsi="Times New Roman" w:cs="Times New Roman"/>
                <w:color w:val="FF0000"/>
                <w:sz w:val="24"/>
                <w:u w:val="none"/>
                <w:lang w:val="en-US" w:eastAsia="zh-CN"/>
              </w:rPr>
            </w:pPr>
            <w:r>
              <w:rPr>
                <w:rFonts w:hint="default" w:ascii="Times New Roman" w:hAnsi="Times New Roman" w:cs="Times New Roman"/>
                <w:color w:val="auto"/>
                <w:sz w:val="24"/>
                <w:u w:val="none"/>
                <w:lang w:val="en-US" w:eastAsia="zh-CN"/>
              </w:rPr>
              <w:t>现有工程厂内运输车辆和</w:t>
            </w:r>
            <w:r>
              <w:rPr>
                <w:rFonts w:hint="default" w:ascii="Times New Roman" w:hAnsi="Times New Roman" w:cs="Times New Roman"/>
                <w:color w:val="auto"/>
                <w:sz w:val="24"/>
                <w:u w:val="none"/>
              </w:rPr>
              <w:t>来往车辆会产生汽车尾气，进出车辆以柴油为燃料，</w:t>
            </w:r>
            <w:r>
              <w:rPr>
                <w:rFonts w:hint="default" w:ascii="Times New Roman" w:hAnsi="Times New Roman" w:cs="Times New Roman"/>
                <w:color w:val="auto"/>
                <w:sz w:val="24"/>
                <w:u w:val="none"/>
                <w:lang w:val="en-US" w:eastAsia="zh-CN"/>
              </w:rPr>
              <w:t>车辆</w:t>
            </w:r>
            <w:r>
              <w:rPr>
                <w:rFonts w:hint="default" w:ascii="Times New Roman" w:hAnsi="Times New Roman" w:cs="Times New Roman"/>
                <w:color w:val="auto"/>
                <w:sz w:val="24"/>
                <w:u w:val="none"/>
              </w:rPr>
              <w:t>启、停会排放汽车尾气，主要污染物为CO、NO</w:t>
            </w:r>
            <w:r>
              <w:rPr>
                <w:rFonts w:hint="default" w:ascii="Times New Roman" w:hAnsi="Times New Roman" w:cs="Times New Roman"/>
                <w:color w:val="auto"/>
                <w:sz w:val="24"/>
                <w:u w:val="none"/>
                <w:vertAlign w:val="subscript"/>
              </w:rPr>
              <w:t>2</w:t>
            </w:r>
            <w:r>
              <w:rPr>
                <w:rFonts w:hint="default" w:ascii="Times New Roman" w:hAnsi="Times New Roman" w:cs="Times New Roman"/>
                <w:color w:val="auto"/>
                <w:sz w:val="24"/>
                <w:u w:val="none"/>
              </w:rPr>
              <w:t>、HC等污染物质，属于无组织排放</w:t>
            </w:r>
            <w:r>
              <w:rPr>
                <w:rFonts w:hint="default" w:ascii="Times New Roman" w:hAnsi="Times New Roman" w:cs="Times New Roman"/>
                <w:color w:val="auto"/>
                <w:sz w:val="24"/>
                <w:u w:val="none"/>
                <w:lang w:eastAsia="zh-CN"/>
              </w:rPr>
              <w:t>。</w:t>
            </w:r>
            <w:r>
              <w:rPr>
                <w:rFonts w:hint="default" w:ascii="Times New Roman" w:hAnsi="Times New Roman" w:cs="Times New Roman"/>
                <w:color w:val="auto"/>
                <w:sz w:val="24"/>
                <w:u w:val="none"/>
                <w:lang w:val="en-US" w:eastAsia="zh-CN"/>
              </w:rPr>
              <w:t>项目年拆装15万</w:t>
            </w:r>
            <w:r>
              <w:rPr>
                <w:rFonts w:hint="eastAsia" w:cs="Times New Roman"/>
                <w:color w:val="auto"/>
                <w:sz w:val="24"/>
                <w:u w:val="none"/>
                <w:lang w:val="en-US" w:eastAsia="zh-CN"/>
              </w:rPr>
              <w:t>标</w:t>
            </w:r>
            <w:r>
              <w:rPr>
                <w:rFonts w:hint="default" w:ascii="Times New Roman" w:hAnsi="Times New Roman" w:cs="Times New Roman"/>
                <w:color w:val="auto"/>
                <w:sz w:val="24"/>
                <w:u w:val="none"/>
                <w:lang w:val="en-US" w:eastAsia="zh-CN"/>
              </w:rPr>
              <w:t>箱一般货物，约为300万吨一般货物。厂内仓库货物装卸的叉车载重约为7t，则项目仓库运输货物叉车流量约为428571辆/a</w:t>
            </w:r>
            <w:r>
              <w:rPr>
                <w:rFonts w:hint="default" w:ascii="Times New Roman" w:hAnsi="Times New Roman" w:eastAsia="宋体" w:cs="Times New Roman"/>
                <w:color w:val="auto"/>
                <w:sz w:val="24"/>
                <w:u w:val="none"/>
                <w:lang w:val="en-US" w:eastAsia="zh-CN"/>
              </w:rPr>
              <w:t>，叉车在厂内装卸货物运输平均距离约为20m。集装箱</w:t>
            </w:r>
            <w:r>
              <w:rPr>
                <w:rFonts w:hint="default" w:ascii="Times New Roman" w:hAnsi="Times New Roman" w:cs="Times New Roman"/>
                <w:color w:val="auto"/>
                <w:sz w:val="24"/>
                <w:u w:val="none"/>
                <w:lang w:val="en-US" w:eastAsia="zh-CN"/>
              </w:rPr>
              <w:t>运输车辆按一辆车次运输一个集装箱，则车流量为150000辆/a，在厂区运输平均距离约为100m。</w:t>
            </w:r>
          </w:p>
          <w:p w14:paraId="525D91C1">
            <w:pPr>
              <w:tabs>
                <w:tab w:val="left" w:pos="3225"/>
              </w:tabs>
              <w:spacing w:line="500" w:lineRule="exact"/>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大货车运行过程中的污染排放因子见表2-1</w:t>
            </w:r>
            <w:r>
              <w:rPr>
                <w:rFonts w:hint="eastAsia" w:cs="Times New Roman"/>
                <w:color w:val="auto"/>
                <w:sz w:val="24"/>
                <w:u w:val="none"/>
                <w:lang w:val="en-US" w:eastAsia="zh-CN"/>
              </w:rPr>
              <w:t>3</w:t>
            </w:r>
            <w:r>
              <w:rPr>
                <w:rFonts w:hint="default" w:ascii="Times New Roman" w:hAnsi="Times New Roman" w:eastAsia="宋体" w:cs="Times New Roman"/>
                <w:color w:val="auto"/>
                <w:sz w:val="24"/>
                <w:u w:val="none"/>
                <w:lang w:val="en-US" w:eastAsia="zh-CN"/>
              </w:rPr>
              <w:t>。</w:t>
            </w:r>
          </w:p>
          <w:p w14:paraId="10B01792">
            <w:pPr>
              <w:adjustRightInd w:val="0"/>
              <w:snapToGrid w:val="0"/>
              <w:spacing w:line="500" w:lineRule="exact"/>
              <w:jc w:val="center"/>
              <w:rPr>
                <w:rFonts w:hint="default" w:ascii="Times New Roman" w:hAnsi="Times New Roman" w:eastAsia="宋体" w:cs="Times New Roman"/>
                <w:b/>
                <w:bCs/>
                <w:color w:val="auto"/>
                <w:spacing w:val="-10"/>
                <w:sz w:val="24"/>
                <w:u w:val="none"/>
              </w:rPr>
            </w:pPr>
            <w:r>
              <w:rPr>
                <w:rFonts w:hint="default" w:ascii="Times New Roman" w:hAnsi="Times New Roman" w:eastAsia="宋体" w:cs="Times New Roman"/>
                <w:b/>
                <w:bCs/>
                <w:color w:val="auto"/>
                <w:spacing w:val="-10"/>
                <w:sz w:val="24"/>
                <w:u w:val="none"/>
                <w:lang w:val="en-US" w:eastAsia="zh-CN"/>
              </w:rPr>
              <w:t>表2-1</w:t>
            </w:r>
            <w:r>
              <w:rPr>
                <w:rFonts w:hint="eastAsia" w:cs="Times New Roman"/>
                <w:b/>
                <w:bCs/>
                <w:color w:val="auto"/>
                <w:spacing w:val="-10"/>
                <w:sz w:val="24"/>
                <w:u w:val="none"/>
                <w:lang w:val="en-US" w:eastAsia="zh-CN"/>
              </w:rPr>
              <w:t>3</w:t>
            </w:r>
            <w:r>
              <w:rPr>
                <w:rFonts w:hint="default" w:ascii="Times New Roman" w:hAnsi="Times New Roman" w:eastAsia="宋体" w:cs="Times New Roman"/>
                <w:b/>
                <w:bCs/>
                <w:color w:val="auto"/>
                <w:spacing w:val="-10"/>
                <w:sz w:val="24"/>
                <w:u w:val="none"/>
              </w:rPr>
              <w:t>动车尾气污染物排放限值    单位：mg/m·辆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2"/>
              <w:gridCol w:w="2104"/>
              <w:gridCol w:w="2104"/>
              <w:gridCol w:w="2103"/>
            </w:tblGrid>
            <w:tr w14:paraId="61FC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noWrap w:val="0"/>
                  <w:vAlign w:val="center"/>
                </w:tcPr>
                <w:p w14:paraId="585CD298">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车型</w:t>
                  </w:r>
                </w:p>
              </w:tc>
              <w:tc>
                <w:tcPr>
                  <w:tcW w:w="2115" w:type="dxa"/>
                  <w:noWrap w:val="0"/>
                  <w:vAlign w:val="center"/>
                </w:tcPr>
                <w:p w14:paraId="5E856E46">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CO</w:t>
                  </w:r>
                </w:p>
              </w:tc>
              <w:tc>
                <w:tcPr>
                  <w:tcW w:w="2115" w:type="dxa"/>
                  <w:noWrap w:val="0"/>
                  <w:vAlign w:val="center"/>
                </w:tcPr>
                <w:p w14:paraId="7C0A7A80">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NO</w:t>
                  </w:r>
                  <w:r>
                    <w:rPr>
                      <w:rFonts w:hint="default" w:ascii="Times New Roman" w:hAnsi="Times New Roman" w:eastAsia="宋体" w:cs="Times New Roman"/>
                      <w:color w:val="auto"/>
                      <w:kern w:val="0"/>
                      <w:sz w:val="21"/>
                      <w:szCs w:val="21"/>
                      <w:u w:val="none"/>
                      <w:vertAlign w:val="subscript"/>
                    </w:rPr>
                    <w:t>x</w:t>
                  </w:r>
                </w:p>
              </w:tc>
              <w:tc>
                <w:tcPr>
                  <w:tcW w:w="2115" w:type="dxa"/>
                  <w:noWrap w:val="0"/>
                  <w:vAlign w:val="center"/>
                </w:tcPr>
                <w:p w14:paraId="60ACDEE0">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备注</w:t>
                  </w:r>
                </w:p>
              </w:tc>
            </w:tr>
            <w:tr w14:paraId="7B5E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noWrap w:val="0"/>
                  <w:vAlign w:val="center"/>
                </w:tcPr>
                <w:p w14:paraId="7F2F264C">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小型车</w:t>
                  </w:r>
                </w:p>
              </w:tc>
              <w:tc>
                <w:tcPr>
                  <w:tcW w:w="2115" w:type="dxa"/>
                  <w:noWrap w:val="0"/>
                  <w:vAlign w:val="center"/>
                </w:tcPr>
                <w:p w14:paraId="2FBB88A4">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1.0</w:t>
                  </w:r>
                </w:p>
              </w:tc>
              <w:tc>
                <w:tcPr>
                  <w:tcW w:w="2115" w:type="dxa"/>
                  <w:noWrap w:val="0"/>
                  <w:vAlign w:val="center"/>
                </w:tcPr>
                <w:p w14:paraId="7038D8DA">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0.06</w:t>
                  </w:r>
                </w:p>
              </w:tc>
              <w:tc>
                <w:tcPr>
                  <w:tcW w:w="2115" w:type="dxa"/>
                  <w:vMerge w:val="restart"/>
                  <w:noWrap w:val="0"/>
                  <w:vAlign w:val="center"/>
                </w:tcPr>
                <w:p w14:paraId="4D4AF9D0">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Ⅴ阶段</w:t>
                  </w:r>
                </w:p>
              </w:tc>
            </w:tr>
            <w:tr w14:paraId="376F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noWrap w:val="0"/>
                  <w:vAlign w:val="center"/>
                </w:tcPr>
                <w:p w14:paraId="571B4A18">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中型车</w:t>
                  </w:r>
                </w:p>
              </w:tc>
              <w:tc>
                <w:tcPr>
                  <w:tcW w:w="2115" w:type="dxa"/>
                  <w:noWrap w:val="0"/>
                  <w:vAlign w:val="center"/>
                </w:tcPr>
                <w:p w14:paraId="014E1CBE">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1.81</w:t>
                  </w:r>
                </w:p>
              </w:tc>
              <w:tc>
                <w:tcPr>
                  <w:tcW w:w="2115" w:type="dxa"/>
                  <w:noWrap w:val="0"/>
                  <w:vAlign w:val="center"/>
                </w:tcPr>
                <w:p w14:paraId="2EF1336A">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0.075</w:t>
                  </w:r>
                </w:p>
              </w:tc>
              <w:tc>
                <w:tcPr>
                  <w:tcW w:w="2115" w:type="dxa"/>
                  <w:vMerge w:val="continue"/>
                  <w:noWrap w:val="0"/>
                  <w:vAlign w:val="center"/>
                </w:tcPr>
                <w:p w14:paraId="0F2BCA01">
                  <w:pPr>
                    <w:widowControl/>
                    <w:jc w:val="left"/>
                    <w:rPr>
                      <w:rFonts w:hint="default" w:ascii="Times New Roman" w:hAnsi="Times New Roman" w:cs="Times New Roman"/>
                      <w:color w:val="auto"/>
                      <w:sz w:val="21"/>
                      <w:szCs w:val="21"/>
                      <w:u w:val="none"/>
                    </w:rPr>
                  </w:pPr>
                </w:p>
              </w:tc>
            </w:tr>
            <w:tr w14:paraId="1F2B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noWrap w:val="0"/>
                  <w:vAlign w:val="center"/>
                </w:tcPr>
                <w:p w14:paraId="1E05E11F">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大型车</w:t>
                  </w:r>
                </w:p>
              </w:tc>
              <w:tc>
                <w:tcPr>
                  <w:tcW w:w="2115" w:type="dxa"/>
                  <w:noWrap w:val="0"/>
                  <w:vAlign w:val="center"/>
                </w:tcPr>
                <w:p w14:paraId="737D3CE0">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1.5</w:t>
                  </w:r>
                </w:p>
              </w:tc>
              <w:tc>
                <w:tcPr>
                  <w:tcW w:w="2115" w:type="dxa"/>
                  <w:noWrap w:val="0"/>
                  <w:vAlign w:val="center"/>
                </w:tcPr>
                <w:p w14:paraId="4712F2B8">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2.0</w:t>
                  </w:r>
                </w:p>
              </w:tc>
              <w:tc>
                <w:tcPr>
                  <w:tcW w:w="2115" w:type="dxa"/>
                  <w:vMerge w:val="continue"/>
                  <w:noWrap w:val="0"/>
                  <w:vAlign w:val="center"/>
                </w:tcPr>
                <w:p w14:paraId="2B2BA7BD">
                  <w:pPr>
                    <w:widowControl/>
                    <w:jc w:val="left"/>
                    <w:rPr>
                      <w:rFonts w:hint="default" w:ascii="Times New Roman" w:hAnsi="Times New Roman" w:cs="Times New Roman"/>
                      <w:color w:val="auto"/>
                      <w:sz w:val="21"/>
                      <w:szCs w:val="21"/>
                      <w:u w:val="none"/>
                    </w:rPr>
                  </w:pPr>
                </w:p>
              </w:tc>
            </w:tr>
          </w:tbl>
          <w:p w14:paraId="1507D885">
            <w:pPr>
              <w:tabs>
                <w:tab w:val="left" w:pos="3225"/>
              </w:tabs>
              <w:spacing w:line="500" w:lineRule="exact"/>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车辆运行过程中废气排放量见表2-1</w:t>
            </w:r>
            <w:r>
              <w:rPr>
                <w:rFonts w:hint="eastAsia" w:cs="Times New Roman"/>
                <w:color w:val="auto"/>
                <w:sz w:val="24"/>
                <w:u w:val="none"/>
                <w:lang w:val="en-US" w:eastAsia="zh-CN"/>
              </w:rPr>
              <w:t>4</w:t>
            </w:r>
            <w:r>
              <w:rPr>
                <w:rFonts w:hint="default" w:ascii="Times New Roman" w:hAnsi="Times New Roman" w:eastAsia="宋体" w:cs="Times New Roman"/>
                <w:color w:val="auto"/>
                <w:sz w:val="24"/>
                <w:u w:val="none"/>
                <w:lang w:val="en-US" w:eastAsia="zh-CN"/>
              </w:rPr>
              <w:t>。</w:t>
            </w:r>
          </w:p>
          <w:p w14:paraId="2B96C8A3">
            <w:pPr>
              <w:adjustRightInd w:val="0"/>
              <w:snapToGrid w:val="0"/>
              <w:spacing w:line="500" w:lineRule="exact"/>
              <w:jc w:val="center"/>
              <w:rPr>
                <w:rFonts w:hint="default" w:ascii="Times New Roman" w:hAnsi="Times New Roman" w:eastAsia="宋体" w:cs="Times New Roman"/>
                <w:b/>
                <w:bCs/>
                <w:color w:val="auto"/>
                <w:spacing w:val="-10"/>
                <w:sz w:val="24"/>
                <w:u w:val="none"/>
              </w:rPr>
            </w:pPr>
            <w:r>
              <w:rPr>
                <w:rFonts w:hint="default" w:ascii="Times New Roman" w:hAnsi="Times New Roman" w:eastAsia="宋体" w:cs="Times New Roman"/>
                <w:b/>
                <w:bCs/>
                <w:color w:val="auto"/>
                <w:spacing w:val="-10"/>
                <w:sz w:val="24"/>
                <w:u w:val="none"/>
                <w:lang w:val="en-US" w:eastAsia="zh-CN"/>
              </w:rPr>
              <w:t>表2-1</w:t>
            </w:r>
            <w:r>
              <w:rPr>
                <w:rFonts w:hint="eastAsia" w:cs="Times New Roman"/>
                <w:b/>
                <w:bCs/>
                <w:color w:val="auto"/>
                <w:spacing w:val="-10"/>
                <w:sz w:val="24"/>
                <w:u w:val="none"/>
                <w:lang w:val="en-US" w:eastAsia="zh-CN"/>
              </w:rPr>
              <w:t>4</w:t>
            </w:r>
            <w:r>
              <w:rPr>
                <w:rFonts w:hint="default" w:ascii="Times New Roman" w:hAnsi="Times New Roman" w:eastAsia="宋体" w:cs="Times New Roman"/>
                <w:b/>
                <w:bCs/>
                <w:color w:val="auto"/>
                <w:spacing w:val="-10"/>
                <w:sz w:val="24"/>
                <w:u w:val="none"/>
                <w:lang w:val="en-US" w:eastAsia="zh-CN"/>
              </w:rPr>
              <w:t xml:space="preserve"> </w:t>
            </w:r>
            <w:r>
              <w:rPr>
                <w:rFonts w:hint="default" w:ascii="Times New Roman" w:hAnsi="Times New Roman" w:eastAsia="宋体" w:cs="Times New Roman"/>
                <w:b/>
                <w:bCs/>
                <w:color w:val="auto"/>
                <w:spacing w:val="-10"/>
                <w:sz w:val="24"/>
                <w:u w:val="none"/>
              </w:rPr>
              <w:t>运输车辆尾气污染物排放源强  单位：t/ a</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1"/>
              <w:gridCol w:w="2803"/>
              <w:gridCol w:w="2809"/>
            </w:tblGrid>
            <w:tr w14:paraId="0ABF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7" w:type="dxa"/>
                  <w:noWrap w:val="0"/>
                  <w:vAlign w:val="center"/>
                </w:tcPr>
                <w:p w14:paraId="185A0650">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污染源</w:t>
                  </w:r>
                </w:p>
              </w:tc>
              <w:tc>
                <w:tcPr>
                  <w:tcW w:w="2818" w:type="dxa"/>
                  <w:noWrap w:val="0"/>
                  <w:vAlign w:val="center"/>
                </w:tcPr>
                <w:p w14:paraId="50924599">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CO</w:t>
                  </w:r>
                </w:p>
              </w:tc>
              <w:tc>
                <w:tcPr>
                  <w:tcW w:w="2823" w:type="dxa"/>
                  <w:noWrap w:val="0"/>
                  <w:vAlign w:val="center"/>
                </w:tcPr>
                <w:p w14:paraId="043BDA48">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NOx</w:t>
                  </w:r>
                </w:p>
              </w:tc>
            </w:tr>
            <w:tr w14:paraId="7F61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7" w:type="dxa"/>
                  <w:noWrap w:val="0"/>
                  <w:vAlign w:val="center"/>
                </w:tcPr>
                <w:p w14:paraId="192BCFEE">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运输车辆尾气</w:t>
                  </w:r>
                </w:p>
              </w:tc>
              <w:tc>
                <w:tcPr>
                  <w:tcW w:w="2818" w:type="dxa"/>
                  <w:noWrap w:val="0"/>
                  <w:vAlign w:val="center"/>
                </w:tcPr>
                <w:p w14:paraId="135A568F">
                  <w:pPr>
                    <w:widowControl/>
                    <w:adjustRightInd w:val="0"/>
                    <w:snapToGrid w:val="0"/>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0.87</w:t>
                  </w:r>
                </w:p>
              </w:tc>
              <w:tc>
                <w:tcPr>
                  <w:tcW w:w="2823" w:type="dxa"/>
                  <w:noWrap w:val="0"/>
                  <w:vAlign w:val="center"/>
                </w:tcPr>
                <w:p w14:paraId="55A8ACF5">
                  <w:pPr>
                    <w:widowControl/>
                    <w:adjustRightInd w:val="0"/>
                    <w:snapToGrid w:val="0"/>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1.16</w:t>
                  </w:r>
                </w:p>
              </w:tc>
            </w:tr>
          </w:tbl>
          <w:p w14:paraId="30AA2C12">
            <w:pPr>
              <w:tabs>
                <w:tab w:val="left" w:pos="3225"/>
              </w:tabs>
              <w:spacing w:line="500" w:lineRule="exact"/>
              <w:ind w:firstLine="480" w:firstLineChars="200"/>
              <w:rPr>
                <w:rFonts w:hint="default"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⑵运输扬尘</w:t>
            </w:r>
          </w:p>
          <w:p w14:paraId="041B1587">
            <w:pPr>
              <w:tabs>
                <w:tab w:val="left" w:pos="3225"/>
              </w:tabs>
              <w:spacing w:line="500" w:lineRule="exact"/>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lang w:val="en-US" w:eastAsia="zh-CN"/>
              </w:rPr>
              <w:t>项目贮存的货物在</w:t>
            </w:r>
            <w:r>
              <w:rPr>
                <w:rFonts w:hint="eastAsia" w:ascii="Times New Roman" w:hAnsi="Times New Roman" w:eastAsia="宋体" w:cs="Times New Roman"/>
                <w:color w:val="auto"/>
                <w:sz w:val="24"/>
                <w:u w:val="none"/>
              </w:rPr>
              <w:t>厂区道路上运输会产生运输扬尘，本评价采用《扬尘源颗粒物排放清单编制技术指南》中道路扬尘计算公式：</w:t>
            </w:r>
          </w:p>
          <w:p w14:paraId="43DF5894">
            <w:pPr>
              <w:adjustRightInd w:val="0"/>
              <w:snapToGrid w:val="0"/>
              <w:ind w:firstLine="1050" w:firstLineChars="500"/>
              <w:rPr>
                <w:rFonts w:hint="eastAsia"/>
                <w:color w:val="auto"/>
                <w:u w:val="none"/>
              </w:rPr>
            </w:pPr>
            <w:r>
              <w:rPr>
                <w:color w:val="auto"/>
                <w:u w:val="none"/>
              </w:rPr>
              <w:drawing>
                <wp:inline distT="0" distB="0" distL="114300" distR="114300">
                  <wp:extent cx="3390265" cy="495300"/>
                  <wp:effectExtent l="0" t="0" r="63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3390265" cy="495300"/>
                          </a:xfrm>
                          <a:prstGeom prst="rect">
                            <a:avLst/>
                          </a:prstGeom>
                          <a:noFill/>
                          <a:ln>
                            <a:noFill/>
                          </a:ln>
                        </pic:spPr>
                      </pic:pic>
                    </a:graphicData>
                  </a:graphic>
                </wp:inline>
              </w:drawing>
            </w:r>
          </w:p>
          <w:p w14:paraId="5FACDB1C">
            <w:pPr>
              <w:adjustRightInd w:val="0"/>
              <w:snapToGrid w:val="0"/>
              <w:ind w:firstLine="1050" w:firstLineChars="500"/>
              <w:rPr>
                <w:rFonts w:hint="eastAsia"/>
                <w:b/>
                <w:bCs/>
                <w:color w:val="auto"/>
                <w:sz w:val="24"/>
                <w:u w:val="none"/>
                <w:lang w:val="en-GB"/>
              </w:rPr>
            </w:pPr>
            <w:r>
              <w:rPr>
                <w:color w:val="auto"/>
                <w:u w:val="none"/>
              </w:rPr>
              <w:drawing>
                <wp:inline distT="0" distB="0" distL="114300" distR="114300">
                  <wp:extent cx="3285490" cy="561975"/>
                  <wp:effectExtent l="0" t="0" r="10160" b="952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5"/>
                          <a:stretch>
                            <a:fillRect/>
                          </a:stretch>
                        </pic:blipFill>
                        <pic:spPr>
                          <a:xfrm>
                            <a:off x="0" y="0"/>
                            <a:ext cx="3285490" cy="561975"/>
                          </a:xfrm>
                          <a:prstGeom prst="rect">
                            <a:avLst/>
                          </a:prstGeom>
                          <a:noFill/>
                          <a:ln>
                            <a:noFill/>
                          </a:ln>
                        </pic:spPr>
                      </pic:pic>
                    </a:graphicData>
                  </a:graphic>
                </wp:inline>
              </w:drawing>
            </w:r>
          </w:p>
          <w:p w14:paraId="6787E0E9">
            <w:pPr>
              <w:adjustRightInd w:val="0"/>
              <w:snapToGrid w:val="0"/>
              <w:spacing w:line="500" w:lineRule="exact"/>
              <w:jc w:val="center"/>
              <w:rPr>
                <w:rFonts w:hint="eastAsia" w:ascii="Times New Roman" w:hAnsi="Times New Roman" w:eastAsia="宋体" w:cs="Times New Roman"/>
                <w:b/>
                <w:bCs/>
                <w:color w:val="auto"/>
                <w:spacing w:val="-10"/>
                <w:sz w:val="24"/>
                <w:u w:val="none"/>
                <w:lang w:val="en-GB"/>
              </w:rPr>
            </w:pPr>
            <w:r>
              <w:rPr>
                <w:rFonts w:hint="eastAsia" w:ascii="Times New Roman" w:hAnsi="Times New Roman" w:eastAsia="宋体" w:cs="Times New Roman"/>
                <w:b/>
                <w:bCs/>
                <w:color w:val="auto"/>
                <w:spacing w:val="-10"/>
                <w:sz w:val="24"/>
                <w:u w:val="none"/>
                <w:lang w:val="en-GB"/>
              </w:rPr>
              <w:t>表</w:t>
            </w:r>
            <w:r>
              <w:rPr>
                <w:rFonts w:hint="eastAsia" w:ascii="Times New Roman" w:hAnsi="Times New Roman" w:eastAsia="宋体" w:cs="Times New Roman"/>
                <w:b/>
                <w:bCs/>
                <w:color w:val="auto"/>
                <w:spacing w:val="-10"/>
                <w:sz w:val="24"/>
                <w:u w:val="none"/>
                <w:lang w:val="en-US" w:eastAsia="zh-CN"/>
              </w:rPr>
              <w:t>2-1</w:t>
            </w:r>
            <w:r>
              <w:rPr>
                <w:rFonts w:hint="eastAsia" w:cs="Times New Roman"/>
                <w:b/>
                <w:bCs/>
                <w:color w:val="auto"/>
                <w:spacing w:val="-10"/>
                <w:sz w:val="24"/>
                <w:u w:val="none"/>
                <w:lang w:val="en-US" w:eastAsia="zh-CN"/>
              </w:rPr>
              <w:t>5</w:t>
            </w:r>
            <w:r>
              <w:rPr>
                <w:rFonts w:hint="eastAsia" w:ascii="Times New Roman" w:hAnsi="Times New Roman" w:eastAsia="宋体" w:cs="Times New Roman"/>
                <w:b/>
                <w:bCs/>
                <w:color w:val="auto"/>
                <w:spacing w:val="-10"/>
                <w:sz w:val="24"/>
                <w:u w:val="none"/>
                <w:lang w:val="en-GB"/>
              </w:rPr>
              <w:t xml:space="preserve">  车辆运输扬尘源强计算表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4"/>
              <w:gridCol w:w="1417"/>
              <w:gridCol w:w="1553"/>
              <w:gridCol w:w="1839"/>
            </w:tblGrid>
            <w:tr w14:paraId="3696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492724CE">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公式参数</w:t>
                  </w:r>
                </w:p>
              </w:tc>
              <w:tc>
                <w:tcPr>
                  <w:tcW w:w="1418" w:type="dxa"/>
                  <w:noWrap w:val="0"/>
                  <w:vAlign w:val="center"/>
                </w:tcPr>
                <w:p w14:paraId="2D9AAAC1">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单位</w:t>
                  </w:r>
                </w:p>
              </w:tc>
              <w:tc>
                <w:tcPr>
                  <w:tcW w:w="1559" w:type="dxa"/>
                  <w:noWrap w:val="0"/>
                  <w:vAlign w:val="center"/>
                </w:tcPr>
                <w:p w14:paraId="7AC6A8DE">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取值</w:t>
                  </w:r>
                </w:p>
              </w:tc>
              <w:tc>
                <w:tcPr>
                  <w:tcW w:w="1849" w:type="dxa"/>
                  <w:noWrap w:val="0"/>
                  <w:vAlign w:val="center"/>
                </w:tcPr>
                <w:p w14:paraId="3A1688FD">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计算结果</w:t>
                  </w:r>
                </w:p>
              </w:tc>
            </w:tr>
            <w:tr w14:paraId="2C22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639B6E85">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k</w:t>
                  </w:r>
                  <w:r>
                    <w:rPr>
                      <w:rFonts w:hint="eastAsia"/>
                      <w:bCs/>
                      <w:color w:val="auto"/>
                      <w:spacing w:val="-10"/>
                      <w:szCs w:val="21"/>
                      <w:u w:val="none"/>
                      <w:vertAlign w:val="subscript"/>
                    </w:rPr>
                    <w:t>i</w:t>
                  </w:r>
                  <w:r>
                    <w:rPr>
                      <w:rFonts w:hint="eastAsia"/>
                      <w:bCs/>
                      <w:color w:val="auto"/>
                      <w:spacing w:val="-10"/>
                      <w:szCs w:val="21"/>
                      <w:u w:val="none"/>
                    </w:rPr>
                    <w:t>—TSP的粒度乘数</w:t>
                  </w:r>
                </w:p>
              </w:tc>
              <w:tc>
                <w:tcPr>
                  <w:tcW w:w="1418" w:type="dxa"/>
                  <w:noWrap w:val="0"/>
                  <w:vAlign w:val="center"/>
                </w:tcPr>
                <w:p w14:paraId="3B3C77E6">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w:t>
                  </w:r>
                </w:p>
              </w:tc>
              <w:tc>
                <w:tcPr>
                  <w:tcW w:w="1559" w:type="dxa"/>
                  <w:noWrap w:val="0"/>
                  <w:vAlign w:val="center"/>
                </w:tcPr>
                <w:p w14:paraId="0BAF55DA">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3.23</w:t>
                  </w:r>
                </w:p>
              </w:tc>
              <w:tc>
                <w:tcPr>
                  <w:tcW w:w="1849" w:type="dxa"/>
                  <w:noWrap w:val="0"/>
                  <w:vAlign w:val="center"/>
                </w:tcPr>
                <w:p w14:paraId="685FDC0B">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w:t>
                  </w:r>
                </w:p>
              </w:tc>
            </w:tr>
            <w:tr w14:paraId="67B1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3883A4FA">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sL—道路积尘负荷</w:t>
                  </w:r>
                </w:p>
              </w:tc>
              <w:tc>
                <w:tcPr>
                  <w:tcW w:w="1418" w:type="dxa"/>
                  <w:noWrap w:val="0"/>
                  <w:vAlign w:val="center"/>
                </w:tcPr>
                <w:p w14:paraId="64168951">
                  <w:pPr>
                    <w:adjustRightInd w:val="0"/>
                    <w:snapToGrid w:val="0"/>
                    <w:spacing w:line="360" w:lineRule="exact"/>
                    <w:jc w:val="center"/>
                    <w:rPr>
                      <w:rFonts w:hint="eastAsia"/>
                      <w:bCs/>
                      <w:color w:val="auto"/>
                      <w:spacing w:val="-10"/>
                      <w:szCs w:val="21"/>
                      <w:u w:val="none"/>
                      <w:vertAlign w:val="superscript"/>
                    </w:rPr>
                  </w:pPr>
                  <w:r>
                    <w:rPr>
                      <w:rFonts w:hint="eastAsia"/>
                      <w:bCs/>
                      <w:color w:val="auto"/>
                      <w:spacing w:val="-10"/>
                      <w:szCs w:val="21"/>
                      <w:u w:val="none"/>
                    </w:rPr>
                    <w:t>g</w:t>
                  </w:r>
                  <w:r>
                    <w:rPr>
                      <w:bCs/>
                      <w:color w:val="auto"/>
                      <w:spacing w:val="-10"/>
                      <w:szCs w:val="21"/>
                      <w:u w:val="none"/>
                    </w:rPr>
                    <w:t>/</w:t>
                  </w:r>
                  <w:r>
                    <w:rPr>
                      <w:rFonts w:hint="eastAsia"/>
                      <w:bCs/>
                      <w:color w:val="auto"/>
                      <w:spacing w:val="-10"/>
                      <w:szCs w:val="21"/>
                      <w:u w:val="none"/>
                    </w:rPr>
                    <w:t>m</w:t>
                  </w:r>
                  <w:r>
                    <w:rPr>
                      <w:rFonts w:hint="eastAsia"/>
                      <w:bCs/>
                      <w:color w:val="auto"/>
                      <w:spacing w:val="-10"/>
                      <w:szCs w:val="21"/>
                      <w:u w:val="none"/>
                      <w:vertAlign w:val="superscript"/>
                    </w:rPr>
                    <w:t>2</w:t>
                  </w:r>
                </w:p>
              </w:tc>
              <w:tc>
                <w:tcPr>
                  <w:tcW w:w="1559" w:type="dxa"/>
                  <w:noWrap w:val="0"/>
                  <w:vAlign w:val="center"/>
                </w:tcPr>
                <w:p w14:paraId="60EA4BC6">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12</w:t>
                  </w:r>
                </w:p>
              </w:tc>
              <w:tc>
                <w:tcPr>
                  <w:tcW w:w="1849" w:type="dxa"/>
                  <w:noWrap w:val="0"/>
                  <w:vAlign w:val="center"/>
                </w:tcPr>
                <w:p w14:paraId="582E7B11">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w:t>
                  </w:r>
                </w:p>
              </w:tc>
            </w:tr>
            <w:tr w14:paraId="2B96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52A7AF24">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W—平均车重</w:t>
                  </w:r>
                </w:p>
              </w:tc>
              <w:tc>
                <w:tcPr>
                  <w:tcW w:w="1418" w:type="dxa"/>
                  <w:noWrap w:val="0"/>
                  <w:vAlign w:val="center"/>
                </w:tcPr>
                <w:p w14:paraId="40D1EF09">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t</w:t>
                  </w:r>
                </w:p>
              </w:tc>
              <w:tc>
                <w:tcPr>
                  <w:tcW w:w="1559" w:type="dxa"/>
                  <w:noWrap w:val="0"/>
                  <w:vAlign w:val="center"/>
                </w:tcPr>
                <w:p w14:paraId="12FB066C">
                  <w:pPr>
                    <w:adjustRightInd w:val="0"/>
                    <w:snapToGrid w:val="0"/>
                    <w:spacing w:line="360" w:lineRule="exact"/>
                    <w:jc w:val="center"/>
                    <w:rPr>
                      <w:rFonts w:hint="eastAsia" w:eastAsia="宋体"/>
                      <w:bCs/>
                      <w:color w:val="auto"/>
                      <w:spacing w:val="-10"/>
                      <w:szCs w:val="21"/>
                      <w:u w:val="none"/>
                      <w:lang w:eastAsia="zh-CN"/>
                    </w:rPr>
                  </w:pPr>
                  <w:r>
                    <w:rPr>
                      <w:rFonts w:hint="eastAsia"/>
                      <w:bCs/>
                      <w:color w:val="auto"/>
                      <w:spacing w:val="-10"/>
                      <w:szCs w:val="21"/>
                      <w:u w:val="none"/>
                      <w:lang w:val="en-US" w:eastAsia="zh-CN"/>
                    </w:rPr>
                    <w:t>7</w:t>
                  </w:r>
                </w:p>
              </w:tc>
              <w:tc>
                <w:tcPr>
                  <w:tcW w:w="1849" w:type="dxa"/>
                  <w:noWrap w:val="0"/>
                  <w:vAlign w:val="center"/>
                </w:tcPr>
                <w:p w14:paraId="4E0D3BFD">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w:t>
                  </w:r>
                </w:p>
              </w:tc>
            </w:tr>
            <w:tr w14:paraId="3012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4C97BA3E">
                  <w:pPr>
                    <w:adjustRightInd w:val="0"/>
                    <w:snapToGrid w:val="0"/>
                    <w:spacing w:line="360" w:lineRule="exact"/>
                    <w:jc w:val="center"/>
                    <w:rPr>
                      <w:rFonts w:hint="eastAsia"/>
                      <w:bCs/>
                      <w:color w:val="auto"/>
                      <w:spacing w:val="-10"/>
                      <w:sz w:val="32"/>
                      <w:szCs w:val="32"/>
                      <w:u w:val="none"/>
                    </w:rPr>
                  </w:pPr>
                  <w:r>
                    <w:rPr>
                      <w:color w:val="auto"/>
                      <w:u w:val="none"/>
                    </w:rPr>
                    <w:drawing>
                      <wp:inline distT="0" distB="0" distL="114300" distR="114300">
                        <wp:extent cx="247650" cy="200025"/>
                        <wp:effectExtent l="0" t="0" r="0"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6"/>
                                <a:stretch>
                                  <a:fillRect/>
                                </a:stretch>
                              </pic:blipFill>
                              <pic:spPr>
                                <a:xfrm>
                                  <a:off x="0" y="0"/>
                                  <a:ext cx="247650" cy="200025"/>
                                </a:xfrm>
                                <a:prstGeom prst="rect">
                                  <a:avLst/>
                                </a:prstGeom>
                                <a:noFill/>
                                <a:ln>
                                  <a:noFill/>
                                </a:ln>
                              </pic:spPr>
                            </pic:pic>
                          </a:graphicData>
                        </a:graphic>
                      </wp:inline>
                    </w:drawing>
                  </w:r>
                  <w:r>
                    <w:rPr>
                      <w:rFonts w:hint="eastAsia"/>
                      <w:bCs/>
                      <w:color w:val="auto"/>
                      <w:u w:val="none"/>
                    </w:rPr>
                    <w:t>—污染控制技术对扬尘的去除率</w:t>
                  </w:r>
                </w:p>
              </w:tc>
              <w:tc>
                <w:tcPr>
                  <w:tcW w:w="1418" w:type="dxa"/>
                  <w:noWrap w:val="0"/>
                  <w:vAlign w:val="center"/>
                </w:tcPr>
                <w:p w14:paraId="46FE87EF">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w:t>
                  </w:r>
                </w:p>
              </w:tc>
              <w:tc>
                <w:tcPr>
                  <w:tcW w:w="1559" w:type="dxa"/>
                  <w:noWrap w:val="0"/>
                  <w:vAlign w:val="center"/>
                </w:tcPr>
                <w:p w14:paraId="36B4F78E">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66</w:t>
                  </w:r>
                </w:p>
              </w:tc>
              <w:tc>
                <w:tcPr>
                  <w:tcW w:w="1849" w:type="dxa"/>
                  <w:noWrap w:val="0"/>
                  <w:vAlign w:val="center"/>
                </w:tcPr>
                <w:p w14:paraId="0EA73F29">
                  <w:pPr>
                    <w:adjustRightInd w:val="0"/>
                    <w:snapToGrid w:val="0"/>
                    <w:spacing w:line="360" w:lineRule="exact"/>
                    <w:jc w:val="center"/>
                    <w:rPr>
                      <w:rFonts w:hint="eastAsia"/>
                      <w:bCs/>
                      <w:color w:val="auto"/>
                      <w:spacing w:val="-10"/>
                      <w:szCs w:val="21"/>
                      <w:u w:val="none"/>
                    </w:rPr>
                  </w:pPr>
                </w:p>
              </w:tc>
            </w:tr>
            <w:tr w14:paraId="0781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629" w:type="dxa"/>
                  <w:noWrap w:val="0"/>
                  <w:vAlign w:val="center"/>
                </w:tcPr>
                <w:p w14:paraId="112AAFE6">
                  <w:pPr>
                    <w:jc w:val="center"/>
                    <w:rPr>
                      <w:rFonts w:hint="eastAsia"/>
                      <w:color w:val="auto"/>
                      <w:u w:val="none"/>
                    </w:rPr>
                  </w:pPr>
                  <w:r>
                    <w:rPr>
                      <w:rFonts w:hint="eastAsia"/>
                      <w:color w:val="auto"/>
                      <w:u w:val="none"/>
                    </w:rPr>
                    <w:t>Epi—颗粒物排放系数</w:t>
                  </w:r>
                </w:p>
              </w:tc>
              <w:tc>
                <w:tcPr>
                  <w:tcW w:w="1418" w:type="dxa"/>
                  <w:noWrap w:val="0"/>
                  <w:vAlign w:val="center"/>
                </w:tcPr>
                <w:p w14:paraId="674BC342">
                  <w:pPr>
                    <w:jc w:val="center"/>
                    <w:rPr>
                      <w:rFonts w:hint="eastAsia"/>
                      <w:color w:val="auto"/>
                      <w:u w:val="none"/>
                    </w:rPr>
                  </w:pPr>
                  <w:r>
                    <w:rPr>
                      <w:rFonts w:hint="eastAsia"/>
                      <w:color w:val="auto"/>
                      <w:u w:val="none"/>
                    </w:rPr>
                    <w:t>g/（km·辆）</w:t>
                  </w:r>
                </w:p>
              </w:tc>
              <w:tc>
                <w:tcPr>
                  <w:tcW w:w="1559" w:type="dxa"/>
                  <w:noWrap w:val="0"/>
                  <w:vAlign w:val="center"/>
                </w:tcPr>
                <w:p w14:paraId="43076054">
                  <w:pPr>
                    <w:jc w:val="center"/>
                    <w:rPr>
                      <w:rFonts w:hint="eastAsia"/>
                      <w:color w:val="auto"/>
                      <w:u w:val="none"/>
                    </w:rPr>
                  </w:pPr>
                  <w:r>
                    <w:rPr>
                      <w:rFonts w:hint="eastAsia"/>
                      <w:color w:val="auto"/>
                      <w:u w:val="none"/>
                    </w:rPr>
                    <w:t>/</w:t>
                  </w:r>
                </w:p>
              </w:tc>
              <w:tc>
                <w:tcPr>
                  <w:tcW w:w="1849" w:type="dxa"/>
                  <w:noWrap w:val="0"/>
                  <w:vAlign w:val="center"/>
                </w:tcPr>
                <w:p w14:paraId="11809436">
                  <w:pPr>
                    <w:jc w:val="center"/>
                    <w:rPr>
                      <w:rFonts w:hint="default" w:eastAsia="宋体"/>
                      <w:color w:val="auto"/>
                      <w:u w:val="none"/>
                      <w:lang w:val="en-US" w:eastAsia="zh-CN"/>
                    </w:rPr>
                  </w:pPr>
                  <w:r>
                    <w:rPr>
                      <w:rFonts w:hint="eastAsia"/>
                      <w:color w:val="auto"/>
                      <w:u w:val="none"/>
                      <w:lang w:val="en-US" w:eastAsia="zh-CN"/>
                    </w:rPr>
                    <w:t>76.69</w:t>
                  </w:r>
                </w:p>
              </w:tc>
            </w:tr>
            <w:tr w14:paraId="6233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34057CBA">
                  <w:pPr>
                    <w:jc w:val="center"/>
                    <w:rPr>
                      <w:rFonts w:hint="eastAsia"/>
                      <w:color w:val="auto"/>
                      <w:u w:val="none"/>
                    </w:rPr>
                  </w:pPr>
                  <w:r>
                    <w:rPr>
                      <w:rFonts w:hint="eastAsia"/>
                      <w:color w:val="auto"/>
                      <w:u w:val="none"/>
                    </w:rPr>
                    <w:t>公式参数</w:t>
                  </w:r>
                </w:p>
              </w:tc>
              <w:tc>
                <w:tcPr>
                  <w:tcW w:w="1418" w:type="dxa"/>
                  <w:noWrap w:val="0"/>
                  <w:vAlign w:val="center"/>
                </w:tcPr>
                <w:p w14:paraId="3CC6C665">
                  <w:pPr>
                    <w:jc w:val="center"/>
                    <w:rPr>
                      <w:rFonts w:hint="eastAsia"/>
                      <w:color w:val="auto"/>
                      <w:u w:val="none"/>
                    </w:rPr>
                  </w:pPr>
                  <w:r>
                    <w:rPr>
                      <w:rFonts w:hint="eastAsia"/>
                      <w:color w:val="auto"/>
                      <w:u w:val="none"/>
                    </w:rPr>
                    <w:t>单位</w:t>
                  </w:r>
                </w:p>
              </w:tc>
              <w:tc>
                <w:tcPr>
                  <w:tcW w:w="1559" w:type="dxa"/>
                  <w:noWrap w:val="0"/>
                  <w:vAlign w:val="center"/>
                </w:tcPr>
                <w:p w14:paraId="525F2EFE">
                  <w:pPr>
                    <w:jc w:val="center"/>
                    <w:rPr>
                      <w:rFonts w:hint="eastAsia"/>
                      <w:color w:val="auto"/>
                      <w:u w:val="none"/>
                    </w:rPr>
                  </w:pPr>
                  <w:r>
                    <w:rPr>
                      <w:rFonts w:hint="eastAsia"/>
                      <w:color w:val="auto"/>
                      <w:u w:val="none"/>
                    </w:rPr>
                    <w:t>取值</w:t>
                  </w:r>
                </w:p>
              </w:tc>
              <w:tc>
                <w:tcPr>
                  <w:tcW w:w="1849" w:type="dxa"/>
                  <w:noWrap w:val="0"/>
                  <w:vAlign w:val="center"/>
                </w:tcPr>
                <w:p w14:paraId="09174EEB">
                  <w:pPr>
                    <w:jc w:val="center"/>
                    <w:rPr>
                      <w:color w:val="auto"/>
                      <w:u w:val="none"/>
                    </w:rPr>
                  </w:pPr>
                  <w:r>
                    <w:rPr>
                      <w:rFonts w:hint="eastAsia"/>
                      <w:color w:val="auto"/>
                      <w:u w:val="none"/>
                    </w:rPr>
                    <w:t>计算结果</w:t>
                  </w:r>
                </w:p>
              </w:tc>
            </w:tr>
            <w:tr w14:paraId="1F80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7B0EE0E1">
                  <w:pPr>
                    <w:jc w:val="center"/>
                    <w:rPr>
                      <w:rFonts w:hint="eastAsia"/>
                      <w:color w:val="auto"/>
                      <w:u w:val="none"/>
                    </w:rPr>
                  </w:pPr>
                  <w:r>
                    <w:rPr>
                      <w:rFonts w:hint="eastAsia"/>
                      <w:color w:val="auto"/>
                      <w:u w:val="none"/>
                    </w:rPr>
                    <w:t>L</w:t>
                  </w:r>
                  <w:r>
                    <w:rPr>
                      <w:rFonts w:hint="eastAsia"/>
                      <w:color w:val="auto"/>
                      <w:u w:val="none"/>
                      <w:vertAlign w:val="subscript"/>
                    </w:rPr>
                    <w:t>R</w:t>
                  </w:r>
                  <w:r>
                    <w:rPr>
                      <w:rFonts w:hint="eastAsia"/>
                      <w:bCs/>
                      <w:color w:val="auto"/>
                      <w:u w:val="none"/>
                    </w:rPr>
                    <w:t>—道路长度</w:t>
                  </w:r>
                </w:p>
              </w:tc>
              <w:tc>
                <w:tcPr>
                  <w:tcW w:w="1418" w:type="dxa"/>
                  <w:noWrap w:val="0"/>
                  <w:vAlign w:val="center"/>
                </w:tcPr>
                <w:p w14:paraId="0A41C23D">
                  <w:pPr>
                    <w:jc w:val="center"/>
                    <w:rPr>
                      <w:rFonts w:hint="eastAsia"/>
                      <w:color w:val="auto"/>
                      <w:u w:val="none"/>
                    </w:rPr>
                  </w:pPr>
                  <w:r>
                    <w:rPr>
                      <w:rFonts w:hint="eastAsia"/>
                      <w:color w:val="auto"/>
                      <w:u w:val="none"/>
                    </w:rPr>
                    <w:t>km</w:t>
                  </w:r>
                </w:p>
              </w:tc>
              <w:tc>
                <w:tcPr>
                  <w:tcW w:w="1559" w:type="dxa"/>
                  <w:noWrap w:val="0"/>
                  <w:vAlign w:val="center"/>
                </w:tcPr>
                <w:p w14:paraId="19B7A7B6">
                  <w:pPr>
                    <w:jc w:val="center"/>
                    <w:rPr>
                      <w:rFonts w:hint="eastAsia" w:eastAsia="宋体"/>
                      <w:color w:val="auto"/>
                      <w:u w:val="none"/>
                      <w:lang w:val="en-US" w:eastAsia="zh-CN"/>
                    </w:rPr>
                  </w:pPr>
                  <w:r>
                    <w:rPr>
                      <w:rFonts w:hint="eastAsia"/>
                      <w:color w:val="auto"/>
                      <w:u w:val="none"/>
                    </w:rPr>
                    <w:t>0.</w:t>
                  </w:r>
                  <w:r>
                    <w:rPr>
                      <w:rFonts w:hint="eastAsia"/>
                      <w:color w:val="auto"/>
                      <w:u w:val="none"/>
                      <w:lang w:val="en-US" w:eastAsia="zh-CN"/>
                    </w:rPr>
                    <w:t>1</w:t>
                  </w:r>
                </w:p>
              </w:tc>
              <w:tc>
                <w:tcPr>
                  <w:tcW w:w="1849" w:type="dxa"/>
                  <w:noWrap w:val="0"/>
                  <w:vAlign w:val="center"/>
                </w:tcPr>
                <w:p w14:paraId="2290B8EE">
                  <w:pPr>
                    <w:jc w:val="center"/>
                    <w:rPr>
                      <w:rFonts w:hint="eastAsia"/>
                      <w:color w:val="auto"/>
                      <w:u w:val="none"/>
                    </w:rPr>
                  </w:pPr>
                  <w:r>
                    <w:rPr>
                      <w:rFonts w:hint="eastAsia"/>
                      <w:color w:val="auto"/>
                      <w:u w:val="none"/>
                    </w:rPr>
                    <w:t>/</w:t>
                  </w:r>
                </w:p>
              </w:tc>
            </w:tr>
            <w:tr w14:paraId="7041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3D3E8554">
                  <w:pPr>
                    <w:jc w:val="center"/>
                    <w:rPr>
                      <w:rFonts w:hint="eastAsia"/>
                      <w:color w:val="auto"/>
                      <w:u w:val="none"/>
                    </w:rPr>
                  </w:pPr>
                  <w:r>
                    <w:rPr>
                      <w:rFonts w:hint="eastAsia"/>
                      <w:color w:val="auto"/>
                      <w:u w:val="none"/>
                    </w:rPr>
                    <w:t>N</w:t>
                  </w:r>
                  <w:r>
                    <w:rPr>
                      <w:rFonts w:hint="eastAsia"/>
                      <w:color w:val="auto"/>
                      <w:u w:val="none"/>
                      <w:vertAlign w:val="subscript"/>
                    </w:rPr>
                    <w:t>R</w:t>
                  </w:r>
                  <w:r>
                    <w:rPr>
                      <w:rFonts w:hint="eastAsia"/>
                      <w:bCs/>
                      <w:color w:val="auto"/>
                      <w:u w:val="none"/>
                    </w:rPr>
                    <w:t>—平均车流量</w:t>
                  </w:r>
                </w:p>
              </w:tc>
              <w:tc>
                <w:tcPr>
                  <w:tcW w:w="1418" w:type="dxa"/>
                  <w:noWrap w:val="0"/>
                  <w:vAlign w:val="center"/>
                </w:tcPr>
                <w:p w14:paraId="5FF946BA">
                  <w:pPr>
                    <w:jc w:val="center"/>
                    <w:rPr>
                      <w:rFonts w:hint="eastAsia"/>
                      <w:color w:val="auto"/>
                      <w:u w:val="none"/>
                    </w:rPr>
                  </w:pPr>
                  <w:r>
                    <w:rPr>
                      <w:rFonts w:hint="eastAsia"/>
                      <w:color w:val="auto"/>
                      <w:u w:val="none"/>
                    </w:rPr>
                    <w:t>辆/a</w:t>
                  </w:r>
                </w:p>
              </w:tc>
              <w:tc>
                <w:tcPr>
                  <w:tcW w:w="1559" w:type="dxa"/>
                  <w:noWrap w:val="0"/>
                  <w:vAlign w:val="center"/>
                </w:tcPr>
                <w:p w14:paraId="61FD6557">
                  <w:pPr>
                    <w:jc w:val="center"/>
                    <w:rPr>
                      <w:rFonts w:hint="default" w:eastAsia="宋体"/>
                      <w:color w:val="auto"/>
                      <w:u w:val="none"/>
                      <w:lang w:val="en-US" w:eastAsia="zh-CN"/>
                    </w:rPr>
                  </w:pPr>
                  <w:r>
                    <w:rPr>
                      <w:rFonts w:hint="eastAsia"/>
                      <w:color w:val="auto"/>
                      <w:u w:val="none"/>
                      <w:lang w:val="en-US" w:eastAsia="zh-CN"/>
                    </w:rPr>
                    <w:t>150000</w:t>
                  </w:r>
                </w:p>
              </w:tc>
              <w:tc>
                <w:tcPr>
                  <w:tcW w:w="1849" w:type="dxa"/>
                  <w:noWrap w:val="0"/>
                  <w:vAlign w:val="center"/>
                </w:tcPr>
                <w:p w14:paraId="1F961567">
                  <w:pPr>
                    <w:jc w:val="center"/>
                    <w:rPr>
                      <w:rFonts w:hint="eastAsia"/>
                      <w:color w:val="auto"/>
                      <w:u w:val="none"/>
                    </w:rPr>
                  </w:pPr>
                  <w:r>
                    <w:rPr>
                      <w:rFonts w:hint="eastAsia"/>
                      <w:color w:val="auto"/>
                      <w:u w:val="none"/>
                    </w:rPr>
                    <w:t>/</w:t>
                  </w:r>
                </w:p>
              </w:tc>
            </w:tr>
            <w:tr w14:paraId="2479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5EC09951">
                  <w:pPr>
                    <w:jc w:val="center"/>
                    <w:rPr>
                      <w:rFonts w:hint="eastAsia"/>
                      <w:color w:val="auto"/>
                      <w:u w:val="none"/>
                    </w:rPr>
                  </w:pPr>
                  <w:r>
                    <w:rPr>
                      <w:rFonts w:hint="eastAsia"/>
                      <w:color w:val="auto"/>
                      <w:u w:val="none"/>
                    </w:rPr>
                    <w:t>n</w:t>
                  </w:r>
                  <w:r>
                    <w:rPr>
                      <w:rFonts w:hint="eastAsia"/>
                      <w:color w:val="auto"/>
                      <w:u w:val="none"/>
                      <w:vertAlign w:val="subscript"/>
                    </w:rPr>
                    <w:t>r</w:t>
                  </w:r>
                  <w:r>
                    <w:rPr>
                      <w:rFonts w:hint="eastAsia"/>
                      <w:bCs/>
                      <w:color w:val="auto"/>
                      <w:u w:val="none"/>
                    </w:rPr>
                    <w:t>—不起尘天数</w:t>
                  </w:r>
                </w:p>
              </w:tc>
              <w:tc>
                <w:tcPr>
                  <w:tcW w:w="1418" w:type="dxa"/>
                  <w:noWrap w:val="0"/>
                  <w:vAlign w:val="center"/>
                </w:tcPr>
                <w:p w14:paraId="3A2A2804">
                  <w:pPr>
                    <w:jc w:val="center"/>
                    <w:rPr>
                      <w:rFonts w:hint="eastAsia"/>
                      <w:color w:val="auto"/>
                      <w:u w:val="none"/>
                    </w:rPr>
                  </w:pPr>
                  <w:r>
                    <w:rPr>
                      <w:rFonts w:hint="eastAsia"/>
                      <w:color w:val="auto"/>
                      <w:u w:val="none"/>
                    </w:rPr>
                    <w:t>天/a</w:t>
                  </w:r>
                </w:p>
              </w:tc>
              <w:tc>
                <w:tcPr>
                  <w:tcW w:w="1559" w:type="dxa"/>
                  <w:noWrap w:val="0"/>
                  <w:vAlign w:val="center"/>
                </w:tcPr>
                <w:p w14:paraId="3E05A352">
                  <w:pPr>
                    <w:jc w:val="center"/>
                    <w:rPr>
                      <w:rFonts w:hint="eastAsia"/>
                      <w:color w:val="auto"/>
                      <w:u w:val="none"/>
                    </w:rPr>
                  </w:pPr>
                  <w:r>
                    <w:rPr>
                      <w:rFonts w:hint="eastAsia"/>
                      <w:color w:val="auto"/>
                      <w:u w:val="none"/>
                    </w:rPr>
                    <w:t>200</w:t>
                  </w:r>
                </w:p>
              </w:tc>
              <w:tc>
                <w:tcPr>
                  <w:tcW w:w="1849" w:type="dxa"/>
                  <w:noWrap w:val="0"/>
                  <w:vAlign w:val="center"/>
                </w:tcPr>
                <w:p w14:paraId="2A203869">
                  <w:pPr>
                    <w:jc w:val="center"/>
                    <w:rPr>
                      <w:rFonts w:hint="eastAsia"/>
                      <w:color w:val="auto"/>
                      <w:u w:val="none"/>
                    </w:rPr>
                  </w:pPr>
                  <w:r>
                    <w:rPr>
                      <w:rFonts w:hint="eastAsia"/>
                      <w:color w:val="auto"/>
                      <w:u w:val="none"/>
                    </w:rPr>
                    <w:t>/</w:t>
                  </w:r>
                </w:p>
              </w:tc>
            </w:tr>
            <w:tr w14:paraId="2FB5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3E5687A9">
                  <w:pPr>
                    <w:jc w:val="center"/>
                    <w:rPr>
                      <w:rFonts w:hint="eastAsia"/>
                      <w:color w:val="auto"/>
                      <w:u w:val="none"/>
                    </w:rPr>
                  </w:pPr>
                  <w:r>
                    <w:rPr>
                      <w:rFonts w:hint="eastAsia"/>
                      <w:color w:val="auto"/>
                      <w:u w:val="none"/>
                    </w:rPr>
                    <w:t>W</w:t>
                  </w:r>
                  <w:r>
                    <w:rPr>
                      <w:rFonts w:hint="eastAsia"/>
                      <w:color w:val="auto"/>
                      <w:u w:val="none"/>
                      <w:vertAlign w:val="subscript"/>
                    </w:rPr>
                    <w:t>Ri</w:t>
                  </w:r>
                  <w:r>
                    <w:rPr>
                      <w:rFonts w:hint="eastAsia"/>
                      <w:bCs/>
                      <w:color w:val="auto"/>
                      <w:u w:val="none"/>
                    </w:rPr>
                    <w:t>—颗粒物总排放量</w:t>
                  </w:r>
                </w:p>
              </w:tc>
              <w:tc>
                <w:tcPr>
                  <w:tcW w:w="1418" w:type="dxa"/>
                  <w:noWrap w:val="0"/>
                  <w:vAlign w:val="center"/>
                </w:tcPr>
                <w:p w14:paraId="77D41649">
                  <w:pPr>
                    <w:jc w:val="center"/>
                    <w:rPr>
                      <w:rFonts w:hint="eastAsia"/>
                      <w:color w:val="auto"/>
                      <w:u w:val="none"/>
                    </w:rPr>
                  </w:pPr>
                  <w:r>
                    <w:rPr>
                      <w:rFonts w:hint="eastAsia"/>
                      <w:color w:val="auto"/>
                      <w:u w:val="none"/>
                    </w:rPr>
                    <w:t>t/a</w:t>
                  </w:r>
                </w:p>
              </w:tc>
              <w:tc>
                <w:tcPr>
                  <w:tcW w:w="1559" w:type="dxa"/>
                  <w:noWrap w:val="0"/>
                  <w:vAlign w:val="center"/>
                </w:tcPr>
                <w:p w14:paraId="230B35F4">
                  <w:pPr>
                    <w:jc w:val="center"/>
                    <w:rPr>
                      <w:rFonts w:hint="eastAsia"/>
                      <w:color w:val="auto"/>
                      <w:u w:val="none"/>
                    </w:rPr>
                  </w:pPr>
                  <w:r>
                    <w:rPr>
                      <w:rFonts w:hint="eastAsia"/>
                      <w:color w:val="auto"/>
                      <w:u w:val="none"/>
                    </w:rPr>
                    <w:t>/</w:t>
                  </w:r>
                </w:p>
              </w:tc>
              <w:tc>
                <w:tcPr>
                  <w:tcW w:w="1849" w:type="dxa"/>
                  <w:noWrap w:val="0"/>
                  <w:vAlign w:val="center"/>
                </w:tcPr>
                <w:p w14:paraId="32211FD1">
                  <w:pPr>
                    <w:jc w:val="center"/>
                    <w:rPr>
                      <w:rFonts w:hint="default" w:eastAsia="宋体"/>
                      <w:color w:val="auto"/>
                      <w:u w:val="none"/>
                      <w:lang w:val="en-US" w:eastAsia="zh-CN"/>
                    </w:rPr>
                  </w:pPr>
                  <w:r>
                    <w:rPr>
                      <w:rFonts w:hint="eastAsia"/>
                      <w:color w:val="auto"/>
                      <w:u w:val="none"/>
                      <w:lang w:val="en-US" w:eastAsia="zh-CN"/>
                    </w:rPr>
                    <w:t>0.52</w:t>
                  </w:r>
                </w:p>
              </w:tc>
            </w:tr>
          </w:tbl>
          <w:p w14:paraId="6D93FE5B">
            <w:pPr>
              <w:tabs>
                <w:tab w:val="left" w:pos="3225"/>
              </w:tabs>
              <w:spacing w:line="500" w:lineRule="exact"/>
              <w:ind w:firstLine="480" w:firstLineChars="200"/>
              <w:rPr>
                <w:rFonts w:hint="default"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运输车</w:t>
            </w:r>
            <w:r>
              <w:rPr>
                <w:rFonts w:hint="eastAsia" w:cs="Times New Roman"/>
                <w:color w:val="auto"/>
                <w:sz w:val="24"/>
                <w:u w:val="none"/>
                <w:lang w:val="en-US" w:eastAsia="zh-CN"/>
              </w:rPr>
              <w:t>辆</w:t>
            </w:r>
            <w:r>
              <w:rPr>
                <w:rFonts w:hint="eastAsia" w:ascii="Times New Roman" w:hAnsi="Times New Roman" w:eastAsia="宋体" w:cs="Times New Roman"/>
                <w:color w:val="auto"/>
                <w:sz w:val="24"/>
                <w:u w:val="none"/>
                <w:lang w:val="en-US" w:eastAsia="zh-CN"/>
              </w:rPr>
              <w:t>扬尘产生量为1.53t/a，项目采取对厂区路面进行硬化处理、定期清扫及洒水降尘、控制车辆进厂速度等措施，可有效减少66%运输扬尘，则运输扬尘排放量为0.52t/a。</w:t>
            </w:r>
          </w:p>
          <w:p w14:paraId="733FB581">
            <w:pPr>
              <w:pStyle w:val="6"/>
              <w:spacing w:line="500" w:lineRule="exact"/>
              <w:ind w:firstLine="48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⑶饮食油烟</w:t>
            </w:r>
          </w:p>
          <w:p w14:paraId="426BC2BD">
            <w:pPr>
              <w:pStyle w:val="6"/>
              <w:spacing w:line="500" w:lineRule="exact"/>
              <w:ind w:firstLine="480"/>
              <w:rPr>
                <w:rFonts w:hint="eastAsia" w:ascii="Times New Roman" w:hAnsi="Times New Roman" w:eastAsia="宋体" w:cs="Times New Roman"/>
                <w:color w:val="FF0000"/>
                <w:kern w:val="0"/>
                <w:sz w:val="24"/>
                <w:lang w:val="en-US" w:eastAsia="zh-CN"/>
              </w:rPr>
            </w:pPr>
            <w:r>
              <w:rPr>
                <w:rFonts w:hint="eastAsia" w:ascii="Times New Roman" w:hAnsi="Times New Roman" w:eastAsia="宋体" w:cs="Times New Roman"/>
                <w:sz w:val="24"/>
                <w:lang w:val="en-US" w:eastAsia="zh-CN"/>
              </w:rPr>
              <w:t>现有工程</w:t>
            </w:r>
            <w:r>
              <w:rPr>
                <w:rFonts w:hint="eastAsia" w:ascii="Times New Roman" w:hAnsi="Times New Roman" w:eastAsia="宋体" w:cs="Times New Roman"/>
                <w:sz w:val="24"/>
              </w:rPr>
              <w:t>厂区设有</w:t>
            </w:r>
            <w:r>
              <w:rPr>
                <w:rFonts w:hint="eastAsia" w:ascii="Times New Roman" w:hAnsi="Times New Roman" w:eastAsia="宋体" w:cs="Times New Roman"/>
                <w:sz w:val="24"/>
                <w:lang w:val="en-US" w:eastAsia="zh-CN"/>
              </w:rPr>
              <w:t>食堂</w:t>
            </w:r>
            <w:r>
              <w:rPr>
                <w:rFonts w:hint="eastAsia" w:ascii="Times New Roman" w:hAnsi="Times New Roman" w:eastAsia="宋体" w:cs="Times New Roman"/>
                <w:sz w:val="24"/>
              </w:rPr>
              <w:t>提供就餐，</w:t>
            </w:r>
            <w:r>
              <w:rPr>
                <w:rFonts w:hint="eastAsia" w:ascii="Times New Roman" w:hAnsi="Times New Roman" w:eastAsia="宋体" w:cs="Times New Roman"/>
                <w:sz w:val="24"/>
                <w:lang w:val="en-US" w:eastAsia="zh-CN"/>
              </w:rPr>
              <w:t>就餐</w:t>
            </w:r>
            <w:r>
              <w:rPr>
                <w:rFonts w:hint="eastAsia" w:ascii="Times New Roman" w:hAnsi="Times New Roman" w:eastAsia="宋体" w:cs="Times New Roman"/>
                <w:sz w:val="24"/>
              </w:rPr>
              <w:t>人数为</w:t>
            </w:r>
            <w:r>
              <w:rPr>
                <w:rFonts w:hint="eastAsia" w:ascii="Times New Roman" w:hAnsi="Times New Roman" w:eastAsia="宋体" w:cs="Times New Roman"/>
                <w:sz w:val="24"/>
                <w:lang w:val="en-US" w:eastAsia="zh-CN"/>
              </w:rPr>
              <w:t>50</w:t>
            </w:r>
            <w:r>
              <w:rPr>
                <w:rFonts w:hint="eastAsia" w:ascii="Times New Roman" w:hAnsi="Times New Roman" w:eastAsia="宋体" w:cs="Times New Roman"/>
                <w:sz w:val="24"/>
              </w:rPr>
              <w:t>人，食用油耗油系数取经验值3kg/100人·d，则食堂消耗食用油</w:t>
            </w:r>
            <w:r>
              <w:rPr>
                <w:rFonts w:hint="eastAsia" w:ascii="Times New Roman" w:hAnsi="Times New Roman" w:eastAsia="宋体" w:cs="Times New Roman"/>
                <w:sz w:val="24"/>
                <w:lang w:val="en-US" w:eastAsia="zh-CN"/>
              </w:rPr>
              <w:t>1.5</w:t>
            </w:r>
            <w:r>
              <w:rPr>
                <w:rFonts w:hint="eastAsia" w:ascii="Times New Roman" w:hAnsi="Times New Roman" w:eastAsia="宋体" w:cs="Times New Roman"/>
                <w:sz w:val="24"/>
              </w:rPr>
              <w:t>kg</w:t>
            </w:r>
            <w:r>
              <w:rPr>
                <w:rFonts w:hint="eastAsia" w:ascii="Times New Roman" w:hAnsi="Times New Roman" w:eastAsia="宋体" w:cs="Times New Roman"/>
                <w:sz w:val="24"/>
                <w:lang w:val="en-US" w:eastAsia="zh-CN"/>
              </w:rPr>
              <w:t>/d</w:t>
            </w:r>
            <w:r>
              <w:rPr>
                <w:rFonts w:hint="eastAsia" w:ascii="Times New Roman" w:hAnsi="Times New Roman" w:eastAsia="宋体" w:cs="Times New Roman"/>
                <w:sz w:val="24"/>
              </w:rPr>
              <w:t>，消耗食用油</w:t>
            </w:r>
            <w:r>
              <w:rPr>
                <w:rFonts w:hint="eastAsia" w:ascii="Times New Roman" w:hAnsi="Times New Roman" w:eastAsia="宋体" w:cs="Times New Roman"/>
                <w:sz w:val="24"/>
                <w:lang w:val="en-US" w:eastAsia="zh-CN"/>
              </w:rPr>
              <w:t>540kg/a</w:t>
            </w:r>
            <w:r>
              <w:rPr>
                <w:rFonts w:hint="eastAsia" w:ascii="Times New Roman" w:hAnsi="Times New Roman" w:eastAsia="宋体" w:cs="Times New Roman"/>
                <w:sz w:val="24"/>
              </w:rPr>
              <w:t>，一般油烟挥发</w:t>
            </w:r>
            <w:r>
              <w:rPr>
                <w:rFonts w:hint="eastAsia" w:cs="Times New Roman"/>
                <w:sz w:val="24"/>
                <w:lang w:eastAsia="zh-CN"/>
              </w:rPr>
              <w:t>量</w:t>
            </w:r>
            <w:r>
              <w:rPr>
                <w:rFonts w:hint="eastAsia" w:ascii="Times New Roman" w:hAnsi="Times New Roman" w:eastAsia="宋体" w:cs="Times New Roman"/>
                <w:sz w:val="24"/>
              </w:rPr>
              <w:t>占耗油量的</w:t>
            </w:r>
            <w:r>
              <w:rPr>
                <w:rFonts w:hint="eastAsia" w:cs="Times New Roman"/>
                <w:sz w:val="24"/>
                <w:lang w:eastAsia="zh-CN"/>
              </w:rPr>
              <w:t>2%~4%</w:t>
            </w:r>
            <w:r>
              <w:rPr>
                <w:rFonts w:hint="eastAsia" w:ascii="Times New Roman" w:hAnsi="Times New Roman" w:eastAsia="宋体" w:cs="Times New Roman"/>
                <w:sz w:val="24"/>
              </w:rPr>
              <w:t>，平均为3%，则油烟产生量</w:t>
            </w:r>
            <w:r>
              <w:rPr>
                <w:rFonts w:hint="eastAsia" w:ascii="Times New Roman" w:hAnsi="Times New Roman" w:eastAsia="宋体" w:cs="Times New Roman"/>
                <w:sz w:val="24"/>
                <w:lang w:val="en-US" w:eastAsia="zh-CN"/>
              </w:rPr>
              <w:t>16.2</w:t>
            </w:r>
            <w:r>
              <w:rPr>
                <w:rFonts w:hint="eastAsia" w:ascii="Times New Roman" w:hAnsi="Times New Roman" w:eastAsia="宋体" w:cs="Times New Roman"/>
                <w:sz w:val="24"/>
              </w:rPr>
              <w:t>kg</w:t>
            </w:r>
            <w:r>
              <w:rPr>
                <w:rFonts w:hint="eastAsia" w:ascii="Times New Roman" w:hAnsi="Times New Roman" w:eastAsia="宋体" w:cs="Times New Roman"/>
                <w:sz w:val="24"/>
                <w:lang w:val="en-US" w:eastAsia="zh-CN"/>
              </w:rPr>
              <w:t>/a</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食堂</w:t>
            </w:r>
            <w:r>
              <w:rPr>
                <w:rFonts w:hint="eastAsia" w:ascii="Times New Roman" w:hAnsi="Times New Roman" w:eastAsia="宋体" w:cs="Times New Roman"/>
                <w:sz w:val="24"/>
              </w:rPr>
              <w:t>油烟通过一套油烟净化器处理，厨房内油烟净化器的排风量</w:t>
            </w:r>
            <w:r>
              <w:rPr>
                <w:rFonts w:hint="eastAsia" w:ascii="Times New Roman" w:hAnsi="Times New Roman" w:eastAsia="宋体" w:cs="Times New Roman"/>
                <w:sz w:val="24"/>
                <w:lang w:val="en-US" w:eastAsia="zh-CN"/>
              </w:rPr>
              <w:t>为2</w:t>
            </w:r>
            <w:r>
              <w:rPr>
                <w:rFonts w:hint="eastAsia" w:ascii="Times New Roman" w:hAnsi="Times New Roman" w:eastAsia="宋体" w:cs="Times New Roman"/>
                <w:sz w:val="24"/>
              </w:rPr>
              <w:t>000m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/h，食堂共设一个灶头，食堂每日使用时间约</w:t>
            </w:r>
            <w:r>
              <w:rPr>
                <w:rFonts w:hint="eastAsia" w:ascii="Times New Roman" w:hAnsi="Times New Roman" w:eastAsia="宋体" w:cs="Times New Roman"/>
                <w:sz w:val="24"/>
                <w:lang w:val="en-US" w:eastAsia="zh-CN"/>
              </w:rPr>
              <w:t>5</w:t>
            </w:r>
            <w:r>
              <w:rPr>
                <w:rFonts w:hint="eastAsia" w:ascii="Times New Roman" w:hAnsi="Times New Roman" w:eastAsia="宋体" w:cs="Times New Roman"/>
                <w:sz w:val="24"/>
              </w:rPr>
              <w:t>h，油烟净化器对油烟的处理效率为</w:t>
            </w:r>
            <w:r>
              <w:rPr>
                <w:rFonts w:hint="eastAsia" w:ascii="Times New Roman" w:hAnsi="Times New Roman" w:eastAsia="宋体" w:cs="Times New Roman"/>
                <w:sz w:val="24"/>
                <w:lang w:val="en-US" w:eastAsia="zh-CN"/>
              </w:rPr>
              <w:t>60</w:t>
            </w:r>
            <w:r>
              <w:rPr>
                <w:rFonts w:hint="eastAsia" w:ascii="Times New Roman" w:hAnsi="Times New Roman" w:eastAsia="宋体" w:cs="Times New Roman"/>
                <w:sz w:val="24"/>
              </w:rPr>
              <w:t>%，则油烟的排放量为</w:t>
            </w:r>
            <w:r>
              <w:rPr>
                <w:rFonts w:hint="eastAsia" w:ascii="Times New Roman" w:hAnsi="Times New Roman" w:eastAsia="宋体" w:cs="Times New Roman"/>
                <w:sz w:val="24"/>
                <w:lang w:val="en-US" w:eastAsia="zh-CN"/>
              </w:rPr>
              <w:t>6.</w:t>
            </w:r>
            <w:r>
              <w:rPr>
                <w:rFonts w:hint="eastAsia" w:ascii="Times New Roman" w:hAnsi="Times New Roman" w:eastAsia="宋体" w:cs="Times New Roman"/>
                <w:color w:val="auto"/>
                <w:sz w:val="24"/>
                <w:lang w:val="en-US" w:eastAsia="zh-CN"/>
              </w:rPr>
              <w:t>48</w:t>
            </w:r>
            <w:r>
              <w:rPr>
                <w:rFonts w:hint="eastAsia" w:ascii="Times New Roman" w:hAnsi="Times New Roman" w:eastAsia="宋体" w:cs="Times New Roman"/>
                <w:color w:val="auto"/>
                <w:sz w:val="24"/>
              </w:rPr>
              <w:t>kg/a。则油烟废气</w:t>
            </w:r>
            <w:r>
              <w:rPr>
                <w:rFonts w:hint="eastAsia" w:ascii="Times New Roman" w:hAnsi="Times New Roman" w:eastAsia="宋体" w:cs="Times New Roman"/>
                <w:color w:val="auto"/>
                <w:sz w:val="24"/>
                <w:lang w:val="en-US" w:eastAsia="zh-CN"/>
              </w:rPr>
              <w:t>排放</w:t>
            </w:r>
            <w:r>
              <w:rPr>
                <w:rFonts w:hint="eastAsia" w:ascii="Times New Roman" w:hAnsi="Times New Roman" w:eastAsia="宋体" w:cs="Times New Roman"/>
                <w:color w:val="auto"/>
                <w:sz w:val="24"/>
              </w:rPr>
              <w:t>浓度约为</w:t>
            </w:r>
            <w:r>
              <w:rPr>
                <w:rFonts w:hint="eastAsia" w:ascii="Times New Roman" w:hAnsi="Times New Roman" w:eastAsia="宋体" w:cs="Times New Roman"/>
                <w:color w:val="auto"/>
                <w:sz w:val="24"/>
                <w:lang w:val="en-US" w:eastAsia="zh-CN"/>
              </w:rPr>
              <w:t>1.8</w:t>
            </w:r>
            <w:r>
              <w:rPr>
                <w:rFonts w:hint="eastAsia" w:ascii="Times New Roman" w:hAnsi="Times New Roman" w:eastAsia="宋体" w:cs="Times New Roman"/>
                <w:color w:val="auto"/>
                <w:sz w:val="24"/>
              </w:rPr>
              <w:t>mg/m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。厨房油烟废气经过</w:t>
            </w:r>
            <w:r>
              <w:rPr>
                <w:rFonts w:hint="eastAsia" w:ascii="Times New Roman" w:hAnsi="Times New Roman" w:eastAsia="宋体" w:cs="Times New Roman"/>
                <w:color w:val="auto"/>
                <w:sz w:val="24"/>
                <w:lang w:val="en-US" w:eastAsia="zh-CN"/>
              </w:rPr>
              <w:t>专用</w:t>
            </w:r>
            <w:r>
              <w:rPr>
                <w:rFonts w:hint="eastAsia" w:ascii="Times New Roman" w:hAnsi="Times New Roman" w:eastAsia="宋体" w:cs="Times New Roman"/>
                <w:color w:val="auto"/>
                <w:sz w:val="24"/>
              </w:rPr>
              <w:t>管道引至</w:t>
            </w:r>
            <w:r>
              <w:rPr>
                <w:rFonts w:hint="eastAsia" w:ascii="Times New Roman" w:hAnsi="Times New Roman" w:eastAsia="宋体" w:cs="Times New Roman"/>
                <w:color w:val="auto"/>
                <w:sz w:val="24"/>
                <w:lang w:val="en-US" w:eastAsia="zh-CN"/>
              </w:rPr>
              <w:t>楼顶</w:t>
            </w:r>
            <w:r>
              <w:rPr>
                <w:rFonts w:hint="eastAsia" w:ascii="Times New Roman" w:hAnsi="Times New Roman" w:eastAsia="宋体" w:cs="Times New Roman"/>
                <w:color w:val="auto"/>
                <w:sz w:val="24"/>
              </w:rPr>
              <w:t>排放，可以达到《饮食业油烟排放标准（试行）》（GB18483-2001）中油烟的最高允许排放浓度2.0mg/m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的标准限值要求。</w:t>
            </w:r>
          </w:p>
          <w:p w14:paraId="431AA591">
            <w:pPr>
              <w:pStyle w:val="6"/>
              <w:spacing w:line="500" w:lineRule="exact"/>
              <w:ind w:firstLine="48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⑷矿石加工废气</w:t>
            </w:r>
          </w:p>
          <w:p w14:paraId="4D46D5BC">
            <w:pPr>
              <w:pStyle w:val="6"/>
              <w:spacing w:line="500" w:lineRule="exact"/>
              <w:ind w:firstLine="48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参照《排放源统计调查产排污核算方法和系数手册》中的《3099 其他非金属矿物制品制造行业系数手册》石灰石破碎颗粒物产生系数为1.13kg/t产品，袋式除尘对颗粒物的</w:t>
            </w:r>
            <w:r>
              <w:rPr>
                <w:rFonts w:hint="eastAsia" w:cs="Times New Roman"/>
                <w:color w:val="auto"/>
                <w:kern w:val="0"/>
                <w:sz w:val="24"/>
                <w:lang w:val="en-US" w:eastAsia="zh-CN"/>
              </w:rPr>
              <w:t>去除效率</w:t>
            </w:r>
            <w:r>
              <w:rPr>
                <w:rFonts w:hint="eastAsia" w:ascii="Times New Roman" w:hAnsi="Times New Roman" w:eastAsia="宋体" w:cs="Times New Roman"/>
                <w:color w:val="auto"/>
                <w:kern w:val="0"/>
                <w:sz w:val="24"/>
                <w:lang w:val="en-US" w:eastAsia="zh-CN"/>
              </w:rPr>
              <w:t>为99%，项目破碎100万t/a矿石，则矿石加工颗粒物产生量为1130t/a，经脉冲布袋除尘器处理后仓库内排放，颗粒物排放量为11.3t/a。</w:t>
            </w:r>
          </w:p>
          <w:p w14:paraId="5F16F3BE">
            <w:pPr>
              <w:pStyle w:val="6"/>
              <w:spacing w:line="500" w:lineRule="exact"/>
              <w:ind w:firstLine="48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建设单位未对现有工程做废气例行监测，根据现有工程竣工环保验收监测，验收</w:t>
            </w:r>
            <w:r>
              <w:rPr>
                <w:rFonts w:hint="eastAsia" w:cs="Times New Roman"/>
                <w:color w:val="auto"/>
                <w:kern w:val="0"/>
                <w:sz w:val="24"/>
                <w:lang w:val="en-US" w:eastAsia="zh-CN"/>
              </w:rPr>
              <w:t>检测期间</w:t>
            </w:r>
            <w:r>
              <w:rPr>
                <w:rFonts w:hint="eastAsia" w:ascii="Times New Roman" w:hAnsi="Times New Roman" w:eastAsia="宋体" w:cs="Times New Roman"/>
                <w:color w:val="auto"/>
                <w:kern w:val="0"/>
                <w:sz w:val="24"/>
                <w:lang w:val="en-US" w:eastAsia="zh-CN"/>
              </w:rPr>
              <w:t>，现有工程厂区无组织废气监测结果见表2-1</w:t>
            </w:r>
            <w:r>
              <w:rPr>
                <w:rFonts w:hint="eastAsia" w:cs="Times New Roman"/>
                <w:color w:val="auto"/>
                <w:kern w:val="0"/>
                <w:sz w:val="24"/>
                <w:lang w:val="en-US" w:eastAsia="zh-CN"/>
              </w:rPr>
              <w:t>6</w:t>
            </w:r>
            <w:r>
              <w:rPr>
                <w:rFonts w:hint="eastAsia" w:ascii="Times New Roman" w:hAnsi="Times New Roman" w:eastAsia="宋体" w:cs="Times New Roman"/>
                <w:color w:val="auto"/>
                <w:kern w:val="0"/>
                <w:sz w:val="24"/>
                <w:lang w:val="en-US" w:eastAsia="zh-CN"/>
              </w:rPr>
              <w:t>。</w:t>
            </w:r>
          </w:p>
          <w:p w14:paraId="3EC8A782">
            <w:pPr>
              <w:pStyle w:val="6"/>
              <w:spacing w:line="500" w:lineRule="exact"/>
              <w:ind w:firstLine="482"/>
              <w:jc w:val="center"/>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表2-1</w:t>
            </w:r>
            <w:r>
              <w:rPr>
                <w:rFonts w:hint="eastAsia" w:cs="Times New Roman"/>
                <w:b/>
                <w:bCs/>
                <w:color w:val="auto"/>
                <w:kern w:val="0"/>
                <w:sz w:val="24"/>
                <w:lang w:val="en-US" w:eastAsia="zh-CN"/>
              </w:rPr>
              <w:t>6</w:t>
            </w:r>
            <w:r>
              <w:rPr>
                <w:rFonts w:hint="eastAsia" w:ascii="Times New Roman" w:hAnsi="Times New Roman" w:eastAsia="宋体" w:cs="Times New Roman"/>
                <w:b/>
                <w:bCs/>
                <w:color w:val="auto"/>
                <w:kern w:val="0"/>
                <w:sz w:val="24"/>
                <w:lang w:val="en-US" w:eastAsia="zh-CN"/>
              </w:rPr>
              <w:t xml:space="preserve"> 无组织废气监测结果</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1607"/>
              <w:gridCol w:w="1137"/>
              <w:gridCol w:w="1200"/>
              <w:gridCol w:w="1257"/>
              <w:gridCol w:w="964"/>
              <w:gridCol w:w="901"/>
            </w:tblGrid>
            <w:tr w14:paraId="349E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9" w:type="pct"/>
                  <w:vMerge w:val="restart"/>
                  <w:noWrap w:val="0"/>
                  <w:vAlign w:val="center"/>
                </w:tcPr>
                <w:p w14:paraId="473B3F71">
                  <w:pPr>
                    <w:pStyle w:val="7"/>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监测</w:t>
                  </w:r>
                </w:p>
                <w:p w14:paraId="6A62DDD9">
                  <w:pPr>
                    <w:pStyle w:val="7"/>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日期</w:t>
                  </w:r>
                </w:p>
              </w:tc>
              <w:tc>
                <w:tcPr>
                  <w:tcW w:w="955" w:type="pct"/>
                  <w:vMerge w:val="restart"/>
                  <w:noWrap w:val="0"/>
                  <w:vAlign w:val="center"/>
                </w:tcPr>
                <w:p w14:paraId="38824CD6">
                  <w:pPr>
                    <w:pStyle w:val="7"/>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监测</w:t>
                  </w:r>
                </w:p>
                <w:p w14:paraId="45490BDB">
                  <w:pPr>
                    <w:pStyle w:val="7"/>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点位</w:t>
                  </w:r>
                </w:p>
              </w:tc>
              <w:tc>
                <w:tcPr>
                  <w:tcW w:w="676" w:type="pct"/>
                  <w:vMerge w:val="restart"/>
                  <w:noWrap w:val="0"/>
                  <w:vAlign w:val="center"/>
                </w:tcPr>
                <w:p w14:paraId="4562A186">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监测因子</w:t>
                  </w:r>
                </w:p>
              </w:tc>
              <w:tc>
                <w:tcPr>
                  <w:tcW w:w="2033" w:type="pct"/>
                  <w:gridSpan w:val="3"/>
                  <w:noWrap w:val="0"/>
                  <w:vAlign w:val="center"/>
                </w:tcPr>
                <w:p w14:paraId="03273A79">
                  <w:pPr>
                    <w:pStyle w:val="7"/>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监测结果</w:t>
                  </w:r>
                </w:p>
              </w:tc>
              <w:tc>
                <w:tcPr>
                  <w:tcW w:w="535" w:type="pct"/>
                  <w:vMerge w:val="restart"/>
                  <w:noWrap w:val="0"/>
                  <w:vAlign w:val="center"/>
                </w:tcPr>
                <w:p w14:paraId="6D1F1E48">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标准限值</w:t>
                  </w:r>
                </w:p>
              </w:tc>
            </w:tr>
            <w:tr w14:paraId="4952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9" w:type="pct"/>
                  <w:vMerge w:val="continue"/>
                  <w:tcBorders>
                    <w:bottom w:val="single" w:color="auto" w:sz="4" w:space="0"/>
                  </w:tcBorders>
                  <w:noWrap w:val="0"/>
                  <w:vAlign w:val="center"/>
                </w:tcPr>
                <w:p w14:paraId="1C92E552">
                  <w:pPr>
                    <w:pStyle w:val="7"/>
                    <w:jc w:val="center"/>
                    <w:rPr>
                      <w:rFonts w:hint="eastAsia" w:ascii="Times New Roman" w:hAnsi="Times New Roman" w:eastAsia="宋体" w:cs="Times New Roman"/>
                      <w:color w:val="auto"/>
                      <w:kern w:val="0"/>
                      <w:sz w:val="21"/>
                      <w:szCs w:val="21"/>
                      <w:u w:val="none"/>
                      <w:lang w:val="en-US" w:eastAsia="zh-CN"/>
                    </w:rPr>
                  </w:pPr>
                </w:p>
              </w:tc>
              <w:tc>
                <w:tcPr>
                  <w:tcW w:w="955" w:type="pct"/>
                  <w:vMerge w:val="continue"/>
                  <w:tcBorders>
                    <w:bottom w:val="single" w:color="auto" w:sz="4" w:space="0"/>
                  </w:tcBorders>
                  <w:noWrap w:val="0"/>
                  <w:vAlign w:val="center"/>
                </w:tcPr>
                <w:p w14:paraId="71BAEAC4">
                  <w:pPr>
                    <w:pStyle w:val="7"/>
                    <w:jc w:val="center"/>
                    <w:rPr>
                      <w:rFonts w:hint="eastAsia" w:ascii="Times New Roman" w:hAnsi="Times New Roman" w:eastAsia="宋体" w:cs="Times New Roman"/>
                      <w:color w:val="auto"/>
                      <w:kern w:val="0"/>
                      <w:sz w:val="21"/>
                      <w:szCs w:val="21"/>
                      <w:u w:val="none"/>
                      <w:lang w:val="en-US" w:eastAsia="zh-CN"/>
                    </w:rPr>
                  </w:pPr>
                </w:p>
              </w:tc>
              <w:tc>
                <w:tcPr>
                  <w:tcW w:w="676" w:type="pct"/>
                  <w:vMerge w:val="continue"/>
                  <w:tcBorders>
                    <w:bottom w:val="single" w:color="auto" w:sz="4" w:space="0"/>
                  </w:tcBorders>
                  <w:noWrap w:val="0"/>
                  <w:vAlign w:val="center"/>
                </w:tcPr>
                <w:p w14:paraId="3D901302">
                  <w:pPr>
                    <w:pStyle w:val="7"/>
                    <w:jc w:val="center"/>
                    <w:rPr>
                      <w:rFonts w:hint="eastAsia" w:ascii="Times New Roman" w:hAnsi="Times New Roman" w:eastAsia="宋体" w:cs="Times New Roman"/>
                      <w:color w:val="auto"/>
                      <w:kern w:val="0"/>
                      <w:sz w:val="21"/>
                      <w:szCs w:val="21"/>
                      <w:u w:val="none"/>
                      <w:lang w:val="en-US" w:eastAsia="zh-CN"/>
                    </w:rPr>
                  </w:pPr>
                </w:p>
              </w:tc>
              <w:tc>
                <w:tcPr>
                  <w:tcW w:w="713" w:type="pct"/>
                  <w:tcBorders>
                    <w:bottom w:val="single" w:color="auto" w:sz="4" w:space="0"/>
                  </w:tcBorders>
                  <w:noWrap w:val="0"/>
                  <w:vAlign w:val="center"/>
                </w:tcPr>
                <w:p w14:paraId="2080C61E">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第一次</w:t>
                  </w:r>
                </w:p>
              </w:tc>
              <w:tc>
                <w:tcPr>
                  <w:tcW w:w="747" w:type="pct"/>
                  <w:tcBorders>
                    <w:bottom w:val="single" w:color="auto" w:sz="4" w:space="0"/>
                  </w:tcBorders>
                  <w:noWrap w:val="0"/>
                  <w:vAlign w:val="center"/>
                </w:tcPr>
                <w:p w14:paraId="5B73B639">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第二次</w:t>
                  </w:r>
                </w:p>
              </w:tc>
              <w:tc>
                <w:tcPr>
                  <w:tcW w:w="573" w:type="pct"/>
                  <w:noWrap w:val="0"/>
                  <w:vAlign w:val="center"/>
                </w:tcPr>
                <w:p w14:paraId="2DCE2D9F">
                  <w:pPr>
                    <w:pStyle w:val="7"/>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第三次</w:t>
                  </w:r>
                </w:p>
              </w:tc>
              <w:tc>
                <w:tcPr>
                  <w:tcW w:w="535" w:type="pct"/>
                  <w:vMerge w:val="continue"/>
                  <w:noWrap w:val="0"/>
                  <w:vAlign w:val="center"/>
                </w:tcPr>
                <w:p w14:paraId="576B19F5">
                  <w:pPr>
                    <w:pStyle w:val="7"/>
                    <w:jc w:val="center"/>
                    <w:rPr>
                      <w:rFonts w:hint="eastAsia" w:ascii="Times New Roman" w:hAnsi="Times New Roman" w:eastAsia="宋体" w:cs="Times New Roman"/>
                      <w:color w:val="auto"/>
                      <w:kern w:val="0"/>
                      <w:sz w:val="21"/>
                      <w:szCs w:val="21"/>
                      <w:u w:val="none"/>
                      <w:lang w:val="en-US" w:eastAsia="zh-CN"/>
                    </w:rPr>
                  </w:pPr>
                </w:p>
              </w:tc>
            </w:tr>
            <w:tr w14:paraId="041C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9" w:type="pct"/>
                  <w:vMerge w:val="restart"/>
                  <w:noWrap w:val="0"/>
                  <w:vAlign w:val="center"/>
                </w:tcPr>
                <w:p w14:paraId="082CD70A">
                  <w:pPr>
                    <w:pStyle w:val="7"/>
                    <w:jc w:val="center"/>
                    <w:rPr>
                      <w:rFonts w:hint="default" w:ascii="Times New Roman" w:hAnsi="Times New Roman" w:eastAsia="宋体" w:cs="Times New Roman"/>
                      <w:color w:val="auto"/>
                      <w:kern w:val="0"/>
                      <w:sz w:val="21"/>
                      <w:szCs w:val="21"/>
                      <w:u w:val="none"/>
                      <w:lang w:val="en-US" w:eastAsia="zh-CN"/>
                    </w:rPr>
                  </w:pPr>
                  <w:bookmarkStart w:id="13" w:name="OLE_LINK7" w:colFirst="3" w:colLast="3"/>
                  <w:bookmarkStart w:id="14" w:name="OLE_LINK5" w:colFirst="4" w:colLast="4"/>
                  <w:r>
                    <w:rPr>
                      <w:rFonts w:hint="eastAsia" w:ascii="Times New Roman" w:hAnsi="Times New Roman" w:eastAsia="宋体" w:cs="Times New Roman"/>
                      <w:color w:val="auto"/>
                      <w:kern w:val="0"/>
                      <w:sz w:val="21"/>
                      <w:szCs w:val="21"/>
                      <w:u w:val="none"/>
                      <w:lang w:val="en-US" w:eastAsia="zh-CN"/>
                    </w:rPr>
                    <w:t>2018.12.03</w:t>
                  </w:r>
                </w:p>
              </w:tc>
              <w:tc>
                <w:tcPr>
                  <w:tcW w:w="955" w:type="pct"/>
                  <w:noWrap w:val="0"/>
                  <w:vAlign w:val="center"/>
                </w:tcPr>
                <w:p w14:paraId="19AB1513">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1#厂区上风向</w:t>
                  </w:r>
                </w:p>
              </w:tc>
              <w:tc>
                <w:tcPr>
                  <w:tcW w:w="676" w:type="pct"/>
                  <w:noWrap w:val="0"/>
                  <w:vAlign w:val="center"/>
                </w:tcPr>
                <w:p w14:paraId="7C7BD974">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颗粒物</w:t>
                  </w:r>
                </w:p>
              </w:tc>
              <w:tc>
                <w:tcPr>
                  <w:tcW w:w="713" w:type="pct"/>
                  <w:noWrap w:val="0"/>
                  <w:vAlign w:val="center"/>
                </w:tcPr>
                <w:p w14:paraId="19320D07">
                  <w:pPr>
                    <w:pStyle w:val="7"/>
                    <w:jc w:val="center"/>
                    <w:rPr>
                      <w:rFonts w:hint="default" w:ascii="Times New Roman" w:hAnsi="Times New Roman" w:eastAsia="宋体" w:cs="Times New Roman"/>
                      <w:color w:val="auto"/>
                      <w:kern w:val="0"/>
                      <w:sz w:val="21"/>
                      <w:szCs w:val="21"/>
                      <w:u w:val="none"/>
                      <w:lang w:val="en-US" w:eastAsia="zh-CN"/>
                    </w:rPr>
                  </w:pPr>
                </w:p>
              </w:tc>
              <w:tc>
                <w:tcPr>
                  <w:tcW w:w="747" w:type="pct"/>
                  <w:noWrap w:val="0"/>
                  <w:vAlign w:val="center"/>
                </w:tcPr>
                <w:p w14:paraId="340D2E30">
                  <w:pPr>
                    <w:pStyle w:val="7"/>
                    <w:jc w:val="center"/>
                    <w:rPr>
                      <w:rFonts w:hint="default" w:ascii="Times New Roman" w:hAnsi="Times New Roman" w:eastAsia="宋体" w:cs="Times New Roman"/>
                      <w:color w:val="auto"/>
                      <w:kern w:val="0"/>
                      <w:sz w:val="21"/>
                      <w:szCs w:val="21"/>
                      <w:u w:val="none"/>
                      <w:lang w:val="en-US" w:eastAsia="zh-CN"/>
                    </w:rPr>
                  </w:pPr>
                </w:p>
              </w:tc>
              <w:tc>
                <w:tcPr>
                  <w:tcW w:w="573" w:type="pct"/>
                  <w:noWrap w:val="0"/>
                  <w:vAlign w:val="center"/>
                </w:tcPr>
                <w:p w14:paraId="6141CF55">
                  <w:pPr>
                    <w:pStyle w:val="7"/>
                    <w:jc w:val="center"/>
                    <w:rPr>
                      <w:rFonts w:hint="default" w:ascii="Times New Roman" w:hAnsi="Times New Roman" w:eastAsia="宋体" w:cs="Times New Roman"/>
                      <w:color w:val="auto"/>
                      <w:kern w:val="0"/>
                      <w:sz w:val="21"/>
                      <w:szCs w:val="21"/>
                      <w:u w:val="none"/>
                      <w:lang w:val="en-US" w:eastAsia="zh-CN"/>
                    </w:rPr>
                  </w:pPr>
                </w:p>
              </w:tc>
              <w:tc>
                <w:tcPr>
                  <w:tcW w:w="535" w:type="pct"/>
                  <w:noWrap w:val="0"/>
                  <w:vAlign w:val="center"/>
                </w:tcPr>
                <w:p w14:paraId="4FE8A80B">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1.0</w:t>
                  </w:r>
                </w:p>
              </w:tc>
            </w:tr>
            <w:tr w14:paraId="6DF1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9" w:type="pct"/>
                  <w:vMerge w:val="continue"/>
                  <w:noWrap w:val="0"/>
                  <w:vAlign w:val="center"/>
                </w:tcPr>
                <w:p w14:paraId="2172F80D">
                  <w:pPr>
                    <w:pStyle w:val="7"/>
                    <w:jc w:val="center"/>
                    <w:rPr>
                      <w:rFonts w:hint="default" w:ascii="Times New Roman" w:hAnsi="Times New Roman" w:eastAsia="宋体" w:cs="Times New Roman"/>
                      <w:color w:val="auto"/>
                      <w:kern w:val="0"/>
                      <w:sz w:val="21"/>
                      <w:szCs w:val="21"/>
                      <w:u w:val="none"/>
                      <w:lang w:val="en-US" w:eastAsia="zh-CN"/>
                    </w:rPr>
                  </w:pPr>
                </w:p>
              </w:tc>
              <w:tc>
                <w:tcPr>
                  <w:tcW w:w="955" w:type="pct"/>
                  <w:noWrap w:val="0"/>
                  <w:vAlign w:val="center"/>
                </w:tcPr>
                <w:p w14:paraId="6089AF57">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2#厂区下风向</w:t>
                  </w:r>
                </w:p>
              </w:tc>
              <w:tc>
                <w:tcPr>
                  <w:tcW w:w="676" w:type="pct"/>
                  <w:noWrap w:val="0"/>
                  <w:vAlign w:val="center"/>
                </w:tcPr>
                <w:p w14:paraId="0F509E3E">
                  <w:pPr>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颗粒物</w:t>
                  </w:r>
                </w:p>
              </w:tc>
              <w:tc>
                <w:tcPr>
                  <w:tcW w:w="713" w:type="pct"/>
                  <w:noWrap w:val="0"/>
                  <w:vAlign w:val="center"/>
                </w:tcPr>
                <w:p w14:paraId="766491AA">
                  <w:pPr>
                    <w:pStyle w:val="7"/>
                    <w:jc w:val="center"/>
                    <w:rPr>
                      <w:rFonts w:hint="default" w:ascii="Times New Roman" w:hAnsi="Times New Roman" w:eastAsia="宋体" w:cs="Times New Roman"/>
                      <w:color w:val="auto"/>
                      <w:kern w:val="0"/>
                      <w:sz w:val="21"/>
                      <w:szCs w:val="21"/>
                      <w:u w:val="none"/>
                      <w:lang w:val="en-US" w:eastAsia="zh-CN"/>
                    </w:rPr>
                  </w:pPr>
                </w:p>
              </w:tc>
              <w:tc>
                <w:tcPr>
                  <w:tcW w:w="747" w:type="pct"/>
                  <w:noWrap w:val="0"/>
                  <w:vAlign w:val="center"/>
                </w:tcPr>
                <w:p w14:paraId="09C0AC46">
                  <w:pPr>
                    <w:pStyle w:val="7"/>
                    <w:jc w:val="center"/>
                    <w:rPr>
                      <w:rFonts w:hint="default" w:ascii="Times New Roman" w:hAnsi="Times New Roman" w:eastAsia="宋体" w:cs="Times New Roman"/>
                      <w:color w:val="auto"/>
                      <w:kern w:val="0"/>
                      <w:sz w:val="21"/>
                      <w:szCs w:val="21"/>
                      <w:u w:val="none"/>
                      <w:lang w:val="en-US" w:eastAsia="zh-CN"/>
                    </w:rPr>
                  </w:pPr>
                </w:p>
              </w:tc>
              <w:tc>
                <w:tcPr>
                  <w:tcW w:w="573" w:type="pct"/>
                  <w:noWrap w:val="0"/>
                  <w:vAlign w:val="center"/>
                </w:tcPr>
                <w:p w14:paraId="283DB09C">
                  <w:pPr>
                    <w:pStyle w:val="7"/>
                    <w:jc w:val="center"/>
                    <w:rPr>
                      <w:rFonts w:hint="default" w:ascii="Times New Roman" w:hAnsi="Times New Roman" w:eastAsia="宋体" w:cs="Times New Roman"/>
                      <w:color w:val="auto"/>
                      <w:kern w:val="0"/>
                      <w:sz w:val="21"/>
                      <w:szCs w:val="21"/>
                      <w:u w:val="none"/>
                      <w:lang w:val="en-US" w:eastAsia="zh-CN"/>
                    </w:rPr>
                  </w:pPr>
                </w:p>
              </w:tc>
              <w:tc>
                <w:tcPr>
                  <w:tcW w:w="535" w:type="pct"/>
                  <w:noWrap w:val="0"/>
                  <w:vAlign w:val="center"/>
                </w:tcPr>
                <w:p w14:paraId="229A427E">
                  <w:pPr>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1.0</w:t>
                  </w:r>
                </w:p>
              </w:tc>
            </w:tr>
            <w:tr w14:paraId="76E9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9" w:type="pct"/>
                  <w:vMerge w:val="continue"/>
                  <w:noWrap w:val="0"/>
                  <w:vAlign w:val="center"/>
                </w:tcPr>
                <w:p w14:paraId="71C7F7F9">
                  <w:pPr>
                    <w:pStyle w:val="7"/>
                    <w:jc w:val="center"/>
                    <w:rPr>
                      <w:rFonts w:hint="default" w:ascii="Times New Roman" w:hAnsi="Times New Roman" w:eastAsia="宋体" w:cs="Times New Roman"/>
                      <w:color w:val="auto"/>
                      <w:kern w:val="0"/>
                      <w:sz w:val="21"/>
                      <w:szCs w:val="21"/>
                      <w:u w:val="none"/>
                      <w:lang w:val="en-US" w:eastAsia="zh-CN"/>
                    </w:rPr>
                  </w:pPr>
                </w:p>
              </w:tc>
              <w:tc>
                <w:tcPr>
                  <w:tcW w:w="955" w:type="pct"/>
                  <w:noWrap w:val="0"/>
                  <w:vAlign w:val="center"/>
                </w:tcPr>
                <w:p w14:paraId="7E804954">
                  <w:pPr>
                    <w:pStyle w:val="7"/>
                    <w:jc w:val="center"/>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3#</w:t>
                  </w:r>
                  <w:r>
                    <w:rPr>
                      <w:rFonts w:hint="eastAsia" w:ascii="Times New Roman" w:hAnsi="Times New Roman" w:eastAsia="宋体" w:cs="Times New Roman"/>
                      <w:color w:val="auto"/>
                      <w:kern w:val="0"/>
                      <w:sz w:val="21"/>
                      <w:szCs w:val="21"/>
                      <w:u w:val="none"/>
                      <w:lang w:val="en-US" w:eastAsia="zh-CN"/>
                    </w:rPr>
                    <w:t>厂区下风向</w:t>
                  </w:r>
                </w:p>
              </w:tc>
              <w:tc>
                <w:tcPr>
                  <w:tcW w:w="676" w:type="pct"/>
                  <w:noWrap w:val="0"/>
                  <w:vAlign w:val="center"/>
                </w:tcPr>
                <w:p w14:paraId="2D6BA528">
                  <w:pPr>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颗粒物</w:t>
                  </w:r>
                </w:p>
              </w:tc>
              <w:tc>
                <w:tcPr>
                  <w:tcW w:w="713" w:type="pct"/>
                  <w:noWrap w:val="0"/>
                  <w:vAlign w:val="center"/>
                </w:tcPr>
                <w:p w14:paraId="70BEFCCF">
                  <w:pPr>
                    <w:pStyle w:val="7"/>
                    <w:jc w:val="center"/>
                    <w:rPr>
                      <w:rFonts w:hint="default" w:ascii="Times New Roman" w:hAnsi="Times New Roman" w:eastAsia="宋体" w:cs="Times New Roman"/>
                      <w:color w:val="auto"/>
                      <w:kern w:val="0"/>
                      <w:sz w:val="21"/>
                      <w:szCs w:val="21"/>
                      <w:u w:val="none"/>
                      <w:lang w:val="en-US" w:eastAsia="zh-CN"/>
                    </w:rPr>
                  </w:pPr>
                </w:p>
              </w:tc>
              <w:tc>
                <w:tcPr>
                  <w:tcW w:w="747" w:type="pct"/>
                  <w:noWrap w:val="0"/>
                  <w:vAlign w:val="center"/>
                </w:tcPr>
                <w:p w14:paraId="3628A95A">
                  <w:pPr>
                    <w:pStyle w:val="7"/>
                    <w:jc w:val="center"/>
                    <w:rPr>
                      <w:rFonts w:hint="default" w:ascii="Times New Roman" w:hAnsi="Times New Roman" w:eastAsia="宋体" w:cs="Times New Roman"/>
                      <w:color w:val="auto"/>
                      <w:kern w:val="0"/>
                      <w:sz w:val="21"/>
                      <w:szCs w:val="21"/>
                      <w:u w:val="none"/>
                      <w:lang w:val="en-US" w:eastAsia="zh-CN"/>
                    </w:rPr>
                  </w:pPr>
                </w:p>
              </w:tc>
              <w:tc>
                <w:tcPr>
                  <w:tcW w:w="573" w:type="pct"/>
                  <w:noWrap w:val="0"/>
                  <w:vAlign w:val="center"/>
                </w:tcPr>
                <w:p w14:paraId="0177FD56">
                  <w:pPr>
                    <w:pStyle w:val="7"/>
                    <w:jc w:val="center"/>
                    <w:rPr>
                      <w:rFonts w:hint="default" w:ascii="Times New Roman" w:hAnsi="Times New Roman" w:eastAsia="宋体" w:cs="Times New Roman"/>
                      <w:color w:val="auto"/>
                      <w:kern w:val="0"/>
                      <w:sz w:val="21"/>
                      <w:szCs w:val="21"/>
                      <w:u w:val="none"/>
                      <w:lang w:val="en-US" w:eastAsia="zh-CN"/>
                    </w:rPr>
                  </w:pPr>
                </w:p>
              </w:tc>
              <w:tc>
                <w:tcPr>
                  <w:tcW w:w="535" w:type="pct"/>
                  <w:noWrap w:val="0"/>
                  <w:vAlign w:val="center"/>
                </w:tcPr>
                <w:p w14:paraId="14D4C5FC">
                  <w:pPr>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1.0</w:t>
                  </w:r>
                </w:p>
              </w:tc>
            </w:tr>
            <w:tr w14:paraId="4522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9" w:type="pct"/>
                  <w:vMerge w:val="continue"/>
                  <w:noWrap w:val="0"/>
                  <w:vAlign w:val="center"/>
                </w:tcPr>
                <w:p w14:paraId="6D82947A">
                  <w:pPr>
                    <w:pStyle w:val="7"/>
                    <w:jc w:val="center"/>
                    <w:rPr>
                      <w:rFonts w:hint="eastAsia" w:ascii="Times New Roman" w:hAnsi="Times New Roman" w:eastAsia="宋体" w:cs="Times New Roman"/>
                      <w:color w:val="auto"/>
                      <w:kern w:val="0"/>
                      <w:sz w:val="21"/>
                      <w:szCs w:val="21"/>
                      <w:u w:val="none"/>
                      <w:lang w:val="en-US" w:eastAsia="zh-CN"/>
                    </w:rPr>
                  </w:pPr>
                </w:p>
              </w:tc>
              <w:tc>
                <w:tcPr>
                  <w:tcW w:w="955" w:type="pct"/>
                  <w:noWrap w:val="0"/>
                  <w:vAlign w:val="center"/>
                </w:tcPr>
                <w:p w14:paraId="71D2473F">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4#厂区下风向</w:t>
                  </w:r>
                </w:p>
              </w:tc>
              <w:tc>
                <w:tcPr>
                  <w:tcW w:w="676" w:type="pct"/>
                  <w:noWrap w:val="0"/>
                  <w:vAlign w:val="center"/>
                </w:tcPr>
                <w:p w14:paraId="14378179">
                  <w:pPr>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颗粒物</w:t>
                  </w:r>
                </w:p>
              </w:tc>
              <w:tc>
                <w:tcPr>
                  <w:tcW w:w="713" w:type="pct"/>
                  <w:noWrap w:val="0"/>
                  <w:vAlign w:val="center"/>
                </w:tcPr>
                <w:p w14:paraId="52380B25">
                  <w:pPr>
                    <w:pStyle w:val="7"/>
                    <w:jc w:val="center"/>
                    <w:rPr>
                      <w:rFonts w:hint="default" w:ascii="Times New Roman" w:hAnsi="Times New Roman" w:eastAsia="宋体" w:cs="Times New Roman"/>
                      <w:color w:val="auto"/>
                      <w:kern w:val="0"/>
                      <w:sz w:val="21"/>
                      <w:szCs w:val="21"/>
                      <w:u w:val="none"/>
                      <w:lang w:val="en-US" w:eastAsia="zh-CN"/>
                    </w:rPr>
                  </w:pPr>
                </w:p>
              </w:tc>
              <w:tc>
                <w:tcPr>
                  <w:tcW w:w="747" w:type="pct"/>
                  <w:noWrap w:val="0"/>
                  <w:vAlign w:val="center"/>
                </w:tcPr>
                <w:p w14:paraId="0702351E">
                  <w:pPr>
                    <w:pStyle w:val="7"/>
                    <w:jc w:val="center"/>
                    <w:rPr>
                      <w:rFonts w:hint="default" w:ascii="Times New Roman" w:hAnsi="Times New Roman" w:eastAsia="宋体" w:cs="Times New Roman"/>
                      <w:color w:val="auto"/>
                      <w:kern w:val="0"/>
                      <w:sz w:val="21"/>
                      <w:szCs w:val="21"/>
                      <w:u w:val="none"/>
                      <w:lang w:val="en-US" w:eastAsia="zh-CN"/>
                    </w:rPr>
                  </w:pPr>
                </w:p>
              </w:tc>
              <w:tc>
                <w:tcPr>
                  <w:tcW w:w="573" w:type="pct"/>
                  <w:noWrap w:val="0"/>
                  <w:vAlign w:val="center"/>
                </w:tcPr>
                <w:p w14:paraId="13B777BA">
                  <w:pPr>
                    <w:pStyle w:val="7"/>
                    <w:jc w:val="center"/>
                    <w:rPr>
                      <w:rFonts w:hint="default" w:ascii="Times New Roman" w:hAnsi="Times New Roman" w:eastAsia="宋体" w:cs="Times New Roman"/>
                      <w:color w:val="auto"/>
                      <w:kern w:val="0"/>
                      <w:sz w:val="21"/>
                      <w:szCs w:val="21"/>
                      <w:u w:val="none"/>
                      <w:lang w:val="en-US" w:eastAsia="zh-CN"/>
                    </w:rPr>
                  </w:pPr>
                </w:p>
              </w:tc>
              <w:tc>
                <w:tcPr>
                  <w:tcW w:w="535" w:type="pct"/>
                  <w:noWrap w:val="0"/>
                  <w:vAlign w:val="center"/>
                </w:tcPr>
                <w:p w14:paraId="582B5F62">
                  <w:pPr>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1.0</w:t>
                  </w:r>
                </w:p>
              </w:tc>
            </w:tr>
            <w:tr w14:paraId="7EC0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9" w:type="pct"/>
                  <w:vMerge w:val="restart"/>
                  <w:noWrap w:val="0"/>
                  <w:vAlign w:val="center"/>
                </w:tcPr>
                <w:p w14:paraId="5D75A116">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2018.12.04</w:t>
                  </w:r>
                </w:p>
              </w:tc>
              <w:tc>
                <w:tcPr>
                  <w:tcW w:w="955" w:type="pct"/>
                  <w:noWrap w:val="0"/>
                  <w:vAlign w:val="center"/>
                </w:tcPr>
                <w:p w14:paraId="11D9ACE8">
                  <w:pPr>
                    <w:pStyle w:val="7"/>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1#厂区上风向</w:t>
                  </w:r>
                </w:p>
              </w:tc>
              <w:tc>
                <w:tcPr>
                  <w:tcW w:w="676" w:type="pct"/>
                  <w:noWrap w:val="0"/>
                  <w:vAlign w:val="center"/>
                </w:tcPr>
                <w:p w14:paraId="0EBFAFD9">
                  <w:pPr>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颗粒物</w:t>
                  </w:r>
                </w:p>
              </w:tc>
              <w:tc>
                <w:tcPr>
                  <w:tcW w:w="713" w:type="pct"/>
                  <w:noWrap w:val="0"/>
                  <w:vAlign w:val="center"/>
                </w:tcPr>
                <w:p w14:paraId="733275E3">
                  <w:pPr>
                    <w:pStyle w:val="7"/>
                    <w:jc w:val="center"/>
                    <w:rPr>
                      <w:rFonts w:hint="default" w:ascii="Times New Roman" w:hAnsi="Times New Roman" w:eastAsia="宋体" w:cs="Times New Roman"/>
                      <w:color w:val="auto"/>
                      <w:kern w:val="0"/>
                      <w:sz w:val="21"/>
                      <w:szCs w:val="21"/>
                      <w:u w:val="none"/>
                      <w:lang w:val="en-US" w:eastAsia="zh-CN"/>
                    </w:rPr>
                  </w:pPr>
                </w:p>
              </w:tc>
              <w:tc>
                <w:tcPr>
                  <w:tcW w:w="747" w:type="pct"/>
                  <w:noWrap w:val="0"/>
                  <w:vAlign w:val="center"/>
                </w:tcPr>
                <w:p w14:paraId="565908EA">
                  <w:pPr>
                    <w:pStyle w:val="7"/>
                    <w:jc w:val="center"/>
                    <w:rPr>
                      <w:rFonts w:hint="default" w:ascii="Times New Roman" w:hAnsi="Times New Roman" w:eastAsia="宋体" w:cs="Times New Roman"/>
                      <w:color w:val="auto"/>
                      <w:kern w:val="0"/>
                      <w:sz w:val="21"/>
                      <w:szCs w:val="21"/>
                      <w:u w:val="none"/>
                      <w:lang w:val="en-US" w:eastAsia="zh-CN"/>
                    </w:rPr>
                  </w:pPr>
                </w:p>
              </w:tc>
              <w:tc>
                <w:tcPr>
                  <w:tcW w:w="573" w:type="pct"/>
                  <w:noWrap w:val="0"/>
                  <w:vAlign w:val="center"/>
                </w:tcPr>
                <w:p w14:paraId="2B8C8E16">
                  <w:pPr>
                    <w:pStyle w:val="7"/>
                    <w:jc w:val="center"/>
                    <w:rPr>
                      <w:rFonts w:hint="default" w:ascii="Times New Roman" w:hAnsi="Times New Roman" w:eastAsia="宋体" w:cs="Times New Roman"/>
                      <w:color w:val="auto"/>
                      <w:kern w:val="0"/>
                      <w:sz w:val="21"/>
                      <w:szCs w:val="21"/>
                      <w:u w:val="none"/>
                      <w:lang w:val="en-US" w:eastAsia="zh-CN"/>
                    </w:rPr>
                  </w:pPr>
                </w:p>
              </w:tc>
              <w:tc>
                <w:tcPr>
                  <w:tcW w:w="535" w:type="pct"/>
                  <w:noWrap w:val="0"/>
                  <w:vAlign w:val="center"/>
                </w:tcPr>
                <w:p w14:paraId="71537323">
                  <w:pPr>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1.0</w:t>
                  </w:r>
                </w:p>
              </w:tc>
            </w:tr>
            <w:tr w14:paraId="2839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9" w:type="pct"/>
                  <w:vMerge w:val="continue"/>
                  <w:noWrap w:val="0"/>
                  <w:vAlign w:val="center"/>
                </w:tcPr>
                <w:p w14:paraId="0C466826">
                  <w:pPr>
                    <w:pStyle w:val="7"/>
                    <w:jc w:val="center"/>
                    <w:rPr>
                      <w:rFonts w:hint="eastAsia" w:ascii="Times New Roman" w:hAnsi="Times New Roman" w:eastAsia="宋体" w:cs="Times New Roman"/>
                      <w:color w:val="auto"/>
                      <w:kern w:val="0"/>
                      <w:sz w:val="21"/>
                      <w:szCs w:val="21"/>
                      <w:u w:val="none"/>
                      <w:lang w:val="en-US" w:eastAsia="zh-CN"/>
                    </w:rPr>
                  </w:pPr>
                </w:p>
              </w:tc>
              <w:tc>
                <w:tcPr>
                  <w:tcW w:w="955" w:type="pct"/>
                  <w:noWrap w:val="0"/>
                  <w:vAlign w:val="center"/>
                </w:tcPr>
                <w:p w14:paraId="7702F84D">
                  <w:pPr>
                    <w:pStyle w:val="7"/>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2#厂区下风向</w:t>
                  </w:r>
                </w:p>
              </w:tc>
              <w:tc>
                <w:tcPr>
                  <w:tcW w:w="676" w:type="pct"/>
                  <w:noWrap w:val="0"/>
                  <w:vAlign w:val="center"/>
                </w:tcPr>
                <w:p w14:paraId="260BE79E">
                  <w:pPr>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颗粒物</w:t>
                  </w:r>
                </w:p>
              </w:tc>
              <w:tc>
                <w:tcPr>
                  <w:tcW w:w="713" w:type="pct"/>
                  <w:noWrap w:val="0"/>
                  <w:vAlign w:val="center"/>
                </w:tcPr>
                <w:p w14:paraId="3B89E6D9">
                  <w:pPr>
                    <w:pStyle w:val="7"/>
                    <w:jc w:val="center"/>
                    <w:rPr>
                      <w:rFonts w:hint="default" w:ascii="Times New Roman" w:hAnsi="Times New Roman" w:eastAsia="宋体" w:cs="Times New Roman"/>
                      <w:color w:val="auto"/>
                      <w:kern w:val="0"/>
                      <w:sz w:val="21"/>
                      <w:szCs w:val="21"/>
                      <w:u w:val="none"/>
                      <w:lang w:val="en-US" w:eastAsia="zh-CN"/>
                    </w:rPr>
                  </w:pPr>
                </w:p>
              </w:tc>
              <w:tc>
                <w:tcPr>
                  <w:tcW w:w="747" w:type="pct"/>
                  <w:noWrap w:val="0"/>
                  <w:vAlign w:val="center"/>
                </w:tcPr>
                <w:p w14:paraId="613306A0">
                  <w:pPr>
                    <w:pStyle w:val="7"/>
                    <w:jc w:val="center"/>
                    <w:rPr>
                      <w:rFonts w:hint="default" w:ascii="Times New Roman" w:hAnsi="Times New Roman" w:eastAsia="宋体" w:cs="Times New Roman"/>
                      <w:color w:val="auto"/>
                      <w:kern w:val="0"/>
                      <w:sz w:val="21"/>
                      <w:szCs w:val="21"/>
                      <w:u w:val="none"/>
                      <w:lang w:val="en-US" w:eastAsia="zh-CN"/>
                    </w:rPr>
                  </w:pPr>
                </w:p>
              </w:tc>
              <w:tc>
                <w:tcPr>
                  <w:tcW w:w="573" w:type="pct"/>
                  <w:noWrap w:val="0"/>
                  <w:vAlign w:val="center"/>
                </w:tcPr>
                <w:p w14:paraId="2E9DAB0E">
                  <w:pPr>
                    <w:pStyle w:val="7"/>
                    <w:jc w:val="center"/>
                    <w:rPr>
                      <w:rFonts w:hint="default" w:ascii="Times New Roman" w:hAnsi="Times New Roman" w:eastAsia="宋体" w:cs="Times New Roman"/>
                      <w:color w:val="auto"/>
                      <w:kern w:val="0"/>
                      <w:sz w:val="21"/>
                      <w:szCs w:val="21"/>
                      <w:u w:val="none"/>
                      <w:lang w:val="en-US" w:eastAsia="zh-CN"/>
                    </w:rPr>
                  </w:pPr>
                </w:p>
              </w:tc>
              <w:tc>
                <w:tcPr>
                  <w:tcW w:w="535" w:type="pct"/>
                  <w:noWrap w:val="0"/>
                  <w:vAlign w:val="center"/>
                </w:tcPr>
                <w:p w14:paraId="69506529">
                  <w:pPr>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1.0</w:t>
                  </w:r>
                </w:p>
              </w:tc>
            </w:tr>
            <w:tr w14:paraId="4E62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9" w:type="pct"/>
                  <w:vMerge w:val="continue"/>
                  <w:noWrap w:val="0"/>
                  <w:vAlign w:val="center"/>
                </w:tcPr>
                <w:p w14:paraId="1C5FD7CE">
                  <w:pPr>
                    <w:pStyle w:val="7"/>
                    <w:jc w:val="center"/>
                    <w:rPr>
                      <w:rFonts w:hint="eastAsia" w:ascii="Times New Roman" w:hAnsi="Times New Roman" w:eastAsia="宋体" w:cs="Times New Roman"/>
                      <w:color w:val="auto"/>
                      <w:kern w:val="0"/>
                      <w:sz w:val="21"/>
                      <w:szCs w:val="21"/>
                      <w:u w:val="none"/>
                      <w:lang w:val="en-US" w:eastAsia="zh-CN"/>
                    </w:rPr>
                  </w:pPr>
                </w:p>
              </w:tc>
              <w:tc>
                <w:tcPr>
                  <w:tcW w:w="955" w:type="pct"/>
                  <w:noWrap w:val="0"/>
                  <w:vAlign w:val="center"/>
                </w:tcPr>
                <w:p w14:paraId="4B00C253">
                  <w:pPr>
                    <w:pStyle w:val="7"/>
                    <w:jc w:val="center"/>
                    <w:rPr>
                      <w:rFonts w:hint="eastAsia"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3#</w:t>
                  </w:r>
                  <w:r>
                    <w:rPr>
                      <w:rFonts w:hint="eastAsia" w:ascii="Times New Roman" w:hAnsi="Times New Roman" w:eastAsia="宋体" w:cs="Times New Roman"/>
                      <w:color w:val="auto"/>
                      <w:kern w:val="0"/>
                      <w:sz w:val="21"/>
                      <w:szCs w:val="21"/>
                      <w:u w:val="none"/>
                      <w:lang w:val="en-US" w:eastAsia="zh-CN"/>
                    </w:rPr>
                    <w:t>厂区下风向</w:t>
                  </w:r>
                </w:p>
              </w:tc>
              <w:tc>
                <w:tcPr>
                  <w:tcW w:w="676" w:type="pct"/>
                  <w:noWrap w:val="0"/>
                  <w:vAlign w:val="center"/>
                </w:tcPr>
                <w:p w14:paraId="01038682">
                  <w:pPr>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颗粒物</w:t>
                  </w:r>
                </w:p>
              </w:tc>
              <w:tc>
                <w:tcPr>
                  <w:tcW w:w="713" w:type="pct"/>
                  <w:noWrap w:val="0"/>
                  <w:vAlign w:val="center"/>
                </w:tcPr>
                <w:p w14:paraId="1546EF0B">
                  <w:pPr>
                    <w:pStyle w:val="7"/>
                    <w:jc w:val="center"/>
                    <w:rPr>
                      <w:rFonts w:hint="default" w:ascii="Times New Roman" w:hAnsi="Times New Roman" w:eastAsia="宋体" w:cs="Times New Roman"/>
                      <w:color w:val="auto"/>
                      <w:kern w:val="0"/>
                      <w:sz w:val="21"/>
                      <w:szCs w:val="21"/>
                      <w:u w:val="none"/>
                      <w:lang w:val="en-US" w:eastAsia="zh-CN"/>
                    </w:rPr>
                  </w:pPr>
                </w:p>
              </w:tc>
              <w:tc>
                <w:tcPr>
                  <w:tcW w:w="747" w:type="pct"/>
                  <w:noWrap w:val="0"/>
                  <w:vAlign w:val="center"/>
                </w:tcPr>
                <w:p w14:paraId="14F0A419">
                  <w:pPr>
                    <w:pStyle w:val="7"/>
                    <w:jc w:val="center"/>
                    <w:rPr>
                      <w:rFonts w:hint="default" w:ascii="Times New Roman" w:hAnsi="Times New Roman" w:eastAsia="宋体" w:cs="Times New Roman"/>
                      <w:color w:val="auto"/>
                      <w:kern w:val="0"/>
                      <w:sz w:val="21"/>
                      <w:szCs w:val="21"/>
                      <w:u w:val="none"/>
                      <w:lang w:val="en-US" w:eastAsia="zh-CN"/>
                    </w:rPr>
                  </w:pPr>
                </w:p>
              </w:tc>
              <w:tc>
                <w:tcPr>
                  <w:tcW w:w="573" w:type="pct"/>
                  <w:noWrap w:val="0"/>
                  <w:vAlign w:val="center"/>
                </w:tcPr>
                <w:p w14:paraId="67852444">
                  <w:pPr>
                    <w:pStyle w:val="7"/>
                    <w:jc w:val="center"/>
                    <w:rPr>
                      <w:rFonts w:hint="default" w:ascii="Times New Roman" w:hAnsi="Times New Roman" w:eastAsia="宋体" w:cs="Times New Roman"/>
                      <w:color w:val="auto"/>
                      <w:kern w:val="0"/>
                      <w:sz w:val="21"/>
                      <w:szCs w:val="21"/>
                      <w:u w:val="none"/>
                      <w:lang w:val="en-US" w:eastAsia="zh-CN"/>
                    </w:rPr>
                  </w:pPr>
                </w:p>
              </w:tc>
              <w:tc>
                <w:tcPr>
                  <w:tcW w:w="535" w:type="pct"/>
                  <w:noWrap w:val="0"/>
                  <w:vAlign w:val="center"/>
                </w:tcPr>
                <w:p w14:paraId="0C939563">
                  <w:pPr>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1.0</w:t>
                  </w:r>
                </w:p>
              </w:tc>
            </w:tr>
            <w:tr w14:paraId="07FA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9" w:type="pct"/>
                  <w:vMerge w:val="continue"/>
                  <w:noWrap w:val="0"/>
                  <w:vAlign w:val="center"/>
                </w:tcPr>
                <w:p w14:paraId="39DE8202">
                  <w:pPr>
                    <w:pStyle w:val="7"/>
                    <w:jc w:val="center"/>
                    <w:rPr>
                      <w:rFonts w:hint="eastAsia" w:ascii="Times New Roman" w:hAnsi="Times New Roman" w:eastAsia="宋体" w:cs="Times New Roman"/>
                      <w:color w:val="auto"/>
                      <w:kern w:val="0"/>
                      <w:sz w:val="21"/>
                      <w:szCs w:val="21"/>
                      <w:u w:val="none"/>
                      <w:lang w:val="en-US" w:eastAsia="zh-CN"/>
                    </w:rPr>
                  </w:pPr>
                </w:p>
              </w:tc>
              <w:tc>
                <w:tcPr>
                  <w:tcW w:w="955" w:type="pct"/>
                  <w:noWrap w:val="0"/>
                  <w:vAlign w:val="center"/>
                </w:tcPr>
                <w:p w14:paraId="0E8093BF">
                  <w:pPr>
                    <w:pStyle w:val="7"/>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4#厂区下风向</w:t>
                  </w:r>
                </w:p>
              </w:tc>
              <w:tc>
                <w:tcPr>
                  <w:tcW w:w="676" w:type="pct"/>
                  <w:noWrap w:val="0"/>
                  <w:vAlign w:val="center"/>
                </w:tcPr>
                <w:p w14:paraId="3768ADE2">
                  <w:pPr>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颗粒物</w:t>
                  </w:r>
                </w:p>
              </w:tc>
              <w:tc>
                <w:tcPr>
                  <w:tcW w:w="713" w:type="pct"/>
                  <w:noWrap w:val="0"/>
                  <w:vAlign w:val="center"/>
                </w:tcPr>
                <w:p w14:paraId="50C2D01C">
                  <w:pPr>
                    <w:pStyle w:val="7"/>
                    <w:jc w:val="center"/>
                    <w:rPr>
                      <w:rFonts w:hint="default" w:ascii="Times New Roman" w:hAnsi="Times New Roman" w:eastAsia="宋体" w:cs="Times New Roman"/>
                      <w:color w:val="auto"/>
                      <w:kern w:val="0"/>
                      <w:sz w:val="21"/>
                      <w:szCs w:val="21"/>
                      <w:u w:val="none"/>
                      <w:lang w:val="en-US" w:eastAsia="zh-CN"/>
                    </w:rPr>
                  </w:pPr>
                </w:p>
              </w:tc>
              <w:tc>
                <w:tcPr>
                  <w:tcW w:w="747" w:type="pct"/>
                  <w:noWrap w:val="0"/>
                  <w:vAlign w:val="center"/>
                </w:tcPr>
                <w:p w14:paraId="45A31B69">
                  <w:pPr>
                    <w:pStyle w:val="7"/>
                    <w:jc w:val="center"/>
                    <w:rPr>
                      <w:rFonts w:hint="default" w:ascii="Times New Roman" w:hAnsi="Times New Roman" w:eastAsia="宋体" w:cs="Times New Roman"/>
                      <w:color w:val="auto"/>
                      <w:kern w:val="0"/>
                      <w:sz w:val="21"/>
                      <w:szCs w:val="21"/>
                      <w:u w:val="none"/>
                      <w:lang w:val="en-US" w:eastAsia="zh-CN"/>
                    </w:rPr>
                  </w:pPr>
                </w:p>
              </w:tc>
              <w:tc>
                <w:tcPr>
                  <w:tcW w:w="573" w:type="pct"/>
                  <w:noWrap w:val="0"/>
                  <w:vAlign w:val="center"/>
                </w:tcPr>
                <w:p w14:paraId="4BECA06B">
                  <w:pPr>
                    <w:pStyle w:val="7"/>
                    <w:jc w:val="center"/>
                    <w:rPr>
                      <w:rFonts w:hint="default" w:ascii="Times New Roman" w:hAnsi="Times New Roman" w:eastAsia="宋体" w:cs="Times New Roman"/>
                      <w:color w:val="auto"/>
                      <w:kern w:val="0"/>
                      <w:sz w:val="21"/>
                      <w:szCs w:val="21"/>
                      <w:u w:val="none"/>
                      <w:lang w:val="en-US" w:eastAsia="zh-CN"/>
                    </w:rPr>
                  </w:pPr>
                </w:p>
              </w:tc>
              <w:tc>
                <w:tcPr>
                  <w:tcW w:w="535" w:type="pct"/>
                  <w:noWrap w:val="0"/>
                  <w:vAlign w:val="center"/>
                </w:tcPr>
                <w:p w14:paraId="455E8743">
                  <w:pPr>
                    <w:jc w:val="center"/>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1.0</w:t>
                  </w:r>
                </w:p>
              </w:tc>
            </w:tr>
            <w:bookmarkEnd w:id="13"/>
            <w:bookmarkEnd w:id="14"/>
          </w:tbl>
          <w:p w14:paraId="177B96DC">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根据验收监测结果，项目厂区无组织颗粒物能够满足</w:t>
            </w:r>
            <w:r>
              <w:rPr>
                <w:rFonts w:hint="eastAsia"/>
                <w:color w:val="auto"/>
                <w:kern w:val="0"/>
                <w:sz w:val="24"/>
                <w:u w:val="none"/>
                <w:lang w:eastAsia="zh-CN"/>
              </w:rPr>
              <w:t>《大气污染物综合排放标准》（GB16297-1996）</w:t>
            </w:r>
            <w:r>
              <w:rPr>
                <w:rFonts w:hint="eastAsia"/>
                <w:color w:val="auto"/>
                <w:kern w:val="0"/>
                <w:sz w:val="24"/>
                <w:u w:val="none"/>
                <w:lang w:val="en-US" w:eastAsia="zh-CN"/>
              </w:rPr>
              <w:t>标准限值。</w:t>
            </w:r>
          </w:p>
          <w:p w14:paraId="000535AA">
            <w:pPr>
              <w:pStyle w:val="6"/>
              <w:spacing w:line="500" w:lineRule="exact"/>
              <w:ind w:left="0" w:leftChars="0" w:firstLine="0" w:firstLineChars="0"/>
              <w:rPr>
                <w:rFonts w:hint="eastAsia"/>
                <w:b/>
                <w:bCs/>
                <w:color w:val="auto"/>
                <w:kern w:val="0"/>
                <w:sz w:val="24"/>
              </w:rPr>
            </w:pPr>
            <w:r>
              <w:rPr>
                <w:rFonts w:hint="eastAsia"/>
                <w:b/>
                <w:bCs/>
                <w:color w:val="auto"/>
                <w:kern w:val="0"/>
                <w:sz w:val="24"/>
                <w:lang w:val="en-US" w:eastAsia="zh-CN"/>
              </w:rPr>
              <w:t>3.2</w:t>
            </w:r>
            <w:r>
              <w:rPr>
                <w:rFonts w:hint="eastAsia"/>
                <w:b/>
                <w:bCs/>
                <w:color w:val="auto"/>
                <w:kern w:val="0"/>
                <w:sz w:val="24"/>
              </w:rPr>
              <w:t>、现有工程废水污染物</w:t>
            </w:r>
            <w:r>
              <w:rPr>
                <w:rFonts w:hint="eastAsia"/>
                <w:b/>
                <w:bCs/>
                <w:color w:val="auto"/>
                <w:kern w:val="0"/>
                <w:sz w:val="24"/>
                <w:lang w:val="en-US" w:eastAsia="zh-CN"/>
              </w:rPr>
              <w:t>产排</w:t>
            </w:r>
            <w:r>
              <w:rPr>
                <w:rFonts w:hint="eastAsia"/>
                <w:b/>
                <w:bCs/>
                <w:color w:val="auto"/>
                <w:kern w:val="0"/>
                <w:sz w:val="24"/>
              </w:rPr>
              <w:t>情况及防治措施</w:t>
            </w:r>
          </w:p>
          <w:p w14:paraId="5D2B1AEA">
            <w:pPr>
              <w:pStyle w:val="6"/>
              <w:spacing w:line="500" w:lineRule="exact"/>
              <w:ind w:firstLine="480"/>
              <w:rPr>
                <w:rFonts w:hint="eastAsia"/>
                <w:color w:val="auto"/>
                <w:kern w:val="0"/>
                <w:sz w:val="24"/>
              </w:rPr>
            </w:pPr>
            <w:r>
              <w:rPr>
                <w:rFonts w:hint="eastAsia"/>
                <w:color w:val="auto"/>
                <w:kern w:val="0"/>
                <w:sz w:val="24"/>
              </w:rPr>
              <w:t>现有工程废水产</w:t>
            </w:r>
            <w:r>
              <w:rPr>
                <w:rFonts w:hint="eastAsia"/>
                <w:color w:val="auto"/>
                <w:kern w:val="0"/>
                <w:sz w:val="24"/>
                <w:lang w:val="en-US" w:eastAsia="zh-CN"/>
              </w:rPr>
              <w:t>排</w:t>
            </w:r>
            <w:r>
              <w:rPr>
                <w:rFonts w:hint="eastAsia"/>
                <w:color w:val="auto"/>
                <w:kern w:val="0"/>
                <w:sz w:val="24"/>
              </w:rPr>
              <w:t>情况详见表</w:t>
            </w:r>
            <w:r>
              <w:rPr>
                <w:rFonts w:hint="eastAsia"/>
                <w:color w:val="auto"/>
                <w:kern w:val="0"/>
                <w:sz w:val="24"/>
                <w:lang w:val="en-US" w:eastAsia="zh-CN"/>
              </w:rPr>
              <w:t>2-17</w:t>
            </w:r>
            <w:r>
              <w:rPr>
                <w:rFonts w:hint="eastAsia"/>
                <w:color w:val="auto"/>
                <w:kern w:val="0"/>
                <w:sz w:val="24"/>
              </w:rPr>
              <w:t>。</w:t>
            </w:r>
          </w:p>
          <w:p w14:paraId="75F1FFA0">
            <w:pPr>
              <w:pStyle w:val="6"/>
              <w:spacing w:line="500" w:lineRule="exact"/>
              <w:ind w:firstLine="482"/>
              <w:jc w:val="center"/>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GB" w:eastAsia="zh-CN"/>
              </w:rPr>
              <w:t>表</w:t>
            </w:r>
            <w:r>
              <w:rPr>
                <w:rFonts w:hint="eastAsia" w:ascii="Times New Roman" w:hAnsi="Times New Roman" w:eastAsia="宋体" w:cs="Times New Roman"/>
                <w:b/>
                <w:bCs/>
                <w:color w:val="auto"/>
                <w:kern w:val="0"/>
                <w:sz w:val="24"/>
                <w:lang w:val="en-US" w:eastAsia="zh-CN"/>
              </w:rPr>
              <w:t>2-1</w:t>
            </w:r>
            <w:r>
              <w:rPr>
                <w:rFonts w:hint="eastAsia" w:cs="Times New Roman"/>
                <w:b/>
                <w:bCs/>
                <w:color w:val="auto"/>
                <w:kern w:val="0"/>
                <w:sz w:val="24"/>
                <w:lang w:val="en-US" w:eastAsia="zh-CN"/>
              </w:rPr>
              <w:t>7</w:t>
            </w:r>
            <w:r>
              <w:rPr>
                <w:rFonts w:hint="eastAsia" w:ascii="Times New Roman" w:hAnsi="Times New Roman" w:eastAsia="宋体" w:cs="Times New Roman"/>
                <w:b/>
                <w:bCs/>
                <w:color w:val="auto"/>
                <w:kern w:val="0"/>
                <w:sz w:val="24"/>
                <w:lang w:val="en-US" w:eastAsia="zh-CN"/>
              </w:rPr>
              <w:t xml:space="preserve">  现有工程废水产生情况表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2103"/>
              <w:gridCol w:w="1856"/>
              <w:gridCol w:w="2351"/>
            </w:tblGrid>
            <w:tr w14:paraId="586E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noWrap w:val="0"/>
                  <w:vAlign w:val="center"/>
                </w:tcPr>
                <w:p w14:paraId="354689F5">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vertAlign w:val="baseline"/>
                      <w:lang w:eastAsia="zh-CN"/>
                    </w:rPr>
                  </w:pPr>
                  <w:r>
                    <w:rPr>
                      <w:rFonts w:hint="eastAsia"/>
                      <w:color w:val="auto"/>
                      <w:kern w:val="0"/>
                      <w:sz w:val="21"/>
                      <w:szCs w:val="21"/>
                      <w:vertAlign w:val="baseline"/>
                      <w:lang w:eastAsia="zh-CN"/>
                    </w:rPr>
                    <w:t>废水项目</w:t>
                  </w:r>
                </w:p>
              </w:tc>
              <w:tc>
                <w:tcPr>
                  <w:tcW w:w="1250" w:type="pct"/>
                  <w:noWrap w:val="0"/>
                  <w:vAlign w:val="center"/>
                </w:tcPr>
                <w:p w14:paraId="17608D59">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vertAlign w:val="baseline"/>
                      <w:lang w:eastAsia="zh-CN"/>
                    </w:rPr>
                  </w:pPr>
                  <w:r>
                    <w:rPr>
                      <w:rFonts w:hint="eastAsia"/>
                      <w:color w:val="auto"/>
                      <w:kern w:val="0"/>
                      <w:sz w:val="21"/>
                      <w:szCs w:val="21"/>
                      <w:vertAlign w:val="baseline"/>
                      <w:lang w:eastAsia="zh-CN"/>
                    </w:rPr>
                    <w:t>产污来源</w:t>
                  </w:r>
                </w:p>
              </w:tc>
              <w:tc>
                <w:tcPr>
                  <w:tcW w:w="1103" w:type="pct"/>
                  <w:noWrap w:val="0"/>
                  <w:vAlign w:val="center"/>
                </w:tcPr>
                <w:p w14:paraId="612B7AD8">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vertAlign w:val="baseline"/>
                      <w:lang w:eastAsia="zh-CN"/>
                    </w:rPr>
                  </w:pPr>
                  <w:r>
                    <w:rPr>
                      <w:rFonts w:hint="eastAsia"/>
                      <w:color w:val="auto"/>
                      <w:kern w:val="0"/>
                      <w:sz w:val="21"/>
                      <w:szCs w:val="21"/>
                      <w:vertAlign w:val="baseline"/>
                      <w:lang w:eastAsia="zh-CN"/>
                    </w:rPr>
                    <w:t>产生量（</w:t>
                  </w:r>
                  <w:r>
                    <w:rPr>
                      <w:bCs/>
                      <w:color w:val="auto"/>
                      <w:sz w:val="21"/>
                      <w:szCs w:val="21"/>
                    </w:rPr>
                    <w:t>m</w:t>
                  </w:r>
                  <w:r>
                    <w:rPr>
                      <w:bCs/>
                      <w:color w:val="auto"/>
                      <w:sz w:val="21"/>
                      <w:szCs w:val="21"/>
                      <w:vertAlign w:val="superscript"/>
                    </w:rPr>
                    <w:t>3</w:t>
                  </w:r>
                  <w:r>
                    <w:rPr>
                      <w:bCs/>
                      <w:color w:val="auto"/>
                      <w:sz w:val="21"/>
                      <w:szCs w:val="21"/>
                    </w:rPr>
                    <w:t>/d</w:t>
                  </w:r>
                  <w:r>
                    <w:rPr>
                      <w:rFonts w:hint="eastAsia"/>
                      <w:color w:val="auto"/>
                      <w:kern w:val="0"/>
                      <w:sz w:val="21"/>
                      <w:szCs w:val="21"/>
                      <w:vertAlign w:val="baseline"/>
                      <w:lang w:eastAsia="zh-CN"/>
                    </w:rPr>
                    <w:t>）</w:t>
                  </w:r>
                </w:p>
              </w:tc>
              <w:tc>
                <w:tcPr>
                  <w:tcW w:w="1397" w:type="pct"/>
                  <w:noWrap w:val="0"/>
                  <w:vAlign w:val="center"/>
                </w:tcPr>
                <w:p w14:paraId="5079A198">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vertAlign w:val="baseline"/>
                      <w:lang w:eastAsia="zh-CN"/>
                    </w:rPr>
                  </w:pPr>
                  <w:r>
                    <w:rPr>
                      <w:rFonts w:hint="eastAsia"/>
                      <w:color w:val="auto"/>
                      <w:kern w:val="0"/>
                      <w:sz w:val="21"/>
                      <w:szCs w:val="21"/>
                      <w:vertAlign w:val="baseline"/>
                      <w:lang w:eastAsia="zh-CN"/>
                    </w:rPr>
                    <w:t>处理措施</w:t>
                  </w:r>
                </w:p>
              </w:tc>
            </w:tr>
            <w:tr w14:paraId="2749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noWrap w:val="0"/>
                  <w:vAlign w:val="center"/>
                </w:tcPr>
                <w:p w14:paraId="778022E2">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vertAlign w:val="baseline"/>
                      <w:lang w:val="en-US" w:eastAsia="zh-CN"/>
                    </w:rPr>
                  </w:pPr>
                  <w:r>
                    <w:rPr>
                      <w:rFonts w:hint="eastAsia"/>
                      <w:color w:val="auto"/>
                      <w:kern w:val="0"/>
                      <w:sz w:val="21"/>
                      <w:szCs w:val="21"/>
                      <w:lang w:eastAsia="zh-CN"/>
                    </w:rPr>
                    <w:t>现有工程</w:t>
                  </w:r>
                  <w:r>
                    <w:rPr>
                      <w:rFonts w:hint="eastAsia"/>
                      <w:color w:val="auto"/>
                      <w:kern w:val="0"/>
                      <w:sz w:val="21"/>
                      <w:szCs w:val="21"/>
                      <w:lang w:val="en-US" w:eastAsia="zh-CN"/>
                    </w:rPr>
                    <w:t>生活污水</w:t>
                  </w:r>
                </w:p>
              </w:tc>
              <w:tc>
                <w:tcPr>
                  <w:tcW w:w="1250" w:type="pct"/>
                  <w:noWrap w:val="0"/>
                  <w:vAlign w:val="center"/>
                </w:tcPr>
                <w:p w14:paraId="4A0C1642">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现有工程员工</w:t>
                  </w:r>
                </w:p>
              </w:tc>
              <w:tc>
                <w:tcPr>
                  <w:tcW w:w="1103" w:type="pct"/>
                  <w:noWrap w:val="0"/>
                  <w:vAlign w:val="center"/>
                </w:tcPr>
                <w:p w14:paraId="0ED0FBF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vertAlign w:val="baseline"/>
                      <w:lang w:val="en-US" w:eastAsia="zh-CN"/>
                    </w:rPr>
                  </w:pPr>
                  <w:r>
                    <w:rPr>
                      <w:rFonts w:hint="eastAsia" w:eastAsia="宋体"/>
                      <w:color w:val="000000"/>
                      <w:kern w:val="0"/>
                      <w:sz w:val="21"/>
                      <w:szCs w:val="21"/>
                      <w:vertAlign w:val="baseline"/>
                      <w:lang w:val="en-US" w:eastAsia="zh-CN"/>
                    </w:rPr>
                    <w:t>24.3</w:t>
                  </w:r>
                </w:p>
              </w:tc>
              <w:tc>
                <w:tcPr>
                  <w:tcW w:w="1397" w:type="pct"/>
                  <w:noWrap w:val="0"/>
                  <w:vAlign w:val="center"/>
                </w:tcPr>
                <w:p w14:paraId="419969B6">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vertAlign w:val="baseline"/>
                      <w:lang w:val="en-US" w:eastAsia="zh-CN"/>
                    </w:rPr>
                  </w:pPr>
                  <w:r>
                    <w:rPr>
                      <w:rFonts w:hint="eastAsia"/>
                      <w:color w:val="auto"/>
                      <w:kern w:val="0"/>
                      <w:sz w:val="21"/>
                      <w:szCs w:val="21"/>
                      <w:vertAlign w:val="baseline"/>
                      <w:lang w:eastAsia="zh-CN"/>
                    </w:rPr>
                    <w:t>经化粪池处理后排入</w:t>
                  </w:r>
                  <w:r>
                    <w:rPr>
                      <w:rFonts w:hint="eastAsia"/>
                      <w:color w:val="auto"/>
                      <w:kern w:val="0"/>
                      <w:sz w:val="21"/>
                      <w:szCs w:val="21"/>
                      <w:vertAlign w:val="baseline"/>
                      <w:lang w:val="en-US" w:eastAsia="zh-CN"/>
                    </w:rPr>
                    <w:t>钦州港工业污水集中处理厂处理</w:t>
                  </w:r>
                </w:p>
              </w:tc>
            </w:tr>
          </w:tbl>
          <w:p w14:paraId="20712FFD">
            <w:pPr>
              <w:pStyle w:val="6"/>
              <w:spacing w:line="500" w:lineRule="exact"/>
              <w:ind w:firstLine="480"/>
              <w:rPr>
                <w:rFonts w:hint="eastAsia"/>
                <w:color w:val="000000"/>
                <w:kern w:val="0"/>
                <w:sz w:val="24"/>
              </w:rPr>
            </w:pPr>
            <w:r>
              <w:rPr>
                <w:rFonts w:hint="eastAsia"/>
                <w:color w:val="000000"/>
                <w:kern w:val="0"/>
                <w:sz w:val="24"/>
              </w:rPr>
              <w:t>现有工程工作人员</w:t>
            </w:r>
            <w:r>
              <w:rPr>
                <w:rFonts w:hint="eastAsia"/>
                <w:color w:val="000000"/>
                <w:kern w:val="0"/>
                <w:sz w:val="24"/>
                <w:lang w:val="en-US" w:eastAsia="zh-CN"/>
              </w:rPr>
              <w:t>180</w:t>
            </w:r>
            <w:r>
              <w:rPr>
                <w:rFonts w:hint="eastAsia"/>
                <w:color w:val="000000"/>
                <w:kern w:val="0"/>
                <w:sz w:val="24"/>
              </w:rPr>
              <w:t>人，</w:t>
            </w:r>
            <w:r>
              <w:rPr>
                <w:rFonts w:hint="eastAsia"/>
                <w:kern w:val="0"/>
                <w:sz w:val="24"/>
              </w:rPr>
              <w:t>生活污水根据《城镇生活用水定额》（DB45/T 679-2017）进行污染物核算，生活用水量为150L/人·d</w:t>
            </w:r>
            <w:r>
              <w:rPr>
                <w:rFonts w:hint="eastAsia"/>
                <w:color w:val="000000"/>
                <w:kern w:val="0"/>
                <w:sz w:val="24"/>
              </w:rPr>
              <w:t>，则人员生活用水量为</w:t>
            </w:r>
            <w:r>
              <w:rPr>
                <w:rFonts w:hint="eastAsia"/>
                <w:color w:val="000000"/>
                <w:kern w:val="0"/>
                <w:sz w:val="24"/>
                <w:lang w:val="en-US" w:eastAsia="zh-CN"/>
              </w:rPr>
              <w:t>27</w:t>
            </w:r>
            <w:r>
              <w:rPr>
                <w:rFonts w:hint="eastAsia"/>
                <w:color w:val="000000"/>
                <w:kern w:val="0"/>
                <w:sz w:val="24"/>
              </w:rPr>
              <w:t>m</w:t>
            </w:r>
            <w:r>
              <w:rPr>
                <w:rFonts w:hint="eastAsia"/>
                <w:color w:val="000000"/>
                <w:kern w:val="0"/>
                <w:sz w:val="24"/>
                <w:vertAlign w:val="superscript"/>
              </w:rPr>
              <w:t>3</w:t>
            </w:r>
            <w:r>
              <w:rPr>
                <w:rFonts w:hint="eastAsia"/>
                <w:color w:val="000000"/>
                <w:kern w:val="0"/>
                <w:sz w:val="24"/>
              </w:rPr>
              <w:t>/d</w:t>
            </w:r>
            <w:r>
              <w:rPr>
                <w:rFonts w:hint="eastAsia"/>
                <w:color w:val="000000"/>
                <w:kern w:val="0"/>
                <w:sz w:val="24"/>
                <w:lang w:val="en-US" w:eastAsia="zh-CN"/>
              </w:rPr>
              <w:t>、9720m</w:t>
            </w:r>
            <w:r>
              <w:rPr>
                <w:rFonts w:hint="eastAsia"/>
                <w:color w:val="000000"/>
                <w:kern w:val="0"/>
                <w:sz w:val="24"/>
                <w:vertAlign w:val="superscript"/>
                <w:lang w:val="en-US" w:eastAsia="zh-CN"/>
              </w:rPr>
              <w:t>3</w:t>
            </w:r>
            <w:r>
              <w:rPr>
                <w:rFonts w:hint="eastAsia"/>
                <w:color w:val="000000"/>
                <w:kern w:val="0"/>
                <w:sz w:val="24"/>
                <w:lang w:val="en-US" w:eastAsia="zh-CN"/>
              </w:rPr>
              <w:t>/a</w:t>
            </w:r>
            <w:r>
              <w:rPr>
                <w:rFonts w:hint="eastAsia"/>
                <w:color w:val="000000"/>
                <w:kern w:val="0"/>
                <w:sz w:val="24"/>
              </w:rPr>
              <w:t>，生活污水产生系数按0.9计，</w:t>
            </w:r>
            <w:r>
              <w:rPr>
                <w:rFonts w:hint="eastAsia"/>
                <w:color w:val="000000"/>
                <w:kern w:val="0"/>
                <w:sz w:val="24"/>
                <w:lang w:val="en-US" w:eastAsia="zh-CN"/>
              </w:rPr>
              <w:t>生活</w:t>
            </w:r>
            <w:r>
              <w:rPr>
                <w:rFonts w:hint="eastAsia"/>
                <w:color w:val="000000"/>
                <w:kern w:val="0"/>
                <w:sz w:val="24"/>
              </w:rPr>
              <w:t>污水产生量为</w:t>
            </w:r>
            <w:r>
              <w:rPr>
                <w:rFonts w:hint="eastAsia"/>
                <w:color w:val="000000"/>
                <w:kern w:val="0"/>
                <w:sz w:val="24"/>
                <w:lang w:val="en-US" w:eastAsia="zh-CN"/>
              </w:rPr>
              <w:t>24.3</w:t>
            </w:r>
            <w:r>
              <w:rPr>
                <w:rFonts w:hint="eastAsia"/>
                <w:color w:val="000000"/>
                <w:kern w:val="0"/>
                <w:sz w:val="24"/>
              </w:rPr>
              <w:t>m</w:t>
            </w:r>
            <w:r>
              <w:rPr>
                <w:rFonts w:hint="eastAsia"/>
                <w:color w:val="000000"/>
                <w:kern w:val="0"/>
                <w:sz w:val="24"/>
                <w:vertAlign w:val="superscript"/>
              </w:rPr>
              <w:t>3</w:t>
            </w:r>
            <w:r>
              <w:rPr>
                <w:rFonts w:hint="eastAsia"/>
                <w:color w:val="000000"/>
                <w:kern w:val="0"/>
                <w:sz w:val="24"/>
              </w:rPr>
              <w:t>/d</w:t>
            </w:r>
            <w:r>
              <w:rPr>
                <w:rFonts w:hint="eastAsia"/>
                <w:color w:val="000000"/>
                <w:kern w:val="0"/>
                <w:sz w:val="24"/>
                <w:lang w:eastAsia="zh-CN"/>
              </w:rPr>
              <w:t>、</w:t>
            </w:r>
            <w:r>
              <w:rPr>
                <w:rFonts w:hint="eastAsia"/>
                <w:color w:val="000000"/>
                <w:kern w:val="0"/>
                <w:sz w:val="24"/>
                <w:lang w:val="en-US" w:eastAsia="zh-CN"/>
              </w:rPr>
              <w:t>8748</w:t>
            </w:r>
            <w:r>
              <w:rPr>
                <w:rFonts w:hint="eastAsia"/>
                <w:color w:val="000000"/>
                <w:kern w:val="0"/>
                <w:sz w:val="24"/>
              </w:rPr>
              <w:t>m</w:t>
            </w:r>
            <w:r>
              <w:rPr>
                <w:rFonts w:hint="eastAsia"/>
                <w:color w:val="000000"/>
                <w:kern w:val="0"/>
                <w:sz w:val="24"/>
                <w:vertAlign w:val="superscript"/>
              </w:rPr>
              <w:t>3</w:t>
            </w:r>
            <w:r>
              <w:rPr>
                <w:rFonts w:hint="eastAsia"/>
                <w:color w:val="000000"/>
                <w:kern w:val="0"/>
                <w:sz w:val="24"/>
              </w:rPr>
              <w:t>/</w:t>
            </w:r>
            <w:r>
              <w:rPr>
                <w:rFonts w:hint="eastAsia"/>
                <w:color w:val="000000"/>
                <w:kern w:val="0"/>
                <w:sz w:val="24"/>
                <w:lang w:val="en-US" w:eastAsia="zh-CN"/>
              </w:rPr>
              <w:t>a</w:t>
            </w:r>
            <w:r>
              <w:rPr>
                <w:rFonts w:hint="eastAsia"/>
                <w:color w:val="000000"/>
                <w:kern w:val="0"/>
                <w:sz w:val="24"/>
              </w:rPr>
              <w:t>，</w:t>
            </w:r>
            <w:r>
              <w:rPr>
                <w:rFonts w:hint="eastAsia"/>
                <w:color w:val="000000"/>
                <w:kern w:val="0"/>
                <w:sz w:val="24"/>
                <w:lang w:val="en-US" w:eastAsia="zh-CN"/>
              </w:rPr>
              <w:t>经</w:t>
            </w:r>
            <w:r>
              <w:rPr>
                <w:rFonts w:hint="eastAsia"/>
                <w:color w:val="000000"/>
                <w:kern w:val="0"/>
                <w:sz w:val="24"/>
              </w:rPr>
              <w:t>化粪池处理后</w:t>
            </w:r>
            <w:r>
              <w:rPr>
                <w:rFonts w:hint="eastAsia"/>
                <w:color w:val="000000"/>
                <w:kern w:val="0"/>
                <w:sz w:val="24"/>
                <w:lang w:val="en-US" w:eastAsia="zh-CN"/>
              </w:rPr>
              <w:t>排入钦州港工业污水集中处理厂处理</w:t>
            </w:r>
            <w:r>
              <w:rPr>
                <w:rFonts w:hint="eastAsia"/>
                <w:color w:val="000000"/>
                <w:kern w:val="0"/>
                <w:sz w:val="24"/>
              </w:rPr>
              <w:t>。</w:t>
            </w:r>
          </w:p>
          <w:p w14:paraId="0D4A51E0">
            <w:pPr>
              <w:spacing w:line="500" w:lineRule="exact"/>
              <w:ind w:firstLine="480" w:firstLineChars="200"/>
              <w:rPr>
                <w:rFonts w:hint="eastAsia"/>
                <w:color w:val="000000"/>
                <w:sz w:val="24"/>
              </w:rPr>
            </w:pPr>
            <w:r>
              <w:rPr>
                <w:rFonts w:hint="eastAsia"/>
                <w:color w:val="000000"/>
                <w:sz w:val="24"/>
              </w:rPr>
              <w:t>根据《村镇生活污染防治最佳可行技术指南</w:t>
            </w:r>
            <w:r>
              <w:rPr>
                <w:rFonts w:hint="eastAsia"/>
                <w:color w:val="000000"/>
                <w:sz w:val="24"/>
                <w:lang w:eastAsia="zh-CN"/>
              </w:rPr>
              <w:t>（</w:t>
            </w:r>
            <w:r>
              <w:rPr>
                <w:rFonts w:hint="eastAsia"/>
                <w:color w:val="000000"/>
                <w:sz w:val="24"/>
              </w:rPr>
              <w:t>试行</w:t>
            </w:r>
            <w:r>
              <w:rPr>
                <w:rFonts w:hint="eastAsia"/>
                <w:color w:val="000000"/>
                <w:sz w:val="24"/>
                <w:lang w:eastAsia="zh-CN"/>
              </w:rPr>
              <w:t>）</w:t>
            </w:r>
            <w:r>
              <w:rPr>
                <w:rFonts w:hint="eastAsia"/>
                <w:color w:val="000000"/>
                <w:sz w:val="24"/>
              </w:rPr>
              <w:t>》(HJ-BAT-9)，三格化粪池对生活污水COD、TN、TP的处理效率分别为40%</w:t>
            </w:r>
            <w:r>
              <w:rPr>
                <w:rFonts w:hint="eastAsia"/>
                <w:color w:val="000000"/>
                <w:sz w:val="24"/>
                <w:lang w:eastAsia="zh-CN"/>
              </w:rPr>
              <w:t>～</w:t>
            </w:r>
            <w:r>
              <w:rPr>
                <w:rFonts w:hint="eastAsia"/>
                <w:color w:val="000000"/>
                <w:sz w:val="24"/>
              </w:rPr>
              <w:t>60%、不大于10%、不大于20%。项目化粪池对生活污水的去除效率按COD：50%、TN：8%、TP：15%计算。生活污水各污染因子排放浓度摘自《排放源统计调查产排污核算方法和系数手册》中“生活源产排系数手册”表1-1。</w:t>
            </w:r>
          </w:p>
          <w:p w14:paraId="6FAE0A59">
            <w:pPr>
              <w:spacing w:line="500" w:lineRule="exact"/>
              <w:ind w:firstLine="480" w:firstLineChars="200"/>
              <w:rPr>
                <w:rFonts w:hint="eastAsia"/>
                <w:b/>
                <w:color w:val="000000"/>
                <w:sz w:val="24"/>
              </w:rPr>
            </w:pPr>
            <w:r>
              <w:rPr>
                <w:rFonts w:hint="eastAsia"/>
                <w:color w:val="000000"/>
                <w:sz w:val="24"/>
              </w:rPr>
              <w:t>污水源强及污染物排放标准详见表</w:t>
            </w:r>
            <w:r>
              <w:rPr>
                <w:rFonts w:hint="eastAsia"/>
                <w:color w:val="000000"/>
                <w:sz w:val="24"/>
                <w:lang w:val="en-US" w:eastAsia="zh-CN"/>
              </w:rPr>
              <w:t>2-18</w:t>
            </w:r>
            <w:r>
              <w:rPr>
                <w:rFonts w:hint="eastAsia"/>
                <w:color w:val="000000"/>
                <w:sz w:val="24"/>
              </w:rPr>
              <w:t>。</w:t>
            </w:r>
          </w:p>
          <w:p w14:paraId="7FDAE979">
            <w:pPr>
              <w:spacing w:line="500" w:lineRule="exact"/>
              <w:jc w:val="center"/>
              <w:rPr>
                <w:b/>
                <w:color w:val="000000"/>
                <w:sz w:val="24"/>
              </w:rPr>
            </w:pPr>
            <w:r>
              <w:rPr>
                <w:rFonts w:hint="eastAsia"/>
                <w:b/>
                <w:color w:val="000000"/>
                <w:sz w:val="24"/>
              </w:rPr>
              <w:t>表</w:t>
            </w:r>
            <w:r>
              <w:rPr>
                <w:rFonts w:hint="eastAsia"/>
                <w:b/>
                <w:color w:val="000000"/>
                <w:sz w:val="24"/>
                <w:lang w:val="en-US" w:eastAsia="zh-CN"/>
              </w:rPr>
              <w:t>2-18</w:t>
            </w:r>
            <w:r>
              <w:rPr>
                <w:rFonts w:hint="eastAsia"/>
                <w:b/>
                <w:color w:val="000000"/>
                <w:sz w:val="24"/>
              </w:rPr>
              <w:t xml:space="preserve">  </w:t>
            </w:r>
            <w:r>
              <w:rPr>
                <w:rFonts w:hint="eastAsia"/>
                <w:b/>
                <w:color w:val="000000"/>
                <w:sz w:val="24"/>
                <w:lang w:val="en-US" w:eastAsia="zh-CN"/>
              </w:rPr>
              <w:t>现有工程</w:t>
            </w:r>
            <w:r>
              <w:rPr>
                <w:rFonts w:hint="eastAsia"/>
                <w:b/>
                <w:color w:val="000000"/>
                <w:sz w:val="24"/>
              </w:rPr>
              <w:t>生活污水产排情况一览表</w:t>
            </w:r>
          </w:p>
          <w:tbl>
            <w:tblPr>
              <w:tblStyle w:val="1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809"/>
              <w:gridCol w:w="1083"/>
              <w:gridCol w:w="1545"/>
              <w:gridCol w:w="1470"/>
              <w:gridCol w:w="1444"/>
            </w:tblGrid>
            <w:tr w14:paraId="1B5C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restart"/>
                  <w:noWrap w:val="0"/>
                  <w:vAlign w:val="center"/>
                </w:tcPr>
                <w:p w14:paraId="59449B4A">
                  <w:pPr>
                    <w:jc w:val="center"/>
                    <w:rPr>
                      <w:rFonts w:hAnsi="Arial"/>
                      <w:color w:val="000000"/>
                      <w:szCs w:val="21"/>
                    </w:rPr>
                  </w:pPr>
                  <w:r>
                    <w:rPr>
                      <w:rFonts w:hint="eastAsia" w:hAnsi="Arial"/>
                      <w:color w:val="000000"/>
                      <w:szCs w:val="21"/>
                    </w:rPr>
                    <w:t>污染源</w:t>
                  </w:r>
                </w:p>
              </w:tc>
              <w:tc>
                <w:tcPr>
                  <w:tcW w:w="1809" w:type="dxa"/>
                  <w:vMerge w:val="restart"/>
                  <w:noWrap w:val="0"/>
                  <w:vAlign w:val="center"/>
                </w:tcPr>
                <w:p w14:paraId="2E9DFC53">
                  <w:pPr>
                    <w:jc w:val="center"/>
                    <w:rPr>
                      <w:rFonts w:hAnsi="Arial"/>
                      <w:color w:val="000000"/>
                      <w:szCs w:val="21"/>
                    </w:rPr>
                  </w:pPr>
                  <w:r>
                    <w:rPr>
                      <w:rFonts w:hint="eastAsia" w:hAnsi="Arial"/>
                      <w:color w:val="000000"/>
                      <w:szCs w:val="21"/>
                    </w:rPr>
                    <w:t>项目</w:t>
                  </w:r>
                </w:p>
              </w:tc>
              <w:tc>
                <w:tcPr>
                  <w:tcW w:w="5542" w:type="dxa"/>
                  <w:gridSpan w:val="4"/>
                  <w:noWrap w:val="0"/>
                  <w:vAlign w:val="center"/>
                </w:tcPr>
                <w:p w14:paraId="642B5C69">
                  <w:pPr>
                    <w:jc w:val="center"/>
                    <w:rPr>
                      <w:rFonts w:hint="eastAsia" w:hAnsi="Arial"/>
                      <w:color w:val="000000"/>
                      <w:szCs w:val="21"/>
                    </w:rPr>
                  </w:pPr>
                  <w:r>
                    <w:rPr>
                      <w:rFonts w:hint="eastAsia" w:hAnsi="Arial"/>
                      <w:color w:val="000000"/>
                      <w:szCs w:val="21"/>
                    </w:rPr>
                    <w:t>污染物</w:t>
                  </w:r>
                </w:p>
              </w:tc>
            </w:tr>
            <w:tr w14:paraId="4E74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noWrap w:val="0"/>
                  <w:vAlign w:val="center"/>
                </w:tcPr>
                <w:p w14:paraId="62B3F97C">
                  <w:pPr>
                    <w:jc w:val="center"/>
                    <w:rPr>
                      <w:rFonts w:hAnsi="Arial"/>
                      <w:color w:val="000000"/>
                      <w:szCs w:val="21"/>
                    </w:rPr>
                  </w:pPr>
                </w:p>
              </w:tc>
              <w:tc>
                <w:tcPr>
                  <w:tcW w:w="1809" w:type="dxa"/>
                  <w:vMerge w:val="continue"/>
                  <w:noWrap w:val="0"/>
                  <w:vAlign w:val="center"/>
                </w:tcPr>
                <w:p w14:paraId="15825623">
                  <w:pPr>
                    <w:jc w:val="center"/>
                    <w:rPr>
                      <w:rFonts w:hAnsi="Arial"/>
                      <w:color w:val="000000"/>
                      <w:szCs w:val="21"/>
                    </w:rPr>
                  </w:pPr>
                </w:p>
              </w:tc>
              <w:tc>
                <w:tcPr>
                  <w:tcW w:w="1083" w:type="dxa"/>
                  <w:noWrap w:val="0"/>
                  <w:vAlign w:val="center"/>
                </w:tcPr>
                <w:p w14:paraId="2AE45065">
                  <w:pPr>
                    <w:jc w:val="center"/>
                    <w:rPr>
                      <w:rFonts w:hAnsi="Arial"/>
                      <w:color w:val="000000"/>
                      <w:szCs w:val="21"/>
                    </w:rPr>
                  </w:pPr>
                  <w:r>
                    <w:rPr>
                      <w:rFonts w:hint="eastAsia" w:hAnsi="Arial"/>
                      <w:color w:val="000000"/>
                      <w:szCs w:val="21"/>
                    </w:rPr>
                    <w:t>COD</w:t>
                  </w:r>
                </w:p>
              </w:tc>
              <w:tc>
                <w:tcPr>
                  <w:tcW w:w="1545" w:type="dxa"/>
                  <w:noWrap w:val="0"/>
                  <w:vAlign w:val="center"/>
                </w:tcPr>
                <w:p w14:paraId="2C0F6A9A">
                  <w:pPr>
                    <w:jc w:val="center"/>
                    <w:rPr>
                      <w:rFonts w:hAnsi="Arial"/>
                      <w:color w:val="000000"/>
                      <w:szCs w:val="21"/>
                    </w:rPr>
                  </w:pPr>
                  <w:r>
                    <w:rPr>
                      <w:rFonts w:hint="eastAsia" w:hAnsi="Arial"/>
                      <w:color w:val="000000"/>
                      <w:szCs w:val="21"/>
                    </w:rPr>
                    <w:t>NH</w:t>
                  </w:r>
                  <w:r>
                    <w:rPr>
                      <w:rFonts w:hint="eastAsia" w:hAnsi="Arial"/>
                      <w:color w:val="000000"/>
                      <w:szCs w:val="21"/>
                      <w:vertAlign w:val="subscript"/>
                    </w:rPr>
                    <w:t>3</w:t>
                  </w:r>
                  <w:r>
                    <w:rPr>
                      <w:rFonts w:hint="eastAsia" w:hAnsi="Arial"/>
                      <w:color w:val="000000"/>
                      <w:szCs w:val="21"/>
                    </w:rPr>
                    <w:t>-N</w:t>
                  </w:r>
                </w:p>
              </w:tc>
              <w:tc>
                <w:tcPr>
                  <w:tcW w:w="1470" w:type="dxa"/>
                  <w:noWrap w:val="0"/>
                  <w:vAlign w:val="center"/>
                </w:tcPr>
                <w:p w14:paraId="0DDC6AEE">
                  <w:pPr>
                    <w:jc w:val="center"/>
                    <w:rPr>
                      <w:rFonts w:hAnsi="Arial"/>
                      <w:color w:val="000000"/>
                      <w:szCs w:val="21"/>
                    </w:rPr>
                  </w:pPr>
                  <w:r>
                    <w:rPr>
                      <w:rFonts w:hint="eastAsia" w:hAnsi="Arial"/>
                      <w:color w:val="000000"/>
                      <w:szCs w:val="21"/>
                    </w:rPr>
                    <w:t>TN</w:t>
                  </w:r>
                </w:p>
              </w:tc>
              <w:tc>
                <w:tcPr>
                  <w:tcW w:w="1444" w:type="dxa"/>
                  <w:noWrap w:val="0"/>
                  <w:vAlign w:val="center"/>
                </w:tcPr>
                <w:p w14:paraId="17BC7884">
                  <w:pPr>
                    <w:jc w:val="center"/>
                    <w:rPr>
                      <w:rFonts w:hint="eastAsia" w:hAnsi="Arial"/>
                      <w:color w:val="000000"/>
                      <w:szCs w:val="21"/>
                    </w:rPr>
                  </w:pPr>
                  <w:r>
                    <w:rPr>
                      <w:rFonts w:hint="eastAsia" w:hAnsi="Arial"/>
                      <w:color w:val="000000"/>
                      <w:szCs w:val="21"/>
                    </w:rPr>
                    <w:t>TP</w:t>
                  </w:r>
                </w:p>
              </w:tc>
            </w:tr>
            <w:tr w14:paraId="2D4A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restart"/>
                  <w:noWrap w:val="0"/>
                  <w:vAlign w:val="center"/>
                </w:tcPr>
                <w:p w14:paraId="1789E657">
                  <w:pPr>
                    <w:jc w:val="center"/>
                    <w:rPr>
                      <w:rFonts w:hAnsi="Arial"/>
                      <w:color w:val="auto"/>
                      <w:szCs w:val="21"/>
                    </w:rPr>
                  </w:pPr>
                  <w:r>
                    <w:rPr>
                      <w:rFonts w:hint="eastAsia" w:hAnsi="Arial"/>
                      <w:color w:val="auto"/>
                      <w:szCs w:val="21"/>
                    </w:rPr>
                    <w:t>生活污水</w:t>
                  </w:r>
                </w:p>
                <w:p w14:paraId="7D1A2218">
                  <w:pPr>
                    <w:jc w:val="center"/>
                    <w:rPr>
                      <w:rFonts w:hAnsi="Arial"/>
                      <w:color w:val="auto"/>
                      <w:szCs w:val="21"/>
                    </w:rPr>
                  </w:pPr>
                  <w:r>
                    <w:rPr>
                      <w:rFonts w:hint="eastAsia" w:hAnsi="Arial"/>
                      <w:color w:val="auto"/>
                      <w:szCs w:val="21"/>
                      <w:lang w:val="en-US" w:eastAsia="zh-CN"/>
                    </w:rPr>
                    <w:t>8748</w:t>
                  </w:r>
                  <w:r>
                    <w:rPr>
                      <w:rFonts w:hint="eastAsia" w:hAnsi="Arial"/>
                      <w:color w:val="auto"/>
                      <w:szCs w:val="21"/>
                    </w:rPr>
                    <w:t>t/a</w:t>
                  </w:r>
                </w:p>
              </w:tc>
              <w:tc>
                <w:tcPr>
                  <w:tcW w:w="1809" w:type="dxa"/>
                  <w:noWrap w:val="0"/>
                  <w:vAlign w:val="center"/>
                </w:tcPr>
                <w:p w14:paraId="525F8E54">
                  <w:pPr>
                    <w:jc w:val="center"/>
                    <w:rPr>
                      <w:rFonts w:hint="eastAsia" w:hAnsi="Arial"/>
                      <w:color w:val="auto"/>
                      <w:szCs w:val="21"/>
                    </w:rPr>
                  </w:pPr>
                  <w:r>
                    <w:rPr>
                      <w:rFonts w:hint="eastAsia" w:hAnsi="Arial"/>
                      <w:color w:val="auto"/>
                      <w:szCs w:val="21"/>
                    </w:rPr>
                    <w:t>产生浓度（mg/L）</w:t>
                  </w:r>
                </w:p>
              </w:tc>
              <w:tc>
                <w:tcPr>
                  <w:tcW w:w="1083" w:type="dxa"/>
                  <w:noWrap w:val="0"/>
                  <w:vAlign w:val="center"/>
                </w:tcPr>
                <w:p w14:paraId="33E34849">
                  <w:pPr>
                    <w:jc w:val="center"/>
                    <w:rPr>
                      <w:rFonts w:hAnsi="Arial"/>
                      <w:color w:val="auto"/>
                      <w:szCs w:val="21"/>
                    </w:rPr>
                  </w:pPr>
                  <w:r>
                    <w:rPr>
                      <w:rFonts w:hint="eastAsia" w:hAnsi="Arial"/>
                      <w:color w:val="auto"/>
                      <w:szCs w:val="21"/>
                    </w:rPr>
                    <w:t>570</w:t>
                  </w:r>
                </w:p>
              </w:tc>
              <w:tc>
                <w:tcPr>
                  <w:tcW w:w="1545" w:type="dxa"/>
                  <w:noWrap w:val="0"/>
                  <w:vAlign w:val="center"/>
                </w:tcPr>
                <w:p w14:paraId="39083DC6">
                  <w:pPr>
                    <w:jc w:val="center"/>
                    <w:rPr>
                      <w:rFonts w:hAnsi="Arial"/>
                      <w:color w:val="auto"/>
                      <w:szCs w:val="21"/>
                    </w:rPr>
                  </w:pPr>
                  <w:r>
                    <w:rPr>
                      <w:rFonts w:hint="eastAsia" w:hAnsi="Arial"/>
                      <w:color w:val="auto"/>
                      <w:szCs w:val="21"/>
                    </w:rPr>
                    <w:t>28.3</w:t>
                  </w:r>
                </w:p>
              </w:tc>
              <w:tc>
                <w:tcPr>
                  <w:tcW w:w="1470" w:type="dxa"/>
                  <w:noWrap w:val="0"/>
                  <w:vAlign w:val="center"/>
                </w:tcPr>
                <w:p w14:paraId="7B9E1E36">
                  <w:pPr>
                    <w:jc w:val="center"/>
                    <w:rPr>
                      <w:rFonts w:hAnsi="Arial"/>
                      <w:color w:val="auto"/>
                      <w:szCs w:val="21"/>
                    </w:rPr>
                  </w:pPr>
                  <w:r>
                    <w:rPr>
                      <w:rFonts w:hint="eastAsia" w:hAnsi="Arial"/>
                      <w:color w:val="auto"/>
                      <w:szCs w:val="21"/>
                    </w:rPr>
                    <w:t>42.8</w:t>
                  </w:r>
                </w:p>
              </w:tc>
              <w:tc>
                <w:tcPr>
                  <w:tcW w:w="1444" w:type="dxa"/>
                  <w:noWrap w:val="0"/>
                  <w:vAlign w:val="center"/>
                </w:tcPr>
                <w:p w14:paraId="433BD5C2">
                  <w:pPr>
                    <w:jc w:val="center"/>
                    <w:rPr>
                      <w:rFonts w:hAnsi="Arial"/>
                      <w:color w:val="auto"/>
                      <w:szCs w:val="21"/>
                    </w:rPr>
                  </w:pPr>
                  <w:r>
                    <w:rPr>
                      <w:rFonts w:hint="eastAsia" w:hAnsi="Arial"/>
                      <w:color w:val="auto"/>
                      <w:szCs w:val="21"/>
                    </w:rPr>
                    <w:t>4.82</w:t>
                  </w:r>
                </w:p>
              </w:tc>
            </w:tr>
            <w:tr w14:paraId="49F4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noWrap w:val="0"/>
                  <w:vAlign w:val="center"/>
                </w:tcPr>
                <w:p w14:paraId="6C4E2DD6">
                  <w:pPr>
                    <w:jc w:val="center"/>
                    <w:rPr>
                      <w:rFonts w:hint="eastAsia" w:hAnsi="Arial"/>
                      <w:color w:val="auto"/>
                      <w:szCs w:val="21"/>
                    </w:rPr>
                  </w:pPr>
                </w:p>
              </w:tc>
              <w:tc>
                <w:tcPr>
                  <w:tcW w:w="1809" w:type="dxa"/>
                  <w:noWrap w:val="0"/>
                  <w:vAlign w:val="center"/>
                </w:tcPr>
                <w:p w14:paraId="2476EF66">
                  <w:pPr>
                    <w:jc w:val="center"/>
                    <w:rPr>
                      <w:rFonts w:hAnsi="Arial"/>
                      <w:color w:val="auto"/>
                      <w:szCs w:val="21"/>
                    </w:rPr>
                  </w:pPr>
                  <w:r>
                    <w:rPr>
                      <w:rFonts w:hint="eastAsia" w:hAnsi="Arial"/>
                      <w:color w:val="auto"/>
                      <w:szCs w:val="21"/>
                    </w:rPr>
                    <w:t>产生量t/a</w:t>
                  </w:r>
                </w:p>
              </w:tc>
              <w:tc>
                <w:tcPr>
                  <w:tcW w:w="1083" w:type="dxa"/>
                  <w:noWrap w:val="0"/>
                  <w:vAlign w:val="center"/>
                </w:tcPr>
                <w:p w14:paraId="3F951F5A">
                  <w:pPr>
                    <w:jc w:val="center"/>
                    <w:rPr>
                      <w:rFonts w:hint="default" w:hAnsi="Arial" w:eastAsia="宋体"/>
                      <w:color w:val="auto"/>
                      <w:szCs w:val="21"/>
                      <w:lang w:val="en-US" w:eastAsia="zh-CN"/>
                    </w:rPr>
                  </w:pPr>
                  <w:r>
                    <w:rPr>
                      <w:rFonts w:hint="eastAsia" w:hAnsi="Arial" w:eastAsia="宋体"/>
                      <w:color w:val="auto"/>
                      <w:szCs w:val="21"/>
                      <w:lang w:val="en-US" w:eastAsia="zh-CN"/>
                    </w:rPr>
                    <w:t>4.9864</w:t>
                  </w:r>
                </w:p>
              </w:tc>
              <w:tc>
                <w:tcPr>
                  <w:tcW w:w="1545" w:type="dxa"/>
                  <w:noWrap w:val="0"/>
                  <w:vAlign w:val="center"/>
                </w:tcPr>
                <w:p w14:paraId="33C3FCB4">
                  <w:pPr>
                    <w:jc w:val="center"/>
                    <w:rPr>
                      <w:rFonts w:hint="default" w:hAnsi="Arial" w:eastAsia="宋体"/>
                      <w:color w:val="auto"/>
                      <w:szCs w:val="21"/>
                      <w:lang w:val="en-US" w:eastAsia="zh-CN"/>
                    </w:rPr>
                  </w:pPr>
                  <w:r>
                    <w:rPr>
                      <w:rFonts w:hint="eastAsia" w:hAnsi="Arial" w:eastAsia="宋体"/>
                      <w:color w:val="auto"/>
                      <w:szCs w:val="21"/>
                      <w:lang w:val="en-US" w:eastAsia="zh-CN"/>
                    </w:rPr>
                    <w:t>0.2476</w:t>
                  </w:r>
                </w:p>
              </w:tc>
              <w:tc>
                <w:tcPr>
                  <w:tcW w:w="1470" w:type="dxa"/>
                  <w:noWrap w:val="0"/>
                  <w:vAlign w:val="center"/>
                </w:tcPr>
                <w:p w14:paraId="36F2130F">
                  <w:pPr>
                    <w:jc w:val="center"/>
                    <w:rPr>
                      <w:rFonts w:hint="default" w:hAnsi="Arial" w:eastAsia="宋体"/>
                      <w:color w:val="auto"/>
                      <w:szCs w:val="21"/>
                      <w:lang w:val="en-US" w:eastAsia="zh-CN"/>
                    </w:rPr>
                  </w:pPr>
                  <w:r>
                    <w:rPr>
                      <w:rFonts w:hint="eastAsia" w:hAnsi="Arial" w:eastAsia="宋体"/>
                      <w:color w:val="auto"/>
                      <w:szCs w:val="21"/>
                      <w:lang w:val="en-US" w:eastAsia="zh-CN"/>
                    </w:rPr>
                    <w:t>0.3744</w:t>
                  </w:r>
                </w:p>
              </w:tc>
              <w:tc>
                <w:tcPr>
                  <w:tcW w:w="1444" w:type="dxa"/>
                  <w:noWrap w:val="0"/>
                  <w:vAlign w:val="center"/>
                </w:tcPr>
                <w:p w14:paraId="7F0C1ACE">
                  <w:pPr>
                    <w:jc w:val="center"/>
                    <w:rPr>
                      <w:rFonts w:hint="default" w:hAnsi="Arial" w:eastAsia="宋体"/>
                      <w:color w:val="auto"/>
                      <w:szCs w:val="21"/>
                      <w:lang w:val="en-US" w:eastAsia="zh-CN"/>
                    </w:rPr>
                  </w:pPr>
                  <w:r>
                    <w:rPr>
                      <w:rFonts w:hint="eastAsia" w:hAnsi="Arial" w:eastAsia="宋体"/>
                      <w:color w:val="auto"/>
                      <w:szCs w:val="21"/>
                      <w:lang w:val="en-US" w:eastAsia="zh-CN"/>
                    </w:rPr>
                    <w:t>0.0422</w:t>
                  </w:r>
                </w:p>
              </w:tc>
            </w:tr>
            <w:tr w14:paraId="7829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noWrap w:val="0"/>
                  <w:vAlign w:val="center"/>
                </w:tcPr>
                <w:p w14:paraId="434E4D83">
                  <w:pPr>
                    <w:jc w:val="center"/>
                    <w:rPr>
                      <w:rFonts w:hint="eastAsia" w:hAnsi="Arial"/>
                      <w:color w:val="auto"/>
                      <w:szCs w:val="21"/>
                    </w:rPr>
                  </w:pPr>
                </w:p>
              </w:tc>
              <w:tc>
                <w:tcPr>
                  <w:tcW w:w="1809" w:type="dxa"/>
                  <w:noWrap w:val="0"/>
                  <w:vAlign w:val="center"/>
                </w:tcPr>
                <w:p w14:paraId="1E879875">
                  <w:pPr>
                    <w:jc w:val="center"/>
                    <w:rPr>
                      <w:rFonts w:hint="eastAsia" w:hAnsi="Arial"/>
                      <w:color w:val="auto"/>
                      <w:szCs w:val="21"/>
                    </w:rPr>
                  </w:pPr>
                  <w:r>
                    <w:rPr>
                      <w:rFonts w:hint="eastAsia" w:hAnsi="Arial"/>
                      <w:color w:val="auto"/>
                      <w:szCs w:val="21"/>
                    </w:rPr>
                    <w:t>处理设施</w:t>
                  </w:r>
                </w:p>
              </w:tc>
              <w:tc>
                <w:tcPr>
                  <w:tcW w:w="5542" w:type="dxa"/>
                  <w:gridSpan w:val="4"/>
                  <w:noWrap w:val="0"/>
                  <w:vAlign w:val="center"/>
                </w:tcPr>
                <w:p w14:paraId="2CB796DD">
                  <w:pPr>
                    <w:jc w:val="center"/>
                    <w:rPr>
                      <w:rFonts w:hint="eastAsia" w:hAnsi="Arial"/>
                      <w:color w:val="auto"/>
                      <w:szCs w:val="21"/>
                    </w:rPr>
                  </w:pPr>
                  <w:r>
                    <w:rPr>
                      <w:rFonts w:hint="eastAsia" w:hAnsi="Arial"/>
                      <w:color w:val="auto"/>
                      <w:szCs w:val="21"/>
                    </w:rPr>
                    <w:t>化粪池</w:t>
                  </w:r>
                </w:p>
              </w:tc>
            </w:tr>
            <w:tr w14:paraId="55A5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noWrap w:val="0"/>
                  <w:vAlign w:val="center"/>
                </w:tcPr>
                <w:p w14:paraId="64ECEA49">
                  <w:pPr>
                    <w:jc w:val="center"/>
                    <w:rPr>
                      <w:rFonts w:hAnsi="Arial"/>
                      <w:color w:val="auto"/>
                      <w:szCs w:val="21"/>
                    </w:rPr>
                  </w:pPr>
                </w:p>
              </w:tc>
              <w:tc>
                <w:tcPr>
                  <w:tcW w:w="1809" w:type="dxa"/>
                  <w:noWrap w:val="0"/>
                  <w:vAlign w:val="center"/>
                </w:tcPr>
                <w:p w14:paraId="1E7B49F3">
                  <w:pPr>
                    <w:jc w:val="center"/>
                    <w:rPr>
                      <w:rFonts w:hAnsi="Arial"/>
                      <w:color w:val="auto"/>
                      <w:szCs w:val="21"/>
                    </w:rPr>
                  </w:pPr>
                  <w:r>
                    <w:rPr>
                      <w:rFonts w:hint="eastAsia" w:hAnsi="Arial"/>
                      <w:color w:val="auto"/>
                      <w:szCs w:val="21"/>
                    </w:rPr>
                    <w:t>排放浓度（mg/L）</w:t>
                  </w:r>
                </w:p>
              </w:tc>
              <w:tc>
                <w:tcPr>
                  <w:tcW w:w="1083" w:type="dxa"/>
                  <w:noWrap w:val="0"/>
                  <w:vAlign w:val="center"/>
                </w:tcPr>
                <w:p w14:paraId="138D7532">
                  <w:pPr>
                    <w:jc w:val="center"/>
                    <w:rPr>
                      <w:rFonts w:hAnsi="Arial"/>
                      <w:color w:val="auto"/>
                      <w:szCs w:val="21"/>
                    </w:rPr>
                  </w:pPr>
                  <w:r>
                    <w:rPr>
                      <w:rFonts w:hint="eastAsia" w:hAnsi="Arial"/>
                      <w:color w:val="auto"/>
                      <w:szCs w:val="21"/>
                    </w:rPr>
                    <w:t>285</w:t>
                  </w:r>
                </w:p>
              </w:tc>
              <w:tc>
                <w:tcPr>
                  <w:tcW w:w="1545" w:type="dxa"/>
                  <w:noWrap w:val="0"/>
                  <w:vAlign w:val="center"/>
                </w:tcPr>
                <w:p w14:paraId="11A37694">
                  <w:pPr>
                    <w:jc w:val="center"/>
                    <w:rPr>
                      <w:rFonts w:hAnsi="Arial"/>
                      <w:color w:val="auto"/>
                      <w:szCs w:val="21"/>
                    </w:rPr>
                  </w:pPr>
                  <w:r>
                    <w:rPr>
                      <w:rFonts w:hint="eastAsia" w:hAnsi="Arial"/>
                      <w:color w:val="auto"/>
                      <w:szCs w:val="21"/>
                    </w:rPr>
                    <w:t>28.3</w:t>
                  </w:r>
                </w:p>
              </w:tc>
              <w:tc>
                <w:tcPr>
                  <w:tcW w:w="1470" w:type="dxa"/>
                  <w:noWrap w:val="0"/>
                  <w:vAlign w:val="center"/>
                </w:tcPr>
                <w:p w14:paraId="7952CD14">
                  <w:pPr>
                    <w:jc w:val="center"/>
                    <w:rPr>
                      <w:rFonts w:hAnsi="Arial"/>
                      <w:color w:val="auto"/>
                      <w:szCs w:val="21"/>
                    </w:rPr>
                  </w:pPr>
                  <w:r>
                    <w:rPr>
                      <w:rFonts w:hint="eastAsia" w:hAnsi="Arial"/>
                      <w:color w:val="auto"/>
                      <w:szCs w:val="21"/>
                    </w:rPr>
                    <w:t>39.4</w:t>
                  </w:r>
                </w:p>
              </w:tc>
              <w:tc>
                <w:tcPr>
                  <w:tcW w:w="1444" w:type="dxa"/>
                  <w:noWrap w:val="0"/>
                  <w:vAlign w:val="center"/>
                </w:tcPr>
                <w:p w14:paraId="5CB0BD9A">
                  <w:pPr>
                    <w:jc w:val="center"/>
                    <w:rPr>
                      <w:rFonts w:hAnsi="Arial"/>
                      <w:color w:val="auto"/>
                      <w:szCs w:val="21"/>
                    </w:rPr>
                  </w:pPr>
                  <w:r>
                    <w:rPr>
                      <w:rFonts w:hint="eastAsia" w:hAnsi="Arial"/>
                      <w:color w:val="auto"/>
                      <w:szCs w:val="21"/>
                    </w:rPr>
                    <w:t>4.10</w:t>
                  </w:r>
                </w:p>
              </w:tc>
            </w:tr>
            <w:tr w14:paraId="7B80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noWrap w:val="0"/>
                  <w:vAlign w:val="center"/>
                </w:tcPr>
                <w:p w14:paraId="11A578AE">
                  <w:pPr>
                    <w:jc w:val="center"/>
                    <w:rPr>
                      <w:rFonts w:hint="eastAsia" w:hAnsi="Arial"/>
                      <w:color w:val="auto"/>
                      <w:szCs w:val="21"/>
                    </w:rPr>
                  </w:pPr>
                </w:p>
              </w:tc>
              <w:tc>
                <w:tcPr>
                  <w:tcW w:w="1809" w:type="dxa"/>
                  <w:noWrap w:val="0"/>
                  <w:vAlign w:val="center"/>
                </w:tcPr>
                <w:p w14:paraId="0C83E92F">
                  <w:pPr>
                    <w:jc w:val="center"/>
                    <w:rPr>
                      <w:rFonts w:hAnsi="Arial"/>
                      <w:color w:val="auto"/>
                      <w:szCs w:val="21"/>
                    </w:rPr>
                  </w:pPr>
                  <w:r>
                    <w:rPr>
                      <w:rFonts w:hint="eastAsia" w:hAnsi="Arial"/>
                      <w:color w:val="auto"/>
                      <w:szCs w:val="21"/>
                    </w:rPr>
                    <w:t>排放量t/a</w:t>
                  </w:r>
                </w:p>
              </w:tc>
              <w:tc>
                <w:tcPr>
                  <w:tcW w:w="1083" w:type="dxa"/>
                  <w:noWrap w:val="0"/>
                  <w:vAlign w:val="center"/>
                </w:tcPr>
                <w:p w14:paraId="3CB2504B">
                  <w:pPr>
                    <w:jc w:val="center"/>
                    <w:rPr>
                      <w:rFonts w:hint="default" w:hAnsi="Arial" w:eastAsia="宋体"/>
                      <w:color w:val="auto"/>
                      <w:szCs w:val="21"/>
                      <w:lang w:val="en-US" w:eastAsia="zh-CN"/>
                    </w:rPr>
                  </w:pPr>
                  <w:r>
                    <w:rPr>
                      <w:rFonts w:hint="eastAsia" w:hAnsi="Arial" w:eastAsia="宋体"/>
                      <w:color w:val="auto"/>
                      <w:szCs w:val="21"/>
                      <w:lang w:val="en-US" w:eastAsia="zh-CN"/>
                    </w:rPr>
                    <w:t>2.4932</w:t>
                  </w:r>
                </w:p>
              </w:tc>
              <w:tc>
                <w:tcPr>
                  <w:tcW w:w="1545" w:type="dxa"/>
                  <w:noWrap w:val="0"/>
                  <w:vAlign w:val="center"/>
                </w:tcPr>
                <w:p w14:paraId="4BD70F4D">
                  <w:pPr>
                    <w:jc w:val="center"/>
                    <w:rPr>
                      <w:rFonts w:hint="default" w:hAnsi="Arial" w:eastAsia="宋体"/>
                      <w:color w:val="auto"/>
                      <w:szCs w:val="21"/>
                      <w:lang w:val="en-US" w:eastAsia="zh-CN"/>
                    </w:rPr>
                  </w:pPr>
                  <w:r>
                    <w:rPr>
                      <w:rFonts w:hint="eastAsia" w:hAnsi="Arial" w:eastAsia="宋体"/>
                      <w:color w:val="auto"/>
                      <w:szCs w:val="21"/>
                      <w:lang w:val="en-US" w:eastAsia="zh-CN"/>
                    </w:rPr>
                    <w:t>0.2476</w:t>
                  </w:r>
                </w:p>
              </w:tc>
              <w:tc>
                <w:tcPr>
                  <w:tcW w:w="1470" w:type="dxa"/>
                  <w:noWrap w:val="0"/>
                  <w:vAlign w:val="center"/>
                </w:tcPr>
                <w:p w14:paraId="52085C88">
                  <w:pPr>
                    <w:jc w:val="center"/>
                    <w:rPr>
                      <w:rFonts w:hint="default" w:hAnsi="Arial" w:eastAsia="宋体"/>
                      <w:color w:val="auto"/>
                      <w:szCs w:val="21"/>
                      <w:lang w:val="en-US" w:eastAsia="zh-CN"/>
                    </w:rPr>
                  </w:pPr>
                  <w:r>
                    <w:rPr>
                      <w:rFonts w:hint="eastAsia" w:hAnsi="Arial" w:eastAsia="宋体"/>
                      <w:color w:val="auto"/>
                      <w:szCs w:val="21"/>
                      <w:lang w:val="en-US" w:eastAsia="zh-CN"/>
                    </w:rPr>
                    <w:t>0.3447</w:t>
                  </w:r>
                </w:p>
              </w:tc>
              <w:tc>
                <w:tcPr>
                  <w:tcW w:w="1444" w:type="dxa"/>
                  <w:noWrap w:val="0"/>
                  <w:vAlign w:val="center"/>
                </w:tcPr>
                <w:p w14:paraId="724FE4E5">
                  <w:pPr>
                    <w:jc w:val="center"/>
                    <w:rPr>
                      <w:rFonts w:hint="default" w:hAnsi="Arial" w:eastAsia="宋体"/>
                      <w:color w:val="auto"/>
                      <w:szCs w:val="21"/>
                      <w:lang w:val="en-US" w:eastAsia="zh-CN"/>
                    </w:rPr>
                  </w:pPr>
                  <w:r>
                    <w:rPr>
                      <w:rFonts w:hint="eastAsia" w:hAnsi="Arial" w:eastAsia="宋体"/>
                      <w:color w:val="auto"/>
                      <w:szCs w:val="21"/>
                      <w:lang w:val="en-US" w:eastAsia="zh-CN"/>
                    </w:rPr>
                    <w:t>0.0359</w:t>
                  </w:r>
                </w:p>
              </w:tc>
            </w:tr>
            <w:tr w14:paraId="08B2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noWrap w:val="0"/>
                  <w:vAlign w:val="center"/>
                </w:tcPr>
                <w:p w14:paraId="5D48BC31">
                  <w:pPr>
                    <w:jc w:val="center"/>
                    <w:rPr>
                      <w:rFonts w:hAnsi="Arial"/>
                      <w:color w:val="000000"/>
                      <w:szCs w:val="21"/>
                    </w:rPr>
                  </w:pPr>
                </w:p>
              </w:tc>
              <w:tc>
                <w:tcPr>
                  <w:tcW w:w="1809" w:type="dxa"/>
                  <w:noWrap w:val="0"/>
                  <w:vAlign w:val="center"/>
                </w:tcPr>
                <w:p w14:paraId="0DAFF862">
                  <w:pPr>
                    <w:jc w:val="center"/>
                    <w:rPr>
                      <w:rFonts w:hint="eastAsia" w:hAnsi="Arial"/>
                      <w:color w:val="000000"/>
                      <w:szCs w:val="21"/>
                    </w:rPr>
                  </w:pPr>
                  <w:r>
                    <w:rPr>
                      <w:rFonts w:hint="eastAsia" w:hAnsi="Arial"/>
                      <w:color w:val="000000"/>
                      <w:szCs w:val="21"/>
                    </w:rPr>
                    <w:t>排放方式</w:t>
                  </w:r>
                </w:p>
              </w:tc>
              <w:tc>
                <w:tcPr>
                  <w:tcW w:w="5542" w:type="dxa"/>
                  <w:gridSpan w:val="4"/>
                  <w:noWrap w:val="0"/>
                  <w:vAlign w:val="center"/>
                </w:tcPr>
                <w:p w14:paraId="45CBE5C5">
                  <w:pPr>
                    <w:jc w:val="center"/>
                    <w:rPr>
                      <w:rFonts w:hint="eastAsia" w:hAnsi="Arial"/>
                      <w:color w:val="000000"/>
                      <w:szCs w:val="21"/>
                    </w:rPr>
                  </w:pPr>
                  <w:r>
                    <w:rPr>
                      <w:rFonts w:hint="eastAsia" w:hAnsi="Arial"/>
                      <w:color w:val="000000"/>
                      <w:szCs w:val="21"/>
                    </w:rPr>
                    <w:t>间接排放</w:t>
                  </w:r>
                </w:p>
              </w:tc>
            </w:tr>
            <w:tr w14:paraId="4161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noWrap w:val="0"/>
                  <w:vAlign w:val="center"/>
                </w:tcPr>
                <w:p w14:paraId="5B02F03C">
                  <w:pPr>
                    <w:jc w:val="center"/>
                    <w:rPr>
                      <w:rFonts w:hAnsi="Arial"/>
                      <w:color w:val="000000"/>
                      <w:szCs w:val="21"/>
                    </w:rPr>
                  </w:pPr>
                </w:p>
              </w:tc>
              <w:tc>
                <w:tcPr>
                  <w:tcW w:w="1809" w:type="dxa"/>
                  <w:noWrap w:val="0"/>
                  <w:vAlign w:val="center"/>
                </w:tcPr>
                <w:p w14:paraId="4F3AA1AB">
                  <w:pPr>
                    <w:jc w:val="center"/>
                    <w:rPr>
                      <w:rFonts w:hint="eastAsia" w:hAnsi="Arial"/>
                      <w:color w:val="000000"/>
                      <w:szCs w:val="21"/>
                    </w:rPr>
                  </w:pPr>
                  <w:r>
                    <w:rPr>
                      <w:rFonts w:hint="eastAsia" w:hAnsi="Arial"/>
                      <w:color w:val="000000"/>
                      <w:szCs w:val="21"/>
                    </w:rPr>
                    <w:t>排放去向</w:t>
                  </w:r>
                </w:p>
              </w:tc>
              <w:tc>
                <w:tcPr>
                  <w:tcW w:w="5542" w:type="dxa"/>
                  <w:gridSpan w:val="4"/>
                  <w:noWrap w:val="0"/>
                  <w:vAlign w:val="center"/>
                </w:tcPr>
                <w:p w14:paraId="600F16AA">
                  <w:pPr>
                    <w:jc w:val="center"/>
                    <w:rPr>
                      <w:rFonts w:hint="eastAsia" w:hAnsi="Arial"/>
                      <w:color w:val="000000"/>
                      <w:szCs w:val="21"/>
                    </w:rPr>
                  </w:pPr>
                  <w:r>
                    <w:rPr>
                      <w:rFonts w:hint="eastAsia" w:hAnsi="Arial"/>
                      <w:color w:val="000000"/>
                      <w:szCs w:val="21"/>
                      <w:lang w:val="en-US" w:eastAsia="zh-CN"/>
                    </w:rPr>
                    <w:t>钦州港工业污水集中处理厂</w:t>
                  </w:r>
                </w:p>
              </w:tc>
            </w:tr>
            <w:tr w14:paraId="2DF1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9" w:type="dxa"/>
                  <w:vMerge w:val="continue"/>
                  <w:noWrap w:val="0"/>
                  <w:vAlign w:val="center"/>
                </w:tcPr>
                <w:p w14:paraId="6F1C286B">
                  <w:pPr>
                    <w:jc w:val="center"/>
                    <w:rPr>
                      <w:rFonts w:hAnsi="Arial"/>
                      <w:color w:val="000000"/>
                      <w:szCs w:val="21"/>
                    </w:rPr>
                  </w:pPr>
                </w:p>
              </w:tc>
              <w:tc>
                <w:tcPr>
                  <w:tcW w:w="1809" w:type="dxa"/>
                  <w:noWrap w:val="0"/>
                  <w:vAlign w:val="center"/>
                </w:tcPr>
                <w:p w14:paraId="678BAB74">
                  <w:pPr>
                    <w:jc w:val="center"/>
                    <w:rPr>
                      <w:rFonts w:hint="eastAsia" w:hAnsi="Arial"/>
                      <w:color w:val="000000"/>
                      <w:szCs w:val="21"/>
                    </w:rPr>
                  </w:pPr>
                  <w:r>
                    <w:rPr>
                      <w:rFonts w:hint="eastAsia" w:hAnsi="Arial"/>
                      <w:color w:val="000000"/>
                      <w:szCs w:val="21"/>
                    </w:rPr>
                    <w:t>排放规律</w:t>
                  </w:r>
                </w:p>
              </w:tc>
              <w:tc>
                <w:tcPr>
                  <w:tcW w:w="5542" w:type="dxa"/>
                  <w:gridSpan w:val="4"/>
                  <w:noWrap w:val="0"/>
                  <w:vAlign w:val="center"/>
                </w:tcPr>
                <w:p w14:paraId="10BF7F04">
                  <w:pPr>
                    <w:jc w:val="center"/>
                    <w:rPr>
                      <w:rFonts w:hint="eastAsia" w:hAnsi="Arial"/>
                      <w:color w:val="000000"/>
                      <w:szCs w:val="21"/>
                    </w:rPr>
                  </w:pPr>
                  <w:r>
                    <w:rPr>
                      <w:rFonts w:hint="eastAsia" w:hAnsi="Arial"/>
                      <w:color w:val="000000"/>
                      <w:szCs w:val="21"/>
                    </w:rPr>
                    <w:t>间歇排放</w:t>
                  </w:r>
                </w:p>
              </w:tc>
            </w:tr>
            <w:tr w14:paraId="1186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8" w:type="dxa"/>
                  <w:gridSpan w:val="2"/>
                  <w:noWrap w:val="0"/>
                  <w:vAlign w:val="center"/>
                </w:tcPr>
                <w:p w14:paraId="114433F4">
                  <w:pPr>
                    <w:jc w:val="center"/>
                    <w:rPr>
                      <w:rFonts w:hint="default" w:hAnsi="Arial" w:eastAsia="宋体"/>
                      <w:color w:val="000000"/>
                      <w:szCs w:val="21"/>
                      <w:lang w:val="en-US" w:eastAsia="zh-CN"/>
                    </w:rPr>
                  </w:pPr>
                  <w:r>
                    <w:rPr>
                      <w:rFonts w:hint="eastAsia" w:hAnsi="Arial"/>
                      <w:color w:val="000000"/>
                      <w:szCs w:val="21"/>
                      <w:lang w:val="en-US" w:eastAsia="zh-CN"/>
                    </w:rPr>
                    <w:t>钦州港工业污水集中处理厂进水水质要求</w:t>
                  </w:r>
                </w:p>
              </w:tc>
              <w:tc>
                <w:tcPr>
                  <w:tcW w:w="1083" w:type="dxa"/>
                  <w:noWrap w:val="0"/>
                  <w:vAlign w:val="center"/>
                </w:tcPr>
                <w:p w14:paraId="537085FC">
                  <w:pPr>
                    <w:jc w:val="center"/>
                    <w:rPr>
                      <w:rFonts w:hAnsi="Arial"/>
                      <w:color w:val="000000"/>
                      <w:szCs w:val="21"/>
                    </w:rPr>
                  </w:pPr>
                  <w:r>
                    <w:rPr>
                      <w:color w:val="000000"/>
                      <w:szCs w:val="21"/>
                    </w:rPr>
                    <w:t>≤</w:t>
                  </w:r>
                  <w:r>
                    <w:rPr>
                      <w:rFonts w:hint="eastAsia" w:hAnsi="Arial"/>
                      <w:color w:val="000000"/>
                      <w:szCs w:val="21"/>
                      <w:lang w:val="en-US" w:eastAsia="zh-CN"/>
                    </w:rPr>
                    <w:t>10</w:t>
                  </w:r>
                  <w:r>
                    <w:rPr>
                      <w:rFonts w:hint="eastAsia" w:hAnsi="Arial"/>
                      <w:color w:val="000000"/>
                      <w:szCs w:val="21"/>
                    </w:rPr>
                    <w:t>00</w:t>
                  </w:r>
                </w:p>
              </w:tc>
              <w:tc>
                <w:tcPr>
                  <w:tcW w:w="1545" w:type="dxa"/>
                  <w:noWrap w:val="0"/>
                  <w:vAlign w:val="center"/>
                </w:tcPr>
                <w:p w14:paraId="61B3874F">
                  <w:pPr>
                    <w:jc w:val="center"/>
                    <w:rPr>
                      <w:rFonts w:hint="default" w:hAnsi="Arial" w:eastAsia="宋体"/>
                      <w:color w:val="000000"/>
                      <w:szCs w:val="21"/>
                      <w:lang w:val="en-US" w:eastAsia="zh-CN"/>
                    </w:rPr>
                  </w:pPr>
                  <w:r>
                    <w:rPr>
                      <w:color w:val="000000"/>
                      <w:szCs w:val="21"/>
                    </w:rPr>
                    <w:t>≤</w:t>
                  </w:r>
                  <w:r>
                    <w:rPr>
                      <w:rFonts w:hint="eastAsia" w:hAnsi="Arial"/>
                      <w:color w:val="000000"/>
                      <w:szCs w:val="21"/>
                      <w:lang w:val="en-US" w:eastAsia="zh-CN"/>
                    </w:rPr>
                    <w:t>50</w:t>
                  </w:r>
                </w:p>
              </w:tc>
              <w:tc>
                <w:tcPr>
                  <w:tcW w:w="1470" w:type="dxa"/>
                  <w:noWrap w:val="0"/>
                  <w:vAlign w:val="center"/>
                </w:tcPr>
                <w:p w14:paraId="038C15D2">
                  <w:pPr>
                    <w:jc w:val="center"/>
                    <w:rPr>
                      <w:rFonts w:hAnsi="Arial"/>
                      <w:color w:val="000000"/>
                      <w:szCs w:val="21"/>
                    </w:rPr>
                  </w:pPr>
                  <w:r>
                    <w:rPr>
                      <w:rFonts w:hint="eastAsia" w:hAnsi="Arial"/>
                      <w:color w:val="000000"/>
                      <w:szCs w:val="21"/>
                    </w:rPr>
                    <w:t>—</w:t>
                  </w:r>
                </w:p>
              </w:tc>
              <w:tc>
                <w:tcPr>
                  <w:tcW w:w="1444" w:type="dxa"/>
                  <w:noWrap w:val="0"/>
                  <w:vAlign w:val="center"/>
                </w:tcPr>
                <w:p w14:paraId="7EEEC3F3">
                  <w:pPr>
                    <w:jc w:val="center"/>
                    <w:rPr>
                      <w:rFonts w:hAnsi="Arial"/>
                      <w:color w:val="000000"/>
                      <w:szCs w:val="21"/>
                    </w:rPr>
                  </w:pPr>
                  <w:r>
                    <w:rPr>
                      <w:rFonts w:hint="eastAsia" w:hAnsi="Arial"/>
                      <w:color w:val="000000"/>
                      <w:szCs w:val="21"/>
                    </w:rPr>
                    <w:t>—</w:t>
                  </w:r>
                </w:p>
              </w:tc>
            </w:tr>
            <w:tr w14:paraId="06BA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8" w:type="dxa"/>
                  <w:gridSpan w:val="2"/>
                  <w:noWrap w:val="0"/>
                  <w:vAlign w:val="center"/>
                </w:tcPr>
                <w:p w14:paraId="6A3F4B76">
                  <w:pPr>
                    <w:jc w:val="center"/>
                    <w:rPr>
                      <w:rFonts w:hint="default" w:hAnsi="Arial"/>
                      <w:color w:val="000000"/>
                      <w:szCs w:val="21"/>
                      <w:lang w:val="en-US" w:eastAsia="zh-CN"/>
                    </w:rPr>
                  </w:pPr>
                  <w:r>
                    <w:rPr>
                      <w:rFonts w:hint="eastAsia" w:hAnsi="Arial"/>
                      <w:color w:val="000000"/>
                      <w:szCs w:val="21"/>
                      <w:lang w:val="en-US" w:eastAsia="zh-CN"/>
                    </w:rPr>
                    <w:t>《污水综合排放标准》（GB8978-1996）三级标准</w:t>
                  </w:r>
                </w:p>
              </w:tc>
              <w:tc>
                <w:tcPr>
                  <w:tcW w:w="1083" w:type="dxa"/>
                  <w:noWrap w:val="0"/>
                  <w:vAlign w:val="center"/>
                </w:tcPr>
                <w:p w14:paraId="0448D423">
                  <w:pPr>
                    <w:jc w:val="center"/>
                    <w:rPr>
                      <w:rFonts w:hint="default" w:eastAsia="宋体"/>
                      <w:color w:val="000000"/>
                      <w:szCs w:val="21"/>
                      <w:lang w:val="en-US" w:eastAsia="zh-CN"/>
                    </w:rPr>
                  </w:pPr>
                  <w:r>
                    <w:rPr>
                      <w:color w:val="000000"/>
                      <w:szCs w:val="21"/>
                    </w:rPr>
                    <w:t>≤</w:t>
                  </w:r>
                  <w:r>
                    <w:rPr>
                      <w:rFonts w:hint="eastAsia"/>
                      <w:color w:val="000000"/>
                      <w:szCs w:val="21"/>
                      <w:lang w:val="en-US" w:eastAsia="zh-CN"/>
                    </w:rPr>
                    <w:t>500</w:t>
                  </w:r>
                </w:p>
              </w:tc>
              <w:tc>
                <w:tcPr>
                  <w:tcW w:w="1545" w:type="dxa"/>
                  <w:noWrap w:val="0"/>
                  <w:vAlign w:val="center"/>
                </w:tcPr>
                <w:p w14:paraId="1C68726C">
                  <w:pPr>
                    <w:jc w:val="center"/>
                    <w:rPr>
                      <w:rFonts w:hint="default" w:eastAsia="宋体"/>
                      <w:color w:val="000000"/>
                      <w:szCs w:val="21"/>
                      <w:lang w:val="en-US" w:eastAsia="zh-CN"/>
                    </w:rPr>
                  </w:pPr>
                  <w:r>
                    <w:rPr>
                      <w:color w:val="000000"/>
                      <w:szCs w:val="21"/>
                    </w:rPr>
                    <w:t>≤</w:t>
                  </w:r>
                  <w:r>
                    <w:rPr>
                      <w:rFonts w:hint="eastAsia"/>
                      <w:color w:val="000000"/>
                      <w:szCs w:val="21"/>
                      <w:lang w:val="en-US" w:eastAsia="zh-CN"/>
                    </w:rPr>
                    <w:t>45</w:t>
                  </w:r>
                </w:p>
              </w:tc>
              <w:tc>
                <w:tcPr>
                  <w:tcW w:w="1470" w:type="dxa"/>
                  <w:noWrap w:val="0"/>
                  <w:vAlign w:val="center"/>
                </w:tcPr>
                <w:p w14:paraId="3874A339">
                  <w:pPr>
                    <w:jc w:val="center"/>
                    <w:rPr>
                      <w:rFonts w:hint="eastAsia" w:hAnsi="Arial" w:eastAsia="宋体"/>
                      <w:color w:val="000000"/>
                      <w:szCs w:val="21"/>
                      <w:lang w:eastAsia="zh-CN"/>
                    </w:rPr>
                  </w:pPr>
                  <w:r>
                    <w:rPr>
                      <w:rFonts w:hint="eastAsia" w:hAnsi="Arial"/>
                      <w:color w:val="000000"/>
                      <w:szCs w:val="21"/>
                      <w:lang w:eastAsia="zh-CN"/>
                    </w:rPr>
                    <w:t>—</w:t>
                  </w:r>
                </w:p>
              </w:tc>
              <w:tc>
                <w:tcPr>
                  <w:tcW w:w="1444" w:type="dxa"/>
                  <w:noWrap w:val="0"/>
                  <w:vAlign w:val="center"/>
                </w:tcPr>
                <w:p w14:paraId="015EA95F">
                  <w:pPr>
                    <w:jc w:val="center"/>
                    <w:rPr>
                      <w:rFonts w:hint="eastAsia" w:hAnsi="Arial" w:eastAsia="宋体"/>
                      <w:color w:val="000000"/>
                      <w:szCs w:val="21"/>
                      <w:lang w:eastAsia="zh-CN"/>
                    </w:rPr>
                  </w:pPr>
                  <w:r>
                    <w:rPr>
                      <w:rFonts w:hint="eastAsia" w:hAnsi="Arial"/>
                      <w:color w:val="000000"/>
                      <w:szCs w:val="21"/>
                      <w:lang w:eastAsia="zh-CN"/>
                    </w:rPr>
                    <w:t>—</w:t>
                  </w:r>
                </w:p>
              </w:tc>
            </w:tr>
          </w:tbl>
          <w:p w14:paraId="60D2718F">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现有工程生活污水满足《污水综合排放标准》（GB8978-1996）三级标准和</w:t>
            </w:r>
            <w:r>
              <w:rPr>
                <w:rFonts w:hint="eastAsia" w:cs="Times New Roman"/>
                <w:color w:val="auto"/>
                <w:kern w:val="0"/>
                <w:sz w:val="24"/>
                <w:lang w:val="en-US" w:eastAsia="zh-CN"/>
              </w:rPr>
              <w:t>钦州港工业污水集中处理厂</w:t>
            </w:r>
            <w:r>
              <w:rPr>
                <w:rFonts w:hint="eastAsia" w:ascii="Times New Roman" w:hAnsi="Times New Roman" w:eastAsia="宋体" w:cs="Times New Roman"/>
                <w:color w:val="auto"/>
                <w:kern w:val="0"/>
                <w:sz w:val="24"/>
                <w:lang w:val="en-US" w:eastAsia="zh-CN"/>
              </w:rPr>
              <w:t>进水水质</w:t>
            </w:r>
            <w:r>
              <w:rPr>
                <w:rFonts w:hint="eastAsia" w:cs="Times New Roman"/>
                <w:color w:val="auto"/>
                <w:kern w:val="0"/>
                <w:sz w:val="24"/>
                <w:lang w:val="en-US" w:eastAsia="zh-CN"/>
              </w:rPr>
              <w:t>要求</w:t>
            </w:r>
            <w:r>
              <w:rPr>
                <w:rFonts w:hint="eastAsia" w:ascii="Times New Roman" w:hAnsi="Times New Roman" w:eastAsia="宋体" w:cs="Times New Roman"/>
                <w:color w:val="auto"/>
                <w:kern w:val="0"/>
                <w:sz w:val="24"/>
                <w:lang w:val="en-US" w:eastAsia="zh-CN"/>
              </w:rPr>
              <w:t>。</w:t>
            </w:r>
          </w:p>
          <w:p w14:paraId="164EC8EE">
            <w:pPr>
              <w:pStyle w:val="6"/>
              <w:spacing w:line="500" w:lineRule="exact"/>
              <w:ind w:firstLine="482"/>
              <w:jc w:val="center"/>
              <w:rPr>
                <w:rFonts w:hint="eastAsia" w:ascii="Times New Roman" w:hAnsi="Times New Roman" w:eastAsia="宋体" w:cs="Times New Roman"/>
                <w:b/>
                <w:bCs/>
                <w:color w:val="000000"/>
                <w:kern w:val="0"/>
                <w:sz w:val="24"/>
                <w:lang w:val="en-GB" w:eastAsia="zh-CN"/>
              </w:rPr>
            </w:pPr>
            <w:r>
              <w:rPr>
                <w:rFonts w:hint="eastAsia" w:ascii="Times New Roman" w:hAnsi="Times New Roman" w:eastAsia="宋体" w:cs="Times New Roman"/>
                <w:b/>
                <w:bCs/>
                <w:color w:val="000000"/>
                <w:kern w:val="0"/>
                <w:sz w:val="24"/>
                <w:lang w:val="en-GB" w:eastAsia="zh-CN"/>
              </w:rPr>
              <w:t>表</w:t>
            </w:r>
            <w:r>
              <w:rPr>
                <w:rFonts w:hint="eastAsia" w:ascii="Times New Roman" w:hAnsi="Times New Roman" w:eastAsia="宋体" w:cs="Times New Roman"/>
                <w:b/>
                <w:bCs/>
                <w:color w:val="000000"/>
                <w:kern w:val="0"/>
                <w:sz w:val="24"/>
                <w:lang w:val="en-US" w:eastAsia="zh-CN"/>
              </w:rPr>
              <w:t>2-</w:t>
            </w:r>
            <w:r>
              <w:rPr>
                <w:rFonts w:hint="eastAsia" w:cs="Times New Roman"/>
                <w:b/>
                <w:bCs/>
                <w:color w:val="000000"/>
                <w:kern w:val="0"/>
                <w:sz w:val="24"/>
                <w:lang w:val="en-US" w:eastAsia="zh-CN"/>
              </w:rPr>
              <w:t>19</w:t>
            </w:r>
            <w:r>
              <w:rPr>
                <w:rFonts w:hint="eastAsia" w:ascii="Times New Roman" w:hAnsi="Times New Roman" w:eastAsia="宋体" w:cs="Times New Roman"/>
                <w:b/>
                <w:bCs/>
                <w:color w:val="000000"/>
                <w:kern w:val="0"/>
                <w:sz w:val="24"/>
                <w:lang w:val="en-GB" w:eastAsia="zh-CN"/>
              </w:rPr>
              <w:t xml:space="preserve">  </w:t>
            </w:r>
            <w:r>
              <w:rPr>
                <w:rFonts w:hint="eastAsia" w:ascii="Times New Roman" w:hAnsi="Times New Roman" w:eastAsia="宋体" w:cs="Times New Roman"/>
                <w:b/>
                <w:bCs/>
                <w:color w:val="000000"/>
                <w:kern w:val="0"/>
                <w:sz w:val="24"/>
                <w:lang w:val="en-US" w:eastAsia="zh-CN"/>
              </w:rPr>
              <w:t>现有工程废水</w:t>
            </w:r>
            <w:r>
              <w:rPr>
                <w:rFonts w:hint="eastAsia" w:ascii="Times New Roman" w:hAnsi="Times New Roman" w:eastAsia="宋体" w:cs="Times New Roman"/>
                <w:b/>
                <w:bCs/>
                <w:color w:val="000000"/>
                <w:kern w:val="0"/>
                <w:sz w:val="24"/>
                <w:lang w:val="en-GB" w:eastAsia="zh-CN"/>
              </w:rPr>
              <w:t>污染物排放量汇总表（单位：t/a）</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63"/>
              <w:gridCol w:w="3795"/>
              <w:gridCol w:w="3452"/>
            </w:tblGrid>
            <w:tr w14:paraId="2DA3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91" w:type="pct"/>
                  <w:tcBorders>
                    <w:tl2br w:val="nil"/>
                    <w:tr2bl w:val="nil"/>
                  </w:tcBorders>
                  <w:noWrap w:val="0"/>
                  <w:vAlign w:val="center"/>
                </w:tcPr>
                <w:p w14:paraId="1D78FD60">
                  <w:pPr>
                    <w:jc w:val="center"/>
                    <w:rPr>
                      <w:color w:val="auto"/>
                      <w:u w:val="none"/>
                    </w:rPr>
                  </w:pPr>
                  <w:r>
                    <w:rPr>
                      <w:color w:val="auto"/>
                      <w:u w:val="none"/>
                    </w:rPr>
                    <w:t>项目</w:t>
                  </w:r>
                </w:p>
              </w:tc>
              <w:tc>
                <w:tcPr>
                  <w:tcW w:w="2256" w:type="pct"/>
                  <w:tcBorders>
                    <w:tl2br w:val="nil"/>
                    <w:tr2bl w:val="nil"/>
                  </w:tcBorders>
                  <w:noWrap w:val="0"/>
                  <w:vAlign w:val="center"/>
                </w:tcPr>
                <w:p w14:paraId="49C73938">
                  <w:pPr>
                    <w:jc w:val="center"/>
                    <w:rPr>
                      <w:color w:val="auto"/>
                      <w:u w:val="none"/>
                    </w:rPr>
                  </w:pPr>
                  <w:r>
                    <w:rPr>
                      <w:color w:val="auto"/>
                      <w:u w:val="none"/>
                    </w:rPr>
                    <w:t>污染物名称</w:t>
                  </w:r>
                </w:p>
              </w:tc>
              <w:tc>
                <w:tcPr>
                  <w:tcW w:w="2052" w:type="pct"/>
                  <w:tcBorders>
                    <w:tl2br w:val="nil"/>
                    <w:tr2bl w:val="nil"/>
                  </w:tcBorders>
                  <w:noWrap w:val="0"/>
                  <w:vAlign w:val="center"/>
                </w:tcPr>
                <w:p w14:paraId="03C4A3D9">
                  <w:pPr>
                    <w:jc w:val="center"/>
                    <w:rPr>
                      <w:color w:val="auto"/>
                      <w:u w:val="none"/>
                    </w:rPr>
                  </w:pPr>
                  <w:r>
                    <w:rPr>
                      <w:color w:val="auto"/>
                      <w:u w:val="none"/>
                    </w:rPr>
                    <w:t>排放量</w:t>
                  </w:r>
                </w:p>
              </w:tc>
            </w:tr>
            <w:tr w14:paraId="28AA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restart"/>
                  <w:tcBorders>
                    <w:tl2br w:val="nil"/>
                    <w:tr2bl w:val="nil"/>
                  </w:tcBorders>
                  <w:noWrap w:val="0"/>
                  <w:vAlign w:val="center"/>
                </w:tcPr>
                <w:p w14:paraId="645B10B5">
                  <w:pPr>
                    <w:jc w:val="center"/>
                    <w:rPr>
                      <w:rFonts w:hint="default"/>
                      <w:color w:val="auto"/>
                      <w:u w:val="none"/>
                      <w:lang w:val="en-US"/>
                    </w:rPr>
                  </w:pPr>
                  <w:r>
                    <w:rPr>
                      <w:rFonts w:hint="eastAsia"/>
                      <w:color w:val="auto"/>
                      <w:u w:val="none"/>
                      <w:lang w:val="en-US" w:eastAsia="zh-CN"/>
                    </w:rPr>
                    <w:t>生活污水</w:t>
                  </w:r>
                </w:p>
              </w:tc>
              <w:tc>
                <w:tcPr>
                  <w:tcW w:w="2256" w:type="pct"/>
                  <w:tcBorders>
                    <w:tl2br w:val="nil"/>
                    <w:tr2bl w:val="nil"/>
                  </w:tcBorders>
                  <w:noWrap w:val="0"/>
                  <w:vAlign w:val="center"/>
                </w:tcPr>
                <w:p w14:paraId="15A8AB67">
                  <w:pPr>
                    <w:adjustRightInd w:val="0"/>
                    <w:snapToGrid w:val="0"/>
                    <w:jc w:val="center"/>
                    <w:rPr>
                      <w:color w:val="000000"/>
                      <w:u w:val="none"/>
                    </w:rPr>
                  </w:pPr>
                  <w:r>
                    <w:rPr>
                      <w:rFonts w:hint="eastAsia"/>
                      <w:color w:val="000000"/>
                      <w:kern w:val="0"/>
                      <w:szCs w:val="21"/>
                      <w:u w:val="none"/>
                    </w:rPr>
                    <w:t>污水量</w:t>
                  </w:r>
                </w:p>
              </w:tc>
              <w:tc>
                <w:tcPr>
                  <w:tcW w:w="2052" w:type="pct"/>
                  <w:tcBorders>
                    <w:tl2br w:val="nil"/>
                    <w:tr2bl w:val="nil"/>
                  </w:tcBorders>
                  <w:noWrap w:val="0"/>
                  <w:vAlign w:val="center"/>
                </w:tcPr>
                <w:p w14:paraId="290D35FE">
                  <w:pPr>
                    <w:widowControl/>
                    <w:jc w:val="center"/>
                    <w:textAlignment w:val="center"/>
                    <w:rPr>
                      <w:rFonts w:hint="default" w:ascii="Times New Roman" w:hAnsi="Times New Roman" w:eastAsia="宋体" w:cs="Times New Roman"/>
                      <w:color w:val="000000"/>
                      <w:kern w:val="0"/>
                      <w:szCs w:val="21"/>
                      <w:u w:val="none"/>
                      <w:lang w:val="en-US" w:eastAsia="zh-CN"/>
                    </w:rPr>
                  </w:pPr>
                  <w:r>
                    <w:rPr>
                      <w:rFonts w:hint="eastAsia" w:ascii="Times New Roman" w:hAnsi="Times New Roman" w:eastAsia="宋体" w:cs="Times New Roman"/>
                      <w:color w:val="000000"/>
                      <w:kern w:val="0"/>
                      <w:szCs w:val="21"/>
                      <w:u w:val="none"/>
                      <w:lang w:val="en-US" w:eastAsia="zh-CN"/>
                    </w:rPr>
                    <w:t>8748</w:t>
                  </w:r>
                </w:p>
              </w:tc>
            </w:tr>
            <w:tr w14:paraId="1BEF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continue"/>
                  <w:tcBorders>
                    <w:tl2br w:val="nil"/>
                    <w:tr2bl w:val="nil"/>
                  </w:tcBorders>
                  <w:noWrap w:val="0"/>
                  <w:vAlign w:val="center"/>
                </w:tcPr>
                <w:p w14:paraId="2BF381D1">
                  <w:pPr>
                    <w:jc w:val="center"/>
                    <w:rPr>
                      <w:color w:val="auto"/>
                      <w:u w:val="none"/>
                    </w:rPr>
                  </w:pPr>
                </w:p>
              </w:tc>
              <w:tc>
                <w:tcPr>
                  <w:tcW w:w="2256" w:type="pct"/>
                  <w:tcBorders>
                    <w:tl2br w:val="nil"/>
                    <w:tr2bl w:val="nil"/>
                  </w:tcBorders>
                  <w:noWrap w:val="0"/>
                  <w:vAlign w:val="center"/>
                </w:tcPr>
                <w:p w14:paraId="5F569368">
                  <w:pPr>
                    <w:pStyle w:val="7"/>
                    <w:jc w:val="center"/>
                    <w:rPr>
                      <w:color w:val="0000FF"/>
                      <w:u w:val="none"/>
                    </w:rPr>
                  </w:pPr>
                  <w:r>
                    <w:rPr>
                      <w:rFonts w:hint="eastAsia" w:ascii="Times New Roman" w:hAnsi="Times New Roman" w:eastAsia="宋体" w:cs="Times New Roman"/>
                      <w:color w:val="auto"/>
                      <w:kern w:val="0"/>
                      <w:sz w:val="21"/>
                      <w:szCs w:val="21"/>
                      <w:u w:val="none"/>
                      <w:lang w:val="en-US" w:eastAsia="zh-CN"/>
                    </w:rPr>
                    <w:t>COD</w:t>
                  </w:r>
                </w:p>
              </w:tc>
              <w:tc>
                <w:tcPr>
                  <w:tcW w:w="2052" w:type="pct"/>
                  <w:tcBorders>
                    <w:tl2br w:val="nil"/>
                    <w:tr2bl w:val="nil"/>
                  </w:tcBorders>
                  <w:noWrap w:val="0"/>
                  <w:vAlign w:val="center"/>
                </w:tcPr>
                <w:p w14:paraId="1D799B08">
                  <w:pPr>
                    <w:widowControl/>
                    <w:jc w:val="center"/>
                    <w:textAlignment w:val="center"/>
                    <w:rPr>
                      <w:rFonts w:hint="default" w:ascii="Times New Roman" w:hAnsi="Times New Roman" w:eastAsia="宋体" w:cs="Times New Roman"/>
                      <w:color w:val="000000"/>
                      <w:kern w:val="0"/>
                      <w:szCs w:val="21"/>
                      <w:u w:val="none"/>
                      <w:lang w:val="en-US" w:eastAsia="zh-CN"/>
                    </w:rPr>
                  </w:pPr>
                  <w:r>
                    <w:rPr>
                      <w:rFonts w:hint="eastAsia" w:ascii="Times New Roman" w:hAnsi="Times New Roman" w:eastAsia="宋体" w:cs="Times New Roman"/>
                      <w:color w:val="000000"/>
                      <w:kern w:val="0"/>
                      <w:szCs w:val="21"/>
                      <w:u w:val="none"/>
                      <w:lang w:val="en-US" w:eastAsia="zh-CN"/>
                    </w:rPr>
                    <w:t>2.4932</w:t>
                  </w:r>
                </w:p>
              </w:tc>
            </w:tr>
            <w:tr w14:paraId="0561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continue"/>
                  <w:tcBorders>
                    <w:tl2br w:val="nil"/>
                    <w:tr2bl w:val="nil"/>
                  </w:tcBorders>
                  <w:noWrap w:val="0"/>
                  <w:vAlign w:val="center"/>
                </w:tcPr>
                <w:p w14:paraId="485555F1">
                  <w:pPr>
                    <w:jc w:val="center"/>
                    <w:rPr>
                      <w:color w:val="auto"/>
                      <w:u w:val="none"/>
                    </w:rPr>
                  </w:pPr>
                </w:p>
              </w:tc>
              <w:tc>
                <w:tcPr>
                  <w:tcW w:w="2256" w:type="pct"/>
                  <w:tcBorders>
                    <w:tl2br w:val="nil"/>
                    <w:tr2bl w:val="nil"/>
                  </w:tcBorders>
                  <w:noWrap w:val="0"/>
                  <w:vAlign w:val="center"/>
                </w:tcPr>
                <w:p w14:paraId="251B2EB6">
                  <w:pPr>
                    <w:pStyle w:val="7"/>
                    <w:jc w:val="center"/>
                    <w:rPr>
                      <w:color w:val="0000FF"/>
                      <w:u w:val="none"/>
                    </w:rPr>
                  </w:pPr>
                  <w:r>
                    <w:rPr>
                      <w:rFonts w:hint="eastAsia" w:ascii="Times New Roman" w:hAnsi="Times New Roman" w:eastAsia="宋体" w:cs="Times New Roman"/>
                      <w:color w:val="auto"/>
                      <w:kern w:val="0"/>
                      <w:sz w:val="21"/>
                      <w:szCs w:val="21"/>
                      <w:u w:val="none"/>
                      <w:lang w:val="en-US" w:eastAsia="zh-CN"/>
                    </w:rPr>
                    <w:t>NH</w:t>
                  </w:r>
                  <w:r>
                    <w:rPr>
                      <w:rFonts w:hint="eastAsia" w:ascii="Times New Roman" w:hAnsi="Times New Roman" w:eastAsia="宋体" w:cs="Times New Roman"/>
                      <w:color w:val="auto"/>
                      <w:kern w:val="0"/>
                      <w:sz w:val="21"/>
                      <w:szCs w:val="21"/>
                      <w:u w:val="none"/>
                      <w:vertAlign w:val="subscript"/>
                      <w:lang w:val="en-US" w:eastAsia="zh-CN"/>
                    </w:rPr>
                    <w:t>3</w:t>
                  </w:r>
                  <w:r>
                    <w:rPr>
                      <w:rFonts w:hint="eastAsia" w:ascii="Times New Roman" w:hAnsi="Times New Roman" w:eastAsia="宋体" w:cs="Times New Roman"/>
                      <w:color w:val="auto"/>
                      <w:kern w:val="0"/>
                      <w:sz w:val="21"/>
                      <w:szCs w:val="21"/>
                      <w:u w:val="none"/>
                      <w:lang w:val="en-US" w:eastAsia="zh-CN"/>
                    </w:rPr>
                    <w:t>-N</w:t>
                  </w:r>
                </w:p>
              </w:tc>
              <w:tc>
                <w:tcPr>
                  <w:tcW w:w="2052" w:type="pct"/>
                  <w:tcBorders>
                    <w:tl2br w:val="nil"/>
                    <w:tr2bl w:val="nil"/>
                  </w:tcBorders>
                  <w:noWrap w:val="0"/>
                  <w:vAlign w:val="center"/>
                </w:tcPr>
                <w:p w14:paraId="1C727EB5">
                  <w:pPr>
                    <w:widowControl/>
                    <w:jc w:val="center"/>
                    <w:textAlignment w:val="center"/>
                    <w:rPr>
                      <w:rFonts w:hint="default" w:ascii="Times New Roman" w:hAnsi="Times New Roman" w:eastAsia="宋体" w:cs="Times New Roman"/>
                      <w:color w:val="000000"/>
                      <w:kern w:val="0"/>
                      <w:szCs w:val="21"/>
                      <w:u w:val="none"/>
                      <w:lang w:val="en-US" w:eastAsia="zh-CN"/>
                    </w:rPr>
                  </w:pPr>
                  <w:r>
                    <w:rPr>
                      <w:rFonts w:hint="eastAsia" w:ascii="Times New Roman" w:hAnsi="Times New Roman" w:eastAsia="宋体" w:cs="Times New Roman"/>
                      <w:color w:val="000000"/>
                      <w:kern w:val="0"/>
                      <w:szCs w:val="21"/>
                      <w:u w:val="none"/>
                      <w:lang w:val="en-US" w:eastAsia="zh-CN"/>
                    </w:rPr>
                    <w:t>0.2476</w:t>
                  </w:r>
                </w:p>
              </w:tc>
            </w:tr>
            <w:tr w14:paraId="2504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continue"/>
                  <w:tcBorders>
                    <w:tl2br w:val="nil"/>
                    <w:tr2bl w:val="nil"/>
                  </w:tcBorders>
                  <w:noWrap w:val="0"/>
                  <w:vAlign w:val="center"/>
                </w:tcPr>
                <w:p w14:paraId="7E30F301">
                  <w:pPr>
                    <w:jc w:val="center"/>
                    <w:rPr>
                      <w:color w:val="auto"/>
                      <w:u w:val="none"/>
                    </w:rPr>
                  </w:pPr>
                </w:p>
              </w:tc>
              <w:tc>
                <w:tcPr>
                  <w:tcW w:w="2256" w:type="pct"/>
                  <w:tcBorders>
                    <w:tl2br w:val="nil"/>
                    <w:tr2bl w:val="nil"/>
                  </w:tcBorders>
                  <w:noWrap w:val="0"/>
                  <w:vAlign w:val="center"/>
                </w:tcPr>
                <w:p w14:paraId="1E23F98A">
                  <w:pPr>
                    <w:pStyle w:val="7"/>
                    <w:jc w:val="center"/>
                    <w:rPr>
                      <w:color w:val="0000FF"/>
                      <w:u w:val="none"/>
                    </w:rPr>
                  </w:pPr>
                  <w:r>
                    <w:rPr>
                      <w:rFonts w:hint="eastAsia" w:ascii="Times New Roman" w:hAnsi="Times New Roman" w:eastAsia="宋体" w:cs="Times New Roman"/>
                      <w:color w:val="auto"/>
                      <w:kern w:val="0"/>
                      <w:sz w:val="21"/>
                      <w:szCs w:val="21"/>
                      <w:u w:val="none"/>
                      <w:lang w:val="en-US" w:eastAsia="zh-CN"/>
                    </w:rPr>
                    <w:t>TN</w:t>
                  </w:r>
                </w:p>
              </w:tc>
              <w:tc>
                <w:tcPr>
                  <w:tcW w:w="2052" w:type="pct"/>
                  <w:tcBorders>
                    <w:tl2br w:val="nil"/>
                    <w:tr2bl w:val="nil"/>
                  </w:tcBorders>
                  <w:noWrap w:val="0"/>
                  <w:vAlign w:val="center"/>
                </w:tcPr>
                <w:p w14:paraId="4FC2DBD4">
                  <w:pPr>
                    <w:widowControl/>
                    <w:jc w:val="center"/>
                    <w:textAlignment w:val="center"/>
                    <w:rPr>
                      <w:rFonts w:hint="default" w:ascii="Times New Roman" w:hAnsi="Times New Roman" w:eastAsia="宋体" w:cs="Times New Roman"/>
                      <w:color w:val="000000"/>
                      <w:kern w:val="0"/>
                      <w:szCs w:val="21"/>
                      <w:u w:val="none"/>
                      <w:lang w:val="en-US" w:eastAsia="zh-CN"/>
                    </w:rPr>
                  </w:pPr>
                  <w:r>
                    <w:rPr>
                      <w:rFonts w:hint="eastAsia" w:ascii="Times New Roman" w:hAnsi="Times New Roman" w:eastAsia="宋体" w:cs="Times New Roman"/>
                      <w:color w:val="000000"/>
                      <w:kern w:val="0"/>
                      <w:szCs w:val="21"/>
                      <w:u w:val="none"/>
                      <w:lang w:val="en-US" w:eastAsia="zh-CN"/>
                    </w:rPr>
                    <w:t>0.3447</w:t>
                  </w:r>
                </w:p>
              </w:tc>
            </w:tr>
            <w:tr w14:paraId="6D0E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1" w:type="pct"/>
                  <w:vMerge w:val="continue"/>
                  <w:tcBorders>
                    <w:tl2br w:val="nil"/>
                    <w:tr2bl w:val="nil"/>
                  </w:tcBorders>
                  <w:noWrap w:val="0"/>
                  <w:vAlign w:val="center"/>
                </w:tcPr>
                <w:p w14:paraId="6113BD61">
                  <w:pPr>
                    <w:jc w:val="center"/>
                    <w:rPr>
                      <w:color w:val="auto"/>
                      <w:u w:val="none"/>
                    </w:rPr>
                  </w:pPr>
                </w:p>
              </w:tc>
              <w:tc>
                <w:tcPr>
                  <w:tcW w:w="2256" w:type="pct"/>
                  <w:tcBorders>
                    <w:tl2br w:val="nil"/>
                    <w:tr2bl w:val="nil"/>
                  </w:tcBorders>
                  <w:noWrap w:val="0"/>
                  <w:vAlign w:val="center"/>
                </w:tcPr>
                <w:p w14:paraId="74E82B32">
                  <w:pPr>
                    <w:pStyle w:val="7"/>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TP</w:t>
                  </w:r>
                </w:p>
              </w:tc>
              <w:tc>
                <w:tcPr>
                  <w:tcW w:w="2052" w:type="pct"/>
                  <w:tcBorders>
                    <w:tl2br w:val="nil"/>
                    <w:tr2bl w:val="nil"/>
                  </w:tcBorders>
                  <w:noWrap w:val="0"/>
                  <w:vAlign w:val="center"/>
                </w:tcPr>
                <w:p w14:paraId="597348E5">
                  <w:pPr>
                    <w:widowControl/>
                    <w:jc w:val="center"/>
                    <w:textAlignment w:val="center"/>
                    <w:rPr>
                      <w:rFonts w:hint="default" w:ascii="Times New Roman" w:hAnsi="Times New Roman" w:eastAsia="宋体" w:cs="Times New Roman"/>
                      <w:color w:val="000000"/>
                      <w:kern w:val="0"/>
                      <w:szCs w:val="21"/>
                      <w:u w:val="none"/>
                      <w:lang w:val="en-US" w:eastAsia="zh-CN"/>
                    </w:rPr>
                  </w:pPr>
                  <w:r>
                    <w:rPr>
                      <w:rFonts w:hint="eastAsia" w:ascii="Times New Roman" w:hAnsi="Times New Roman" w:eastAsia="宋体" w:cs="Times New Roman"/>
                      <w:color w:val="000000"/>
                      <w:kern w:val="0"/>
                      <w:szCs w:val="21"/>
                      <w:u w:val="none"/>
                      <w:lang w:val="en-US" w:eastAsia="zh-CN"/>
                    </w:rPr>
                    <w:t>0.0359</w:t>
                  </w:r>
                </w:p>
              </w:tc>
            </w:tr>
          </w:tbl>
          <w:p w14:paraId="0D239561">
            <w:pPr>
              <w:pStyle w:val="6"/>
              <w:spacing w:line="500" w:lineRule="exact"/>
              <w:ind w:left="0" w:leftChars="0" w:firstLine="0" w:firstLineChars="0"/>
              <w:rPr>
                <w:rFonts w:hint="eastAsia"/>
                <w:b/>
                <w:bCs/>
                <w:color w:val="auto"/>
                <w:kern w:val="0"/>
                <w:sz w:val="24"/>
              </w:rPr>
            </w:pPr>
            <w:r>
              <w:rPr>
                <w:rFonts w:hint="eastAsia"/>
                <w:b/>
                <w:bCs/>
                <w:color w:val="auto"/>
                <w:kern w:val="0"/>
                <w:sz w:val="24"/>
                <w:lang w:val="en-US" w:eastAsia="zh-CN"/>
              </w:rPr>
              <w:t>3.3</w:t>
            </w:r>
            <w:r>
              <w:rPr>
                <w:rFonts w:hint="eastAsia"/>
                <w:b/>
                <w:bCs/>
                <w:color w:val="auto"/>
                <w:kern w:val="0"/>
                <w:sz w:val="24"/>
              </w:rPr>
              <w:t>、现有工程</w:t>
            </w:r>
            <w:r>
              <w:rPr>
                <w:rFonts w:hint="eastAsia"/>
                <w:b/>
                <w:bCs/>
                <w:color w:val="auto"/>
                <w:kern w:val="0"/>
                <w:sz w:val="24"/>
                <w:lang w:val="en-US" w:eastAsia="zh-CN"/>
              </w:rPr>
              <w:t>噪声排放</w:t>
            </w:r>
            <w:r>
              <w:rPr>
                <w:rFonts w:hint="eastAsia"/>
                <w:b/>
                <w:bCs/>
                <w:color w:val="auto"/>
                <w:kern w:val="0"/>
                <w:sz w:val="24"/>
              </w:rPr>
              <w:t>防治措施</w:t>
            </w:r>
          </w:p>
          <w:p w14:paraId="27E096D6">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现有工程运营期主要高噪声主要分布车间内，主要葫芦风机及汽车运输噪跟水泵噪声等，主要采取隔声等措施。</w:t>
            </w:r>
          </w:p>
          <w:p w14:paraId="081AA543">
            <w:pPr>
              <w:pStyle w:val="6"/>
              <w:spacing w:line="500" w:lineRule="exact"/>
              <w:ind w:firstLine="482"/>
              <w:jc w:val="both"/>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根据现有工程竣工环保验收监测，验收</w:t>
            </w:r>
            <w:r>
              <w:rPr>
                <w:rFonts w:hint="eastAsia" w:cs="Times New Roman"/>
                <w:color w:val="000000"/>
                <w:kern w:val="0"/>
                <w:sz w:val="24"/>
                <w:lang w:val="en-US" w:eastAsia="zh-CN"/>
              </w:rPr>
              <w:t>检测期间</w:t>
            </w:r>
            <w:r>
              <w:rPr>
                <w:rFonts w:hint="eastAsia" w:ascii="Times New Roman" w:hAnsi="Times New Roman" w:eastAsia="宋体" w:cs="Times New Roman"/>
                <w:color w:val="000000"/>
                <w:kern w:val="0"/>
                <w:sz w:val="24"/>
                <w:lang w:val="en-US" w:eastAsia="zh-CN"/>
              </w:rPr>
              <w:t>，现有工程厂界噪声监测结果见表2-2</w:t>
            </w:r>
            <w:r>
              <w:rPr>
                <w:rFonts w:hint="eastAsia" w:cs="Times New Roman"/>
                <w:color w:val="000000"/>
                <w:kern w:val="0"/>
                <w:sz w:val="24"/>
                <w:lang w:val="en-US" w:eastAsia="zh-CN"/>
              </w:rPr>
              <w:t>0</w:t>
            </w:r>
            <w:r>
              <w:rPr>
                <w:rFonts w:hint="eastAsia" w:ascii="Times New Roman" w:hAnsi="Times New Roman" w:eastAsia="宋体" w:cs="Times New Roman"/>
                <w:color w:val="000000"/>
                <w:kern w:val="0"/>
                <w:sz w:val="24"/>
                <w:lang w:val="en-US" w:eastAsia="zh-CN"/>
              </w:rPr>
              <w:t>。</w:t>
            </w:r>
          </w:p>
          <w:p w14:paraId="31D2D828">
            <w:pPr>
              <w:pStyle w:val="6"/>
              <w:spacing w:line="500" w:lineRule="exact"/>
              <w:ind w:firstLine="482"/>
              <w:jc w:val="center"/>
              <w:rPr>
                <w:rFonts w:hint="default" w:ascii="Times New Roman" w:hAnsi="Times New Roman" w:eastAsia="宋体" w:cs="Times New Roman"/>
                <w:b/>
                <w:bCs/>
                <w:color w:val="000000"/>
                <w:kern w:val="0"/>
                <w:sz w:val="24"/>
                <w:lang w:val="en-US" w:eastAsia="zh-CN"/>
              </w:rPr>
            </w:pPr>
            <w:r>
              <w:rPr>
                <w:rFonts w:hint="eastAsia" w:ascii="Times New Roman" w:hAnsi="Times New Roman" w:eastAsia="宋体" w:cs="Times New Roman"/>
                <w:b/>
                <w:bCs/>
                <w:color w:val="000000"/>
                <w:kern w:val="0"/>
                <w:sz w:val="24"/>
                <w:lang w:val="en-US" w:eastAsia="zh-CN"/>
              </w:rPr>
              <w:t>表2-2</w:t>
            </w:r>
            <w:r>
              <w:rPr>
                <w:rFonts w:hint="eastAsia" w:cs="Times New Roman"/>
                <w:b/>
                <w:bCs/>
                <w:color w:val="000000"/>
                <w:kern w:val="0"/>
                <w:sz w:val="24"/>
                <w:lang w:val="en-US" w:eastAsia="zh-CN"/>
              </w:rPr>
              <w:t>0</w:t>
            </w:r>
            <w:r>
              <w:rPr>
                <w:rFonts w:hint="eastAsia" w:ascii="Times New Roman" w:hAnsi="Times New Roman" w:eastAsia="宋体" w:cs="Times New Roman"/>
                <w:b/>
                <w:bCs/>
                <w:color w:val="000000"/>
                <w:kern w:val="0"/>
                <w:sz w:val="24"/>
                <w:lang w:val="en-US" w:eastAsia="zh-CN"/>
              </w:rPr>
              <w:t xml:space="preserve"> 噪声监测结果</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1696"/>
              <w:gridCol w:w="1963"/>
              <w:gridCol w:w="1965"/>
            </w:tblGrid>
            <w:tr w14:paraId="461A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vMerge w:val="restart"/>
                  <w:noWrap w:val="0"/>
                  <w:vAlign w:val="center"/>
                </w:tcPr>
                <w:p w14:paraId="41552C21">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监测点位</w:t>
                  </w:r>
                </w:p>
              </w:tc>
              <w:tc>
                <w:tcPr>
                  <w:tcW w:w="1008" w:type="pct"/>
                  <w:vMerge w:val="restart"/>
                  <w:noWrap w:val="0"/>
                  <w:vAlign w:val="center"/>
                </w:tcPr>
                <w:p w14:paraId="129E3766">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监测日期</w:t>
                  </w:r>
                </w:p>
              </w:tc>
              <w:tc>
                <w:tcPr>
                  <w:tcW w:w="2335" w:type="pct"/>
                  <w:gridSpan w:val="2"/>
                  <w:noWrap w:val="0"/>
                  <w:vAlign w:val="center"/>
                </w:tcPr>
                <w:p w14:paraId="5E019E0F">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监测结果</w:t>
                  </w:r>
                </w:p>
              </w:tc>
            </w:tr>
            <w:tr w14:paraId="3778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vMerge w:val="continue"/>
                  <w:noWrap w:val="0"/>
                  <w:vAlign w:val="center"/>
                </w:tcPr>
                <w:p w14:paraId="595CFE36">
                  <w:pPr>
                    <w:jc w:val="center"/>
                    <w:rPr>
                      <w:rFonts w:hint="eastAsia" w:ascii="Times New Roman" w:hAnsi="Times New Roman" w:eastAsia="宋体" w:cs="Times New Roman"/>
                      <w:color w:val="000000"/>
                      <w:szCs w:val="21"/>
                      <w:lang w:val="en-US" w:eastAsia="zh-CN"/>
                    </w:rPr>
                  </w:pPr>
                </w:p>
              </w:tc>
              <w:tc>
                <w:tcPr>
                  <w:tcW w:w="1008" w:type="pct"/>
                  <w:vMerge w:val="continue"/>
                  <w:noWrap w:val="0"/>
                  <w:vAlign w:val="center"/>
                </w:tcPr>
                <w:p w14:paraId="4726AD4F">
                  <w:pPr>
                    <w:jc w:val="center"/>
                    <w:rPr>
                      <w:rFonts w:hint="eastAsia" w:ascii="Times New Roman" w:hAnsi="Times New Roman" w:eastAsia="宋体" w:cs="Times New Roman"/>
                      <w:color w:val="000000"/>
                      <w:szCs w:val="21"/>
                      <w:lang w:val="en-US" w:eastAsia="zh-CN"/>
                    </w:rPr>
                  </w:pPr>
                </w:p>
              </w:tc>
              <w:tc>
                <w:tcPr>
                  <w:tcW w:w="1167" w:type="pct"/>
                  <w:noWrap w:val="0"/>
                  <w:vAlign w:val="center"/>
                </w:tcPr>
                <w:p w14:paraId="04EEC267">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昼间（dBA）</w:t>
                  </w:r>
                </w:p>
              </w:tc>
              <w:tc>
                <w:tcPr>
                  <w:tcW w:w="1168" w:type="pct"/>
                  <w:noWrap w:val="0"/>
                  <w:vAlign w:val="center"/>
                </w:tcPr>
                <w:p w14:paraId="302FBC8D">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夜间（dBA）</w:t>
                  </w:r>
                </w:p>
              </w:tc>
            </w:tr>
            <w:tr w14:paraId="3CAA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0"/>
                  <w:vAlign w:val="center"/>
                </w:tcPr>
                <w:p w14:paraId="69F81525">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N1东面厂界外1m处</w:t>
                  </w:r>
                </w:p>
              </w:tc>
              <w:tc>
                <w:tcPr>
                  <w:tcW w:w="1008" w:type="pct"/>
                  <w:vMerge w:val="restart"/>
                  <w:noWrap w:val="0"/>
                  <w:vAlign w:val="center"/>
                </w:tcPr>
                <w:p w14:paraId="6214D3F6">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2018.12.03</w:t>
                  </w:r>
                </w:p>
              </w:tc>
              <w:tc>
                <w:tcPr>
                  <w:tcW w:w="1962" w:type="dxa"/>
                  <w:noWrap w:val="0"/>
                  <w:vAlign w:val="center"/>
                </w:tcPr>
                <w:p w14:paraId="2994F57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c>
                <w:tcPr>
                  <w:tcW w:w="1964" w:type="dxa"/>
                  <w:noWrap w:val="0"/>
                  <w:vAlign w:val="center"/>
                </w:tcPr>
                <w:p w14:paraId="32B4ED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r>
            <w:tr w14:paraId="0BF4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0"/>
                  <w:vAlign w:val="center"/>
                </w:tcPr>
                <w:p w14:paraId="327774C3">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N2南面厂界外1m处</w:t>
                  </w:r>
                </w:p>
              </w:tc>
              <w:tc>
                <w:tcPr>
                  <w:tcW w:w="1008" w:type="pct"/>
                  <w:vMerge w:val="continue"/>
                  <w:noWrap w:val="0"/>
                  <w:vAlign w:val="center"/>
                </w:tcPr>
                <w:p w14:paraId="50BBE8D3">
                  <w:pPr>
                    <w:jc w:val="center"/>
                    <w:rPr>
                      <w:rFonts w:hint="default" w:ascii="Times New Roman" w:hAnsi="Times New Roman" w:eastAsia="宋体" w:cs="Times New Roman"/>
                      <w:color w:val="000000"/>
                      <w:szCs w:val="21"/>
                      <w:lang w:val="en-US" w:eastAsia="zh-CN"/>
                    </w:rPr>
                  </w:pPr>
                </w:p>
              </w:tc>
              <w:tc>
                <w:tcPr>
                  <w:tcW w:w="1962" w:type="dxa"/>
                  <w:noWrap w:val="0"/>
                  <w:vAlign w:val="center"/>
                </w:tcPr>
                <w:p w14:paraId="3A59D4E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c>
                <w:tcPr>
                  <w:tcW w:w="1964" w:type="dxa"/>
                  <w:noWrap w:val="0"/>
                  <w:vAlign w:val="center"/>
                </w:tcPr>
                <w:p w14:paraId="481E3D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r>
            <w:tr w14:paraId="0744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0"/>
                  <w:vAlign w:val="center"/>
                </w:tcPr>
                <w:p w14:paraId="5C2C12D8">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N3西面厂界外1m处</w:t>
                  </w:r>
                </w:p>
              </w:tc>
              <w:tc>
                <w:tcPr>
                  <w:tcW w:w="1008" w:type="pct"/>
                  <w:vMerge w:val="continue"/>
                  <w:noWrap w:val="0"/>
                  <w:vAlign w:val="center"/>
                </w:tcPr>
                <w:p w14:paraId="0F94F17E">
                  <w:pPr>
                    <w:jc w:val="center"/>
                    <w:rPr>
                      <w:rFonts w:hint="default" w:ascii="Times New Roman" w:hAnsi="Times New Roman" w:eastAsia="宋体" w:cs="Times New Roman"/>
                      <w:color w:val="000000"/>
                      <w:szCs w:val="21"/>
                      <w:lang w:val="en-US" w:eastAsia="zh-CN"/>
                    </w:rPr>
                  </w:pPr>
                </w:p>
              </w:tc>
              <w:tc>
                <w:tcPr>
                  <w:tcW w:w="1962" w:type="dxa"/>
                  <w:noWrap w:val="0"/>
                  <w:vAlign w:val="center"/>
                </w:tcPr>
                <w:p w14:paraId="53F4867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c>
                <w:tcPr>
                  <w:tcW w:w="1964" w:type="dxa"/>
                  <w:noWrap w:val="0"/>
                  <w:vAlign w:val="center"/>
                </w:tcPr>
                <w:p w14:paraId="29791DA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r>
            <w:tr w14:paraId="3B82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0"/>
                  <w:vAlign w:val="center"/>
                </w:tcPr>
                <w:p w14:paraId="3B1D1E5E">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N4北面厂界外1m处</w:t>
                  </w:r>
                </w:p>
              </w:tc>
              <w:tc>
                <w:tcPr>
                  <w:tcW w:w="1008" w:type="pct"/>
                  <w:vMerge w:val="continue"/>
                  <w:noWrap w:val="0"/>
                  <w:vAlign w:val="center"/>
                </w:tcPr>
                <w:p w14:paraId="3F413C41">
                  <w:pPr>
                    <w:jc w:val="center"/>
                    <w:rPr>
                      <w:rFonts w:hint="default" w:ascii="Times New Roman" w:hAnsi="Times New Roman" w:eastAsia="宋体" w:cs="Times New Roman"/>
                      <w:color w:val="000000"/>
                      <w:szCs w:val="21"/>
                      <w:lang w:val="en-US" w:eastAsia="zh-CN"/>
                    </w:rPr>
                  </w:pPr>
                </w:p>
              </w:tc>
              <w:tc>
                <w:tcPr>
                  <w:tcW w:w="1962" w:type="dxa"/>
                  <w:noWrap w:val="0"/>
                  <w:vAlign w:val="center"/>
                </w:tcPr>
                <w:p w14:paraId="16172D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c>
                <w:tcPr>
                  <w:tcW w:w="1964" w:type="dxa"/>
                  <w:noWrap w:val="0"/>
                  <w:vAlign w:val="center"/>
                </w:tcPr>
                <w:p w14:paraId="1F32E7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r>
            <w:tr w14:paraId="2817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0"/>
                  <w:vAlign w:val="center"/>
                </w:tcPr>
                <w:p w14:paraId="706E43A3">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N1东面厂界外1m处</w:t>
                  </w:r>
                </w:p>
              </w:tc>
              <w:tc>
                <w:tcPr>
                  <w:tcW w:w="1008" w:type="pct"/>
                  <w:vMerge w:val="restart"/>
                  <w:noWrap w:val="0"/>
                  <w:vAlign w:val="center"/>
                </w:tcPr>
                <w:p w14:paraId="7CB6D1AA">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2018.12.03</w:t>
                  </w:r>
                </w:p>
              </w:tc>
              <w:tc>
                <w:tcPr>
                  <w:tcW w:w="1962" w:type="dxa"/>
                  <w:noWrap w:val="0"/>
                  <w:vAlign w:val="center"/>
                </w:tcPr>
                <w:p w14:paraId="2D52703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c>
                <w:tcPr>
                  <w:tcW w:w="1964" w:type="dxa"/>
                  <w:noWrap w:val="0"/>
                  <w:vAlign w:val="center"/>
                </w:tcPr>
                <w:p w14:paraId="45E03E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r>
            <w:tr w14:paraId="2329A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0"/>
                  <w:vAlign w:val="center"/>
                </w:tcPr>
                <w:p w14:paraId="61D5374A">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N2南面厂界外1m处</w:t>
                  </w:r>
                </w:p>
              </w:tc>
              <w:tc>
                <w:tcPr>
                  <w:tcW w:w="1008" w:type="pct"/>
                  <w:vMerge w:val="continue"/>
                  <w:noWrap w:val="0"/>
                  <w:vAlign w:val="center"/>
                </w:tcPr>
                <w:p w14:paraId="03B29386">
                  <w:pPr>
                    <w:jc w:val="center"/>
                    <w:rPr>
                      <w:rFonts w:hint="default" w:ascii="Times New Roman" w:hAnsi="Times New Roman" w:eastAsia="宋体" w:cs="Times New Roman"/>
                      <w:color w:val="000000"/>
                      <w:szCs w:val="21"/>
                      <w:lang w:val="en-US" w:eastAsia="zh-CN"/>
                    </w:rPr>
                  </w:pPr>
                </w:p>
              </w:tc>
              <w:tc>
                <w:tcPr>
                  <w:tcW w:w="1962" w:type="dxa"/>
                  <w:noWrap w:val="0"/>
                  <w:vAlign w:val="center"/>
                </w:tcPr>
                <w:p w14:paraId="3A100CC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c>
                <w:tcPr>
                  <w:tcW w:w="1964" w:type="dxa"/>
                  <w:noWrap w:val="0"/>
                  <w:vAlign w:val="center"/>
                </w:tcPr>
                <w:p w14:paraId="091BA97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Cs w:val="21"/>
                      <w:lang w:val="en-US" w:eastAsia="zh-CN"/>
                    </w:rPr>
                  </w:pPr>
                </w:p>
              </w:tc>
            </w:tr>
            <w:tr w14:paraId="34FF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0"/>
                  <w:vAlign w:val="center"/>
                </w:tcPr>
                <w:p w14:paraId="6F2602A9">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N3西面厂界外1m处</w:t>
                  </w:r>
                </w:p>
              </w:tc>
              <w:tc>
                <w:tcPr>
                  <w:tcW w:w="1008" w:type="pct"/>
                  <w:vMerge w:val="continue"/>
                  <w:noWrap w:val="0"/>
                  <w:vAlign w:val="center"/>
                </w:tcPr>
                <w:p w14:paraId="0E3B1551">
                  <w:pPr>
                    <w:jc w:val="center"/>
                    <w:rPr>
                      <w:rFonts w:hint="default" w:ascii="Times New Roman" w:hAnsi="Times New Roman" w:eastAsia="宋体" w:cs="Times New Roman"/>
                      <w:color w:val="000000"/>
                      <w:szCs w:val="21"/>
                      <w:lang w:val="en-US" w:eastAsia="zh-CN"/>
                    </w:rPr>
                  </w:pPr>
                </w:p>
              </w:tc>
              <w:tc>
                <w:tcPr>
                  <w:tcW w:w="1962" w:type="dxa"/>
                  <w:noWrap w:val="0"/>
                  <w:vAlign w:val="center"/>
                </w:tcPr>
                <w:p w14:paraId="4C7F63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c>
                <w:tcPr>
                  <w:tcW w:w="1964" w:type="dxa"/>
                  <w:noWrap w:val="0"/>
                  <w:vAlign w:val="center"/>
                </w:tcPr>
                <w:p w14:paraId="29A536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r>
            <w:tr w14:paraId="77E5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0"/>
                  <w:vAlign w:val="center"/>
                </w:tcPr>
                <w:p w14:paraId="506C433B">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N4北面厂界外1m处</w:t>
                  </w:r>
                </w:p>
              </w:tc>
              <w:tc>
                <w:tcPr>
                  <w:tcW w:w="1008" w:type="pct"/>
                  <w:vMerge w:val="continue"/>
                  <w:noWrap w:val="0"/>
                  <w:vAlign w:val="center"/>
                </w:tcPr>
                <w:p w14:paraId="10928151">
                  <w:pPr>
                    <w:jc w:val="center"/>
                    <w:rPr>
                      <w:rFonts w:hint="default" w:ascii="Times New Roman" w:hAnsi="Times New Roman" w:eastAsia="宋体" w:cs="Times New Roman"/>
                      <w:color w:val="000000"/>
                      <w:szCs w:val="21"/>
                      <w:lang w:val="en-US" w:eastAsia="zh-CN"/>
                    </w:rPr>
                  </w:pPr>
                </w:p>
              </w:tc>
              <w:tc>
                <w:tcPr>
                  <w:tcW w:w="1962" w:type="dxa"/>
                  <w:noWrap w:val="0"/>
                  <w:vAlign w:val="center"/>
                </w:tcPr>
                <w:p w14:paraId="7BF7D3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c>
                <w:tcPr>
                  <w:tcW w:w="1964" w:type="dxa"/>
                  <w:noWrap w:val="0"/>
                  <w:vAlign w:val="center"/>
                </w:tcPr>
                <w:p w14:paraId="6CB348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lang w:val="en-US" w:eastAsia="zh-CN"/>
                    </w:rPr>
                  </w:pPr>
                </w:p>
              </w:tc>
            </w:tr>
          </w:tbl>
          <w:p w14:paraId="1575F770">
            <w:pPr>
              <w:pStyle w:val="6"/>
              <w:spacing w:line="500" w:lineRule="exact"/>
              <w:ind w:firstLine="480"/>
              <w:rPr>
                <w:rFonts w:hint="eastAsia"/>
                <w:color w:val="auto"/>
                <w:kern w:val="0"/>
                <w:sz w:val="24"/>
                <w:lang w:val="en-US" w:eastAsia="zh-CN"/>
              </w:rPr>
            </w:pPr>
            <w:r>
              <w:rPr>
                <w:rFonts w:hint="eastAsia"/>
                <w:color w:val="auto"/>
                <w:kern w:val="0"/>
                <w:sz w:val="24"/>
                <w:lang w:val="en-US" w:eastAsia="zh-CN"/>
              </w:rPr>
              <w:t>根据监测结果，项目西面厂界昼间、夜间噪声值满足《工业企业厂界环境噪声排放标准》（GB12348-2008）4类标准限值要求；东面、南面、北面厂界昼间、夜间噪声值满足《工业企业厂界环境噪声排放标准》（GB12348-2008）3类标准限值要求。</w:t>
            </w:r>
          </w:p>
          <w:p w14:paraId="5FF5CFBE">
            <w:pPr>
              <w:pStyle w:val="6"/>
              <w:spacing w:line="500" w:lineRule="exact"/>
              <w:ind w:left="0" w:leftChars="0" w:firstLine="0" w:firstLineChars="0"/>
              <w:rPr>
                <w:rFonts w:hint="eastAsia"/>
                <w:b/>
                <w:bCs/>
                <w:color w:val="auto"/>
                <w:kern w:val="0"/>
                <w:sz w:val="24"/>
              </w:rPr>
            </w:pPr>
            <w:r>
              <w:rPr>
                <w:rFonts w:hint="eastAsia"/>
                <w:b/>
                <w:bCs/>
                <w:color w:val="auto"/>
                <w:kern w:val="0"/>
                <w:sz w:val="24"/>
                <w:lang w:val="en-US" w:eastAsia="zh-CN"/>
              </w:rPr>
              <w:t>3.4</w:t>
            </w:r>
            <w:r>
              <w:rPr>
                <w:rFonts w:hint="eastAsia"/>
                <w:b/>
                <w:bCs/>
                <w:color w:val="auto"/>
                <w:kern w:val="0"/>
                <w:sz w:val="24"/>
              </w:rPr>
              <w:t>、现有工程固体废物</w:t>
            </w:r>
            <w:r>
              <w:rPr>
                <w:rFonts w:hint="eastAsia"/>
                <w:b/>
                <w:bCs/>
                <w:color w:val="auto"/>
                <w:kern w:val="0"/>
                <w:sz w:val="24"/>
                <w:lang w:val="en-US" w:eastAsia="zh-CN"/>
              </w:rPr>
              <w:t>排放</w:t>
            </w:r>
            <w:r>
              <w:rPr>
                <w:rFonts w:hint="eastAsia"/>
                <w:b/>
                <w:bCs/>
                <w:color w:val="auto"/>
                <w:kern w:val="0"/>
                <w:sz w:val="24"/>
              </w:rPr>
              <w:t>情况及防治措施</w:t>
            </w:r>
          </w:p>
          <w:p w14:paraId="63FBA681">
            <w:pPr>
              <w:pStyle w:val="6"/>
              <w:spacing w:line="500" w:lineRule="exact"/>
              <w:ind w:firstLine="480"/>
              <w:rPr>
                <w:rFonts w:hint="eastAsia"/>
                <w:color w:val="auto"/>
                <w:kern w:val="0"/>
                <w:sz w:val="24"/>
                <w:lang w:val="en-US" w:eastAsia="zh-CN"/>
              </w:rPr>
            </w:pPr>
            <w:r>
              <w:rPr>
                <w:rFonts w:hint="eastAsia"/>
                <w:color w:val="auto"/>
                <w:kern w:val="0"/>
                <w:sz w:val="24"/>
                <w:lang w:val="en-US" w:eastAsia="zh-CN"/>
              </w:rPr>
              <w:t>现有工程固体废物排放情况及防治措施见表2-21。</w:t>
            </w:r>
          </w:p>
          <w:p w14:paraId="5F09938D">
            <w:pPr>
              <w:pStyle w:val="6"/>
              <w:spacing w:line="500" w:lineRule="exact"/>
              <w:ind w:firstLine="482"/>
              <w:jc w:val="center"/>
              <w:rPr>
                <w:rFonts w:hint="eastAsia" w:ascii="Times New Roman" w:hAnsi="Times New Roman" w:eastAsia="宋体" w:cs="Times New Roman"/>
                <w:b/>
                <w:bCs/>
                <w:color w:val="000000"/>
                <w:kern w:val="0"/>
                <w:sz w:val="24"/>
                <w:lang w:val="en-US" w:eastAsia="zh-CN"/>
              </w:rPr>
            </w:pPr>
            <w:r>
              <w:rPr>
                <w:rFonts w:hint="eastAsia" w:ascii="Times New Roman" w:hAnsi="Times New Roman" w:eastAsia="宋体" w:cs="Times New Roman"/>
                <w:b/>
                <w:bCs/>
                <w:color w:val="000000"/>
                <w:kern w:val="0"/>
                <w:sz w:val="24"/>
                <w:lang w:val="en-US" w:eastAsia="zh-CN"/>
              </w:rPr>
              <w:t>表2-2</w:t>
            </w:r>
            <w:r>
              <w:rPr>
                <w:rFonts w:hint="eastAsia" w:cs="Times New Roman"/>
                <w:b/>
                <w:bCs/>
                <w:color w:val="000000"/>
                <w:kern w:val="0"/>
                <w:sz w:val="24"/>
                <w:lang w:val="en-US" w:eastAsia="zh-CN"/>
              </w:rPr>
              <w:t>1</w:t>
            </w:r>
            <w:r>
              <w:rPr>
                <w:rFonts w:hint="eastAsia" w:ascii="Times New Roman" w:hAnsi="Times New Roman" w:eastAsia="宋体" w:cs="Times New Roman"/>
                <w:b/>
                <w:bCs/>
                <w:color w:val="000000"/>
                <w:kern w:val="0"/>
                <w:sz w:val="24"/>
                <w:lang w:val="en-US" w:eastAsia="zh-CN"/>
              </w:rPr>
              <w:t xml:space="preserve">  现有工程固体废物汇总表</w:t>
            </w:r>
          </w:p>
          <w:tbl>
            <w:tblPr>
              <w:tblStyle w:val="1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38"/>
              <w:gridCol w:w="741"/>
              <w:gridCol w:w="1313"/>
              <w:gridCol w:w="666"/>
              <w:gridCol w:w="590"/>
              <w:gridCol w:w="426"/>
              <w:gridCol w:w="627"/>
              <w:gridCol w:w="506"/>
              <w:gridCol w:w="467"/>
              <w:gridCol w:w="881"/>
              <w:gridCol w:w="1219"/>
            </w:tblGrid>
            <w:tr w14:paraId="6240D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noWrap w:val="0"/>
                  <w:vAlign w:val="center"/>
                </w:tcPr>
                <w:p w14:paraId="4319E93A">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序号</w:t>
                  </w:r>
                </w:p>
              </w:tc>
              <w:tc>
                <w:tcPr>
                  <w:tcW w:w="362" w:type="pct"/>
                  <w:noWrap w:val="0"/>
                  <w:vAlign w:val="center"/>
                </w:tcPr>
                <w:p w14:paraId="0737381B">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固体废物名称</w:t>
                  </w:r>
                </w:p>
              </w:tc>
              <w:tc>
                <w:tcPr>
                  <w:tcW w:w="418" w:type="pct"/>
                  <w:noWrap w:val="0"/>
                  <w:vAlign w:val="center"/>
                </w:tcPr>
                <w:p w14:paraId="36B46CBA">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废物类别</w:t>
                  </w:r>
                </w:p>
              </w:tc>
              <w:tc>
                <w:tcPr>
                  <w:tcW w:w="501" w:type="pct"/>
                  <w:noWrap w:val="0"/>
                  <w:vAlign w:val="center"/>
                </w:tcPr>
                <w:p w14:paraId="5E457B89">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废物代码</w:t>
                  </w:r>
                </w:p>
              </w:tc>
              <w:tc>
                <w:tcPr>
                  <w:tcW w:w="438" w:type="pct"/>
                  <w:noWrap w:val="0"/>
                  <w:vAlign w:val="center"/>
                </w:tcPr>
                <w:p w14:paraId="110BCE33">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产生量（吨/年）</w:t>
                  </w:r>
                </w:p>
              </w:tc>
              <w:tc>
                <w:tcPr>
                  <w:tcW w:w="393" w:type="pct"/>
                  <w:noWrap w:val="0"/>
                  <w:vAlign w:val="center"/>
                </w:tcPr>
                <w:p w14:paraId="40FD7E6E">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产生工序及装置</w:t>
                  </w:r>
                </w:p>
              </w:tc>
              <w:tc>
                <w:tcPr>
                  <w:tcW w:w="235" w:type="pct"/>
                  <w:noWrap w:val="0"/>
                  <w:vAlign w:val="center"/>
                </w:tcPr>
                <w:p w14:paraId="009AF8C5">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形态</w:t>
                  </w:r>
                </w:p>
              </w:tc>
              <w:tc>
                <w:tcPr>
                  <w:tcW w:w="415" w:type="pct"/>
                  <w:noWrap w:val="0"/>
                  <w:vAlign w:val="center"/>
                </w:tcPr>
                <w:p w14:paraId="3329A6D9">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主要成分</w:t>
                  </w:r>
                </w:p>
              </w:tc>
              <w:tc>
                <w:tcPr>
                  <w:tcW w:w="343" w:type="pct"/>
                  <w:noWrap w:val="0"/>
                  <w:vAlign w:val="center"/>
                </w:tcPr>
                <w:p w14:paraId="0D5EE642">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有害成分</w:t>
                  </w:r>
                </w:p>
              </w:tc>
              <w:tc>
                <w:tcPr>
                  <w:tcW w:w="320" w:type="pct"/>
                  <w:noWrap w:val="0"/>
                  <w:vAlign w:val="center"/>
                </w:tcPr>
                <w:p w14:paraId="39533753">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产废周期</w:t>
                  </w:r>
                </w:p>
              </w:tc>
              <w:tc>
                <w:tcPr>
                  <w:tcW w:w="566" w:type="pct"/>
                  <w:noWrap w:val="0"/>
                  <w:vAlign w:val="center"/>
                </w:tcPr>
                <w:p w14:paraId="25B31F3D">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危险</w:t>
                  </w:r>
                </w:p>
                <w:p w14:paraId="1B1BFA71">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特性</w:t>
                  </w:r>
                </w:p>
              </w:tc>
              <w:tc>
                <w:tcPr>
                  <w:tcW w:w="767" w:type="pct"/>
                  <w:noWrap w:val="0"/>
                  <w:vAlign w:val="center"/>
                </w:tcPr>
                <w:p w14:paraId="3D8B9364">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污染防治措施*</w:t>
                  </w:r>
                </w:p>
              </w:tc>
            </w:tr>
            <w:tr w14:paraId="15D882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235" w:type="pct"/>
                  <w:noWrap w:val="0"/>
                  <w:vAlign w:val="center"/>
                </w:tcPr>
                <w:p w14:paraId="65094A90">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1</w:t>
                  </w:r>
                </w:p>
              </w:tc>
              <w:tc>
                <w:tcPr>
                  <w:tcW w:w="362" w:type="pct"/>
                  <w:noWrap w:val="0"/>
                  <w:vAlign w:val="center"/>
                </w:tcPr>
                <w:p w14:paraId="14C2FC50">
                  <w:pPr>
                    <w:jc w:val="center"/>
                    <w:rPr>
                      <w:rFonts w:hint="default"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废包装袋</w:t>
                  </w:r>
                </w:p>
              </w:tc>
              <w:tc>
                <w:tcPr>
                  <w:tcW w:w="418" w:type="pct"/>
                  <w:noWrap w:val="0"/>
                  <w:vAlign w:val="center"/>
                </w:tcPr>
                <w:p w14:paraId="3CB94098">
                  <w:pPr>
                    <w:jc w:val="center"/>
                    <w:rPr>
                      <w:rFonts w:hint="default"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SW59</w:t>
                  </w:r>
                </w:p>
              </w:tc>
              <w:tc>
                <w:tcPr>
                  <w:tcW w:w="501" w:type="pct"/>
                  <w:noWrap w:val="0"/>
                  <w:vAlign w:val="center"/>
                </w:tcPr>
                <w:p w14:paraId="2D47288C">
                  <w:pPr>
                    <w:jc w:val="center"/>
                    <w:rPr>
                      <w:rFonts w:hint="default" w:ascii="Times New Roman" w:hAnsi="Times New Roman" w:eastAsia="宋体" w:cs="Times New Roman"/>
                      <w:bCs/>
                      <w:color w:val="000000"/>
                      <w:sz w:val="21"/>
                      <w:szCs w:val="21"/>
                      <w:u w:val="none"/>
                      <w:lang w:val="en-US" w:eastAsia="zh-CN"/>
                    </w:rPr>
                  </w:pPr>
                  <w:r>
                    <w:rPr>
                      <w:rFonts w:hint="eastAsia" w:ascii="Times New Roman" w:hAnsi="Times New Roman" w:eastAsia="宋体" w:cs="Times New Roman"/>
                      <w:bCs/>
                      <w:color w:val="000000"/>
                      <w:sz w:val="21"/>
                      <w:szCs w:val="21"/>
                      <w:u w:val="none"/>
                      <w:lang w:val="en-US" w:eastAsia="zh-CN"/>
                    </w:rPr>
                    <w:t>900-099-S59</w:t>
                  </w:r>
                </w:p>
              </w:tc>
              <w:tc>
                <w:tcPr>
                  <w:tcW w:w="438" w:type="pct"/>
                  <w:noWrap w:val="0"/>
                  <w:vAlign w:val="center"/>
                </w:tcPr>
                <w:p w14:paraId="3AFB3CF3">
                  <w:pPr>
                    <w:jc w:val="center"/>
                    <w:rPr>
                      <w:rFonts w:hint="default"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5.0</w:t>
                  </w:r>
                </w:p>
              </w:tc>
              <w:tc>
                <w:tcPr>
                  <w:tcW w:w="393" w:type="pct"/>
                  <w:noWrap w:val="0"/>
                  <w:vAlign w:val="center"/>
                </w:tcPr>
                <w:p w14:paraId="44AF53E5">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更换包装</w:t>
                  </w:r>
                </w:p>
              </w:tc>
              <w:tc>
                <w:tcPr>
                  <w:tcW w:w="235" w:type="pct"/>
                  <w:noWrap w:val="0"/>
                  <w:vAlign w:val="center"/>
                </w:tcPr>
                <w:p w14:paraId="37118333">
                  <w:pPr>
                    <w:jc w:val="center"/>
                    <w:rPr>
                      <w:rFonts w:hint="default"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固态</w:t>
                  </w:r>
                </w:p>
              </w:tc>
              <w:tc>
                <w:tcPr>
                  <w:tcW w:w="415" w:type="pct"/>
                  <w:noWrap w:val="0"/>
                  <w:vAlign w:val="center"/>
                </w:tcPr>
                <w:p w14:paraId="3A8C5347">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废包装袋</w:t>
                  </w:r>
                </w:p>
              </w:tc>
              <w:tc>
                <w:tcPr>
                  <w:tcW w:w="343" w:type="pct"/>
                  <w:noWrap w:val="0"/>
                  <w:vAlign w:val="center"/>
                </w:tcPr>
                <w:p w14:paraId="3A1945A9">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w:t>
                  </w:r>
                </w:p>
              </w:tc>
              <w:tc>
                <w:tcPr>
                  <w:tcW w:w="320" w:type="pct"/>
                  <w:noWrap w:val="0"/>
                  <w:vAlign w:val="center"/>
                </w:tcPr>
                <w:p w14:paraId="5B957CB7">
                  <w:pPr>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连续每天</w:t>
                  </w:r>
                </w:p>
              </w:tc>
              <w:tc>
                <w:tcPr>
                  <w:tcW w:w="566" w:type="pct"/>
                  <w:noWrap w:val="0"/>
                  <w:vAlign w:val="center"/>
                </w:tcPr>
                <w:p w14:paraId="59793059">
                  <w:pPr>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sz w:val="21"/>
                      <w:szCs w:val="21"/>
                      <w:u w:val="none"/>
                      <w:lang w:val="en-US" w:eastAsia="zh-CN"/>
                    </w:rPr>
                    <w:t>—</w:t>
                  </w:r>
                </w:p>
              </w:tc>
              <w:tc>
                <w:tcPr>
                  <w:tcW w:w="767" w:type="pct"/>
                  <w:noWrap w:val="0"/>
                  <w:vAlign w:val="center"/>
                </w:tcPr>
                <w:p w14:paraId="5E88B5E5">
                  <w:pPr>
                    <w:jc w:val="center"/>
                    <w:rPr>
                      <w:rFonts w:hint="default"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外售</w:t>
                  </w:r>
                </w:p>
              </w:tc>
            </w:tr>
            <w:tr w14:paraId="43D5D7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noWrap w:val="0"/>
                  <w:vAlign w:val="center"/>
                </w:tcPr>
                <w:p w14:paraId="01227671">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2</w:t>
                  </w:r>
                </w:p>
              </w:tc>
              <w:tc>
                <w:tcPr>
                  <w:tcW w:w="362" w:type="pct"/>
                  <w:noWrap w:val="0"/>
                  <w:vAlign w:val="center"/>
                </w:tcPr>
                <w:p w14:paraId="58EA6E3D">
                  <w:pPr>
                    <w:jc w:val="center"/>
                    <w:rPr>
                      <w:rFonts w:hint="default"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废包装箱</w:t>
                  </w:r>
                </w:p>
              </w:tc>
              <w:tc>
                <w:tcPr>
                  <w:tcW w:w="418" w:type="pct"/>
                  <w:noWrap w:val="0"/>
                  <w:vAlign w:val="center"/>
                </w:tcPr>
                <w:p w14:paraId="23818888">
                  <w:pPr>
                    <w:jc w:val="center"/>
                    <w:rPr>
                      <w:rFonts w:hint="default"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SW59</w:t>
                  </w:r>
                </w:p>
              </w:tc>
              <w:tc>
                <w:tcPr>
                  <w:tcW w:w="501" w:type="pct"/>
                  <w:noWrap w:val="0"/>
                  <w:vAlign w:val="center"/>
                </w:tcPr>
                <w:p w14:paraId="453B8C07">
                  <w:pPr>
                    <w:jc w:val="center"/>
                    <w:rPr>
                      <w:rFonts w:hint="eastAsia" w:ascii="Times New Roman" w:hAnsi="Times New Roman" w:eastAsia="宋体" w:cs="Times New Roman"/>
                      <w:bCs/>
                      <w:color w:val="000000"/>
                      <w:sz w:val="21"/>
                      <w:szCs w:val="21"/>
                      <w:u w:val="none"/>
                      <w:lang w:val="en-US" w:eastAsia="zh-CN"/>
                    </w:rPr>
                  </w:pPr>
                  <w:r>
                    <w:rPr>
                      <w:rFonts w:hint="eastAsia" w:ascii="Times New Roman" w:hAnsi="Times New Roman" w:eastAsia="宋体" w:cs="Times New Roman"/>
                      <w:bCs/>
                      <w:color w:val="000000"/>
                      <w:sz w:val="21"/>
                      <w:szCs w:val="21"/>
                      <w:u w:val="none"/>
                      <w:lang w:val="en-US" w:eastAsia="zh-CN"/>
                    </w:rPr>
                    <w:t>900-099-S59</w:t>
                  </w:r>
                </w:p>
              </w:tc>
              <w:tc>
                <w:tcPr>
                  <w:tcW w:w="438" w:type="pct"/>
                  <w:noWrap w:val="0"/>
                  <w:vAlign w:val="center"/>
                </w:tcPr>
                <w:p w14:paraId="1AA48523">
                  <w:pPr>
                    <w:jc w:val="center"/>
                    <w:rPr>
                      <w:rFonts w:hint="default"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5.0</w:t>
                  </w:r>
                </w:p>
              </w:tc>
              <w:tc>
                <w:tcPr>
                  <w:tcW w:w="393" w:type="pct"/>
                  <w:noWrap w:val="0"/>
                  <w:vAlign w:val="center"/>
                </w:tcPr>
                <w:p w14:paraId="7690B8F6">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更换包装</w:t>
                  </w:r>
                </w:p>
              </w:tc>
              <w:tc>
                <w:tcPr>
                  <w:tcW w:w="235" w:type="pct"/>
                  <w:noWrap w:val="0"/>
                  <w:vAlign w:val="center"/>
                </w:tcPr>
                <w:p w14:paraId="324A931A">
                  <w:pPr>
                    <w:jc w:val="center"/>
                    <w:rPr>
                      <w:rFonts w:hint="default"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固态</w:t>
                  </w:r>
                </w:p>
              </w:tc>
              <w:tc>
                <w:tcPr>
                  <w:tcW w:w="415" w:type="pct"/>
                  <w:noWrap w:val="0"/>
                  <w:vAlign w:val="center"/>
                </w:tcPr>
                <w:p w14:paraId="6E326AE6">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废包装箱</w:t>
                  </w:r>
                </w:p>
              </w:tc>
              <w:tc>
                <w:tcPr>
                  <w:tcW w:w="343" w:type="pct"/>
                  <w:noWrap w:val="0"/>
                  <w:vAlign w:val="center"/>
                </w:tcPr>
                <w:p w14:paraId="31BA8627">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w:t>
                  </w:r>
                </w:p>
              </w:tc>
              <w:tc>
                <w:tcPr>
                  <w:tcW w:w="320" w:type="pct"/>
                  <w:noWrap w:val="0"/>
                  <w:vAlign w:val="center"/>
                </w:tcPr>
                <w:p w14:paraId="05D7969F">
                  <w:pPr>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连续每天</w:t>
                  </w:r>
                </w:p>
              </w:tc>
              <w:tc>
                <w:tcPr>
                  <w:tcW w:w="566" w:type="pct"/>
                  <w:noWrap w:val="0"/>
                  <w:vAlign w:val="center"/>
                </w:tcPr>
                <w:p w14:paraId="44DB848A">
                  <w:pPr>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sz w:val="21"/>
                      <w:szCs w:val="21"/>
                      <w:u w:val="none"/>
                      <w:lang w:val="en-US" w:eastAsia="zh-CN"/>
                    </w:rPr>
                    <w:t>—</w:t>
                  </w:r>
                </w:p>
              </w:tc>
              <w:tc>
                <w:tcPr>
                  <w:tcW w:w="767" w:type="pct"/>
                  <w:noWrap w:val="0"/>
                  <w:vAlign w:val="center"/>
                </w:tcPr>
                <w:p w14:paraId="76EBFB8D">
                  <w:pPr>
                    <w:jc w:val="center"/>
                    <w:rPr>
                      <w:rFonts w:hint="default"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外售</w:t>
                  </w:r>
                </w:p>
              </w:tc>
            </w:tr>
            <w:tr w14:paraId="05694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noWrap w:val="0"/>
                  <w:vAlign w:val="center"/>
                </w:tcPr>
                <w:p w14:paraId="256116A2">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3</w:t>
                  </w:r>
                </w:p>
              </w:tc>
              <w:tc>
                <w:tcPr>
                  <w:tcW w:w="362" w:type="pct"/>
                  <w:noWrap w:val="0"/>
                  <w:vAlign w:val="center"/>
                </w:tcPr>
                <w:p w14:paraId="4192FC55">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生活垃圾</w:t>
                  </w:r>
                </w:p>
              </w:tc>
              <w:tc>
                <w:tcPr>
                  <w:tcW w:w="418" w:type="pct"/>
                  <w:noWrap w:val="0"/>
                  <w:vAlign w:val="center"/>
                </w:tcPr>
                <w:p w14:paraId="72C1AE1D">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w:t>
                  </w:r>
                </w:p>
              </w:tc>
              <w:tc>
                <w:tcPr>
                  <w:tcW w:w="501" w:type="pct"/>
                  <w:noWrap w:val="0"/>
                  <w:vAlign w:val="center"/>
                </w:tcPr>
                <w:p w14:paraId="76C31511">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w:t>
                  </w:r>
                </w:p>
              </w:tc>
              <w:tc>
                <w:tcPr>
                  <w:tcW w:w="438" w:type="pct"/>
                  <w:noWrap w:val="0"/>
                  <w:vAlign w:val="center"/>
                </w:tcPr>
                <w:p w14:paraId="1148F00E">
                  <w:pPr>
                    <w:jc w:val="center"/>
                    <w:rPr>
                      <w:rFonts w:hint="default" w:eastAsia="宋体"/>
                      <w:bCs/>
                      <w:sz w:val="21"/>
                      <w:szCs w:val="21"/>
                      <w:u w:val="none"/>
                      <w:lang w:val="en-US" w:eastAsia="zh-CN"/>
                    </w:rPr>
                  </w:pPr>
                  <w:r>
                    <w:rPr>
                      <w:rFonts w:hint="eastAsia" w:eastAsia="宋体"/>
                      <w:bCs/>
                      <w:sz w:val="21"/>
                      <w:szCs w:val="21"/>
                      <w:u w:val="none"/>
                      <w:lang w:val="en-US" w:eastAsia="zh-CN"/>
                    </w:rPr>
                    <w:t>22.0</w:t>
                  </w:r>
                </w:p>
              </w:tc>
              <w:tc>
                <w:tcPr>
                  <w:tcW w:w="393" w:type="pct"/>
                  <w:noWrap w:val="0"/>
                  <w:vAlign w:val="center"/>
                </w:tcPr>
                <w:p w14:paraId="1E13F9D1">
                  <w:pPr>
                    <w:jc w:val="center"/>
                    <w:rPr>
                      <w:rFonts w:hint="default"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办公生活</w:t>
                  </w:r>
                </w:p>
              </w:tc>
              <w:tc>
                <w:tcPr>
                  <w:tcW w:w="235" w:type="pct"/>
                  <w:noWrap w:val="0"/>
                  <w:vAlign w:val="center"/>
                </w:tcPr>
                <w:p w14:paraId="47ED80FD">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固态</w:t>
                  </w:r>
                </w:p>
              </w:tc>
              <w:tc>
                <w:tcPr>
                  <w:tcW w:w="415" w:type="pct"/>
                  <w:noWrap w:val="0"/>
                  <w:vAlign w:val="center"/>
                </w:tcPr>
                <w:p w14:paraId="12E1DA0F">
                  <w:pPr>
                    <w:jc w:val="center"/>
                    <w:rPr>
                      <w:rFonts w:hint="default"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废纸张等</w:t>
                  </w:r>
                </w:p>
              </w:tc>
              <w:tc>
                <w:tcPr>
                  <w:tcW w:w="343" w:type="pct"/>
                  <w:noWrap w:val="0"/>
                  <w:vAlign w:val="center"/>
                </w:tcPr>
                <w:p w14:paraId="1B2AFCF0">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w:t>
                  </w:r>
                </w:p>
              </w:tc>
              <w:tc>
                <w:tcPr>
                  <w:tcW w:w="320" w:type="pct"/>
                  <w:noWrap w:val="0"/>
                  <w:vAlign w:val="center"/>
                </w:tcPr>
                <w:p w14:paraId="0E03928D">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连续每天</w:t>
                  </w:r>
                </w:p>
              </w:tc>
              <w:tc>
                <w:tcPr>
                  <w:tcW w:w="566" w:type="pct"/>
                  <w:noWrap w:val="0"/>
                  <w:vAlign w:val="center"/>
                </w:tcPr>
                <w:p w14:paraId="7EF3054E">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w:t>
                  </w:r>
                </w:p>
              </w:tc>
              <w:tc>
                <w:tcPr>
                  <w:tcW w:w="767" w:type="pct"/>
                  <w:noWrap w:val="0"/>
                  <w:vAlign w:val="center"/>
                </w:tcPr>
                <w:p w14:paraId="65A02EBD">
                  <w:pPr>
                    <w:jc w:val="center"/>
                    <w:rPr>
                      <w:rFonts w:hint="eastAsia" w:ascii="Times New Roman" w:hAnsi="Times New Roman" w:eastAsia="宋体" w:cs="Times New Roman"/>
                      <w:bCs/>
                      <w:sz w:val="21"/>
                      <w:szCs w:val="21"/>
                      <w:u w:val="none"/>
                      <w:lang w:val="en-US" w:eastAsia="zh-CN"/>
                    </w:rPr>
                  </w:pPr>
                  <w:r>
                    <w:rPr>
                      <w:rFonts w:hint="eastAsia" w:ascii="Times New Roman" w:hAnsi="Times New Roman" w:eastAsia="宋体" w:cs="Times New Roman"/>
                      <w:bCs/>
                      <w:sz w:val="21"/>
                      <w:szCs w:val="21"/>
                      <w:u w:val="none"/>
                      <w:lang w:val="en-US" w:eastAsia="zh-CN"/>
                    </w:rPr>
                    <w:t>市政环卫部门清运</w:t>
                  </w:r>
                </w:p>
              </w:tc>
            </w:tr>
          </w:tbl>
          <w:p w14:paraId="1DAD5C1C">
            <w:pPr>
              <w:pStyle w:val="6"/>
              <w:spacing w:line="500" w:lineRule="exact"/>
              <w:ind w:left="0" w:leftChars="0" w:firstLine="0" w:firstLineChars="0"/>
              <w:rPr>
                <w:rFonts w:hint="eastAsia"/>
                <w:b/>
                <w:bCs/>
                <w:color w:val="auto"/>
                <w:kern w:val="0"/>
                <w:sz w:val="24"/>
              </w:rPr>
            </w:pPr>
            <w:r>
              <w:rPr>
                <w:rFonts w:hint="eastAsia"/>
                <w:b/>
                <w:bCs/>
                <w:color w:val="auto"/>
                <w:kern w:val="0"/>
                <w:sz w:val="24"/>
                <w:lang w:val="en-US" w:eastAsia="zh-CN"/>
              </w:rPr>
              <w:t>4</w:t>
            </w:r>
            <w:r>
              <w:rPr>
                <w:rFonts w:hint="eastAsia"/>
                <w:b/>
                <w:bCs/>
                <w:color w:val="auto"/>
                <w:kern w:val="0"/>
                <w:sz w:val="24"/>
              </w:rPr>
              <w:t>、现有工程污染汇总</w:t>
            </w:r>
          </w:p>
          <w:p w14:paraId="11CB15D8">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根据建设单位规划，现有工程</w:t>
            </w:r>
            <w:r>
              <w:rPr>
                <w:rFonts w:hint="eastAsia" w:cs="Times New Roman"/>
                <w:color w:val="auto"/>
                <w:kern w:val="0"/>
                <w:sz w:val="24"/>
                <w:lang w:val="en-US" w:eastAsia="zh-CN"/>
              </w:rPr>
              <w:t>拟</w:t>
            </w:r>
            <w:r>
              <w:rPr>
                <w:rFonts w:hint="eastAsia" w:ascii="Times New Roman" w:hAnsi="Times New Roman" w:eastAsia="宋体" w:cs="Times New Roman"/>
                <w:color w:val="auto"/>
                <w:kern w:val="0"/>
                <w:sz w:val="24"/>
                <w:lang w:val="en-US" w:eastAsia="zh-CN"/>
              </w:rPr>
              <w:t>取消食堂</w:t>
            </w:r>
            <w:r>
              <w:rPr>
                <w:rFonts w:hint="eastAsia" w:cs="Times New Roman"/>
                <w:color w:val="auto"/>
                <w:kern w:val="0"/>
                <w:sz w:val="24"/>
                <w:lang w:val="en-US" w:eastAsia="zh-CN"/>
              </w:rPr>
              <w:t>、1栋1F生活区和1栋2F办公区</w:t>
            </w:r>
            <w:r>
              <w:rPr>
                <w:rFonts w:hint="eastAsia" w:ascii="Times New Roman" w:hAnsi="Times New Roman" w:eastAsia="宋体" w:cs="Times New Roman"/>
                <w:color w:val="auto"/>
                <w:kern w:val="0"/>
                <w:sz w:val="24"/>
                <w:lang w:val="en-US" w:eastAsia="zh-CN"/>
              </w:rPr>
              <w:t>。</w:t>
            </w:r>
          </w:p>
          <w:p w14:paraId="34CDF92E">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rPr>
              <w:t>现有工程污染物汇总</w:t>
            </w:r>
            <w:r>
              <w:rPr>
                <w:rFonts w:hint="eastAsia" w:ascii="Times New Roman" w:hAnsi="Times New Roman" w:eastAsia="宋体" w:cs="Times New Roman"/>
                <w:color w:val="auto"/>
                <w:kern w:val="0"/>
                <w:sz w:val="24"/>
                <w:lang w:val="en-US" w:eastAsia="zh-CN"/>
              </w:rPr>
              <w:t>表见表2-2</w:t>
            </w:r>
            <w:r>
              <w:rPr>
                <w:rFonts w:hint="eastAsia" w:cs="Times New Roman"/>
                <w:color w:val="auto"/>
                <w:kern w:val="0"/>
                <w:sz w:val="24"/>
                <w:lang w:val="en-US" w:eastAsia="zh-CN"/>
              </w:rPr>
              <w:t>2</w:t>
            </w:r>
            <w:r>
              <w:rPr>
                <w:rFonts w:hint="eastAsia" w:ascii="Times New Roman" w:hAnsi="Times New Roman" w:eastAsia="宋体" w:cs="Times New Roman"/>
                <w:color w:val="auto"/>
                <w:kern w:val="0"/>
                <w:sz w:val="24"/>
                <w:lang w:val="en-US" w:eastAsia="zh-CN"/>
              </w:rPr>
              <w:t>。</w:t>
            </w:r>
          </w:p>
          <w:p w14:paraId="060A6869">
            <w:pPr>
              <w:pStyle w:val="6"/>
              <w:spacing w:line="500" w:lineRule="exact"/>
              <w:ind w:firstLine="482"/>
              <w:jc w:val="center"/>
              <w:rPr>
                <w:rFonts w:hint="eastAsia" w:ascii="Times New Roman" w:hAnsi="Times New Roman" w:eastAsia="宋体" w:cs="Times New Roman"/>
                <w:b/>
                <w:bCs/>
                <w:color w:val="000000"/>
                <w:kern w:val="0"/>
                <w:sz w:val="24"/>
                <w:lang w:val="en-GB" w:eastAsia="zh-CN"/>
              </w:rPr>
            </w:pPr>
            <w:r>
              <w:rPr>
                <w:rFonts w:hint="eastAsia" w:ascii="Times New Roman" w:hAnsi="Times New Roman" w:eastAsia="宋体" w:cs="Times New Roman"/>
                <w:b/>
                <w:bCs/>
                <w:color w:val="000000"/>
                <w:kern w:val="0"/>
                <w:sz w:val="24"/>
                <w:lang w:val="en-GB" w:eastAsia="zh-CN"/>
              </w:rPr>
              <w:t>表</w:t>
            </w:r>
            <w:r>
              <w:rPr>
                <w:rFonts w:hint="eastAsia" w:ascii="Times New Roman" w:hAnsi="Times New Roman" w:eastAsia="宋体" w:cs="Times New Roman"/>
                <w:b/>
                <w:bCs/>
                <w:color w:val="000000"/>
                <w:kern w:val="0"/>
                <w:sz w:val="24"/>
                <w:lang w:val="en-US" w:eastAsia="zh-CN"/>
              </w:rPr>
              <w:t>2-2</w:t>
            </w:r>
            <w:r>
              <w:rPr>
                <w:rFonts w:hint="eastAsia" w:cs="Times New Roman"/>
                <w:b/>
                <w:bCs/>
                <w:color w:val="000000"/>
                <w:kern w:val="0"/>
                <w:sz w:val="24"/>
                <w:lang w:val="en-US" w:eastAsia="zh-CN"/>
              </w:rPr>
              <w:t>2</w:t>
            </w:r>
            <w:r>
              <w:rPr>
                <w:rFonts w:hint="eastAsia" w:ascii="Times New Roman" w:hAnsi="Times New Roman" w:eastAsia="宋体" w:cs="Times New Roman"/>
                <w:b/>
                <w:bCs/>
                <w:color w:val="000000"/>
                <w:kern w:val="0"/>
                <w:sz w:val="24"/>
                <w:lang w:val="en-GB" w:eastAsia="zh-CN"/>
              </w:rPr>
              <w:t xml:space="preserve">  </w:t>
            </w:r>
            <w:r>
              <w:rPr>
                <w:rFonts w:hint="eastAsia" w:ascii="Times New Roman" w:hAnsi="Times New Roman" w:eastAsia="宋体" w:cs="Times New Roman"/>
                <w:b/>
                <w:bCs/>
                <w:color w:val="000000"/>
                <w:kern w:val="0"/>
                <w:sz w:val="24"/>
                <w:lang w:val="en-US" w:eastAsia="zh-CN"/>
              </w:rPr>
              <w:t>现有工程</w:t>
            </w:r>
            <w:r>
              <w:rPr>
                <w:rFonts w:hint="eastAsia" w:ascii="Times New Roman" w:hAnsi="Times New Roman" w:eastAsia="宋体" w:cs="Times New Roman"/>
                <w:b/>
                <w:bCs/>
                <w:color w:val="000000"/>
                <w:kern w:val="0"/>
                <w:sz w:val="24"/>
                <w:lang w:val="en-GB" w:eastAsia="zh-CN"/>
              </w:rPr>
              <w:t>主要污染物产生和排放量汇总表（单位：t/a）</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6"/>
              <w:gridCol w:w="3641"/>
              <w:gridCol w:w="3333"/>
            </w:tblGrid>
            <w:tr w14:paraId="462E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854" w:type="pct"/>
                  <w:tcBorders>
                    <w:tl2br w:val="nil"/>
                    <w:tr2bl w:val="nil"/>
                  </w:tcBorders>
                  <w:noWrap w:val="0"/>
                  <w:vAlign w:val="center"/>
                </w:tcPr>
                <w:p w14:paraId="27D1E49B">
                  <w:pPr>
                    <w:jc w:val="center"/>
                    <w:rPr>
                      <w:color w:val="auto"/>
                      <w:sz w:val="21"/>
                      <w:szCs w:val="21"/>
                      <w:u w:val="none"/>
                    </w:rPr>
                  </w:pPr>
                  <w:r>
                    <w:rPr>
                      <w:color w:val="auto"/>
                      <w:sz w:val="21"/>
                      <w:szCs w:val="21"/>
                      <w:u w:val="none"/>
                    </w:rPr>
                    <w:t>项目</w:t>
                  </w:r>
                </w:p>
              </w:tc>
              <w:tc>
                <w:tcPr>
                  <w:tcW w:w="2164" w:type="pct"/>
                  <w:tcBorders>
                    <w:tl2br w:val="nil"/>
                    <w:tr2bl w:val="nil"/>
                  </w:tcBorders>
                  <w:noWrap w:val="0"/>
                  <w:vAlign w:val="center"/>
                </w:tcPr>
                <w:p w14:paraId="6C60BADC">
                  <w:pPr>
                    <w:jc w:val="center"/>
                    <w:rPr>
                      <w:color w:val="auto"/>
                      <w:sz w:val="21"/>
                      <w:szCs w:val="21"/>
                      <w:u w:val="none"/>
                    </w:rPr>
                  </w:pPr>
                  <w:r>
                    <w:rPr>
                      <w:color w:val="auto"/>
                      <w:sz w:val="21"/>
                      <w:szCs w:val="21"/>
                      <w:u w:val="none"/>
                    </w:rPr>
                    <w:t>污染物名称</w:t>
                  </w:r>
                </w:p>
              </w:tc>
              <w:tc>
                <w:tcPr>
                  <w:tcW w:w="1981" w:type="pct"/>
                  <w:tcBorders>
                    <w:tl2br w:val="nil"/>
                    <w:tr2bl w:val="nil"/>
                  </w:tcBorders>
                  <w:noWrap w:val="0"/>
                  <w:vAlign w:val="center"/>
                </w:tcPr>
                <w:p w14:paraId="3758BEEB">
                  <w:pPr>
                    <w:jc w:val="center"/>
                    <w:rPr>
                      <w:color w:val="auto"/>
                      <w:sz w:val="21"/>
                      <w:szCs w:val="21"/>
                      <w:u w:val="none"/>
                    </w:rPr>
                  </w:pPr>
                  <w:r>
                    <w:rPr>
                      <w:color w:val="auto"/>
                      <w:sz w:val="21"/>
                      <w:szCs w:val="21"/>
                      <w:u w:val="none"/>
                    </w:rPr>
                    <w:t>排放量</w:t>
                  </w:r>
                </w:p>
              </w:tc>
            </w:tr>
            <w:tr w14:paraId="67DE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4" w:type="pct"/>
                  <w:vMerge w:val="restart"/>
                  <w:tcBorders>
                    <w:tl2br w:val="nil"/>
                    <w:tr2bl w:val="nil"/>
                  </w:tcBorders>
                  <w:noWrap w:val="0"/>
                  <w:vAlign w:val="center"/>
                </w:tcPr>
                <w:p w14:paraId="4BA1A1AC">
                  <w:pPr>
                    <w:jc w:val="center"/>
                    <w:rPr>
                      <w:color w:val="auto"/>
                      <w:sz w:val="21"/>
                      <w:szCs w:val="21"/>
                      <w:u w:val="none"/>
                    </w:rPr>
                  </w:pPr>
                  <w:r>
                    <w:rPr>
                      <w:color w:val="auto"/>
                      <w:sz w:val="21"/>
                      <w:szCs w:val="21"/>
                      <w:u w:val="none"/>
                    </w:rPr>
                    <w:t>废气</w:t>
                  </w:r>
                </w:p>
              </w:tc>
              <w:tc>
                <w:tcPr>
                  <w:tcW w:w="2164" w:type="pct"/>
                  <w:tcBorders>
                    <w:tl2br w:val="nil"/>
                    <w:tr2bl w:val="nil"/>
                  </w:tcBorders>
                  <w:noWrap w:val="0"/>
                  <w:vAlign w:val="center"/>
                </w:tcPr>
                <w:p w14:paraId="2F5DA3C4">
                  <w:pPr>
                    <w:pStyle w:val="7"/>
                    <w:jc w:val="center"/>
                    <w:rPr>
                      <w:color w:val="auto"/>
                      <w:sz w:val="21"/>
                      <w:szCs w:val="21"/>
                      <w:u w:val="none"/>
                    </w:rPr>
                  </w:pPr>
                  <w:r>
                    <w:rPr>
                      <w:rFonts w:hint="eastAsia"/>
                      <w:color w:val="auto"/>
                      <w:sz w:val="21"/>
                      <w:szCs w:val="21"/>
                      <w:u w:val="none"/>
                      <w:vertAlign w:val="baseline"/>
                      <w:lang w:val="en-US" w:eastAsia="zh-CN"/>
                    </w:rPr>
                    <w:t>颗粒物</w:t>
                  </w:r>
                </w:p>
              </w:tc>
              <w:tc>
                <w:tcPr>
                  <w:tcW w:w="1981" w:type="pct"/>
                  <w:tcBorders>
                    <w:tl2br w:val="nil"/>
                    <w:tr2bl w:val="nil"/>
                  </w:tcBorders>
                  <w:noWrap w:val="0"/>
                  <w:vAlign w:val="center"/>
                </w:tcPr>
                <w:p w14:paraId="2A142796">
                  <w:pPr>
                    <w:pStyle w:val="7"/>
                    <w:jc w:val="center"/>
                    <w:rPr>
                      <w:rFonts w:hint="default" w:eastAsia="宋体"/>
                      <w:color w:val="auto"/>
                      <w:sz w:val="21"/>
                      <w:szCs w:val="21"/>
                      <w:u w:val="none"/>
                      <w:lang w:val="en-US" w:eastAsia="zh-CN"/>
                    </w:rPr>
                  </w:pPr>
                  <w:r>
                    <w:rPr>
                      <w:rFonts w:hint="eastAsia"/>
                      <w:color w:val="auto"/>
                      <w:sz w:val="21"/>
                      <w:szCs w:val="21"/>
                      <w:u w:val="none"/>
                      <w:vertAlign w:val="baseline"/>
                      <w:lang w:val="en-US" w:eastAsia="zh-CN"/>
                    </w:rPr>
                    <w:t>0.52</w:t>
                  </w:r>
                </w:p>
              </w:tc>
            </w:tr>
            <w:tr w14:paraId="0E7C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4" w:type="pct"/>
                  <w:vMerge w:val="continue"/>
                  <w:tcBorders>
                    <w:tl2br w:val="nil"/>
                    <w:tr2bl w:val="nil"/>
                  </w:tcBorders>
                  <w:noWrap w:val="0"/>
                  <w:vAlign w:val="center"/>
                </w:tcPr>
                <w:p w14:paraId="5563F8E2">
                  <w:pPr>
                    <w:jc w:val="center"/>
                    <w:rPr>
                      <w:color w:val="auto"/>
                      <w:sz w:val="21"/>
                      <w:szCs w:val="21"/>
                      <w:u w:val="none"/>
                    </w:rPr>
                  </w:pPr>
                </w:p>
              </w:tc>
              <w:tc>
                <w:tcPr>
                  <w:tcW w:w="2164" w:type="pct"/>
                  <w:tcBorders>
                    <w:tl2br w:val="nil"/>
                    <w:tr2bl w:val="nil"/>
                  </w:tcBorders>
                  <w:noWrap w:val="0"/>
                  <w:vAlign w:val="center"/>
                </w:tcPr>
                <w:p w14:paraId="3D838038">
                  <w:pPr>
                    <w:pStyle w:val="7"/>
                    <w:jc w:val="center"/>
                    <w:rPr>
                      <w:color w:val="auto"/>
                      <w:sz w:val="21"/>
                      <w:szCs w:val="21"/>
                      <w:u w:val="none"/>
                    </w:rPr>
                  </w:pPr>
                  <w:r>
                    <w:rPr>
                      <w:rFonts w:hint="eastAsia" w:ascii="Times New Roman" w:hAnsi="Times New Roman" w:eastAsia="宋体" w:cs="宋体"/>
                      <w:color w:val="auto"/>
                      <w:kern w:val="0"/>
                      <w:sz w:val="21"/>
                      <w:szCs w:val="21"/>
                      <w:u w:val="none"/>
                      <w:lang w:val="en-US" w:eastAsia="zh-CN"/>
                    </w:rPr>
                    <w:t>CO</w:t>
                  </w:r>
                </w:p>
              </w:tc>
              <w:tc>
                <w:tcPr>
                  <w:tcW w:w="1981" w:type="pct"/>
                  <w:tcBorders>
                    <w:tl2br w:val="nil"/>
                    <w:tr2bl w:val="nil"/>
                  </w:tcBorders>
                  <w:noWrap w:val="0"/>
                  <w:vAlign w:val="center"/>
                </w:tcPr>
                <w:p w14:paraId="36226282">
                  <w:pPr>
                    <w:pStyle w:val="7"/>
                    <w:jc w:val="center"/>
                    <w:rPr>
                      <w:rFonts w:hint="default" w:eastAsia="宋体"/>
                      <w:color w:val="auto"/>
                      <w:sz w:val="21"/>
                      <w:szCs w:val="21"/>
                      <w:u w:val="none"/>
                      <w:lang w:val="en-US" w:eastAsia="zh-CN"/>
                    </w:rPr>
                  </w:pPr>
                  <w:r>
                    <w:rPr>
                      <w:rFonts w:hint="eastAsia" w:ascii="Times New Roman" w:hAnsi="Times New Roman" w:eastAsia="宋体" w:cs="宋体"/>
                      <w:color w:val="auto"/>
                      <w:kern w:val="0"/>
                      <w:sz w:val="21"/>
                      <w:szCs w:val="21"/>
                      <w:u w:val="none"/>
                      <w:lang w:val="en-US" w:eastAsia="zh-CN"/>
                    </w:rPr>
                    <w:t>0.87</w:t>
                  </w:r>
                </w:p>
              </w:tc>
            </w:tr>
            <w:tr w14:paraId="1219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4" w:type="pct"/>
                  <w:vMerge w:val="continue"/>
                  <w:tcBorders>
                    <w:tl2br w:val="nil"/>
                    <w:tr2bl w:val="nil"/>
                  </w:tcBorders>
                  <w:noWrap w:val="0"/>
                  <w:vAlign w:val="center"/>
                </w:tcPr>
                <w:p w14:paraId="1DC99034">
                  <w:pPr>
                    <w:jc w:val="center"/>
                    <w:rPr>
                      <w:color w:val="auto"/>
                      <w:sz w:val="21"/>
                      <w:szCs w:val="21"/>
                      <w:u w:val="none"/>
                    </w:rPr>
                  </w:pPr>
                </w:p>
              </w:tc>
              <w:tc>
                <w:tcPr>
                  <w:tcW w:w="2164" w:type="pct"/>
                  <w:tcBorders>
                    <w:tl2br w:val="nil"/>
                    <w:tr2bl w:val="nil"/>
                  </w:tcBorders>
                  <w:noWrap w:val="0"/>
                  <w:vAlign w:val="center"/>
                </w:tcPr>
                <w:p w14:paraId="68FA95AF">
                  <w:pPr>
                    <w:pStyle w:val="7"/>
                    <w:jc w:val="center"/>
                    <w:rPr>
                      <w:color w:val="auto"/>
                      <w:sz w:val="21"/>
                      <w:szCs w:val="21"/>
                      <w:u w:val="none"/>
                    </w:rPr>
                  </w:pPr>
                  <w:r>
                    <w:rPr>
                      <w:rFonts w:hint="eastAsia" w:ascii="Times New Roman" w:hAnsi="Times New Roman" w:eastAsia="宋体" w:cs="宋体"/>
                      <w:color w:val="auto"/>
                      <w:kern w:val="0"/>
                      <w:sz w:val="21"/>
                      <w:szCs w:val="21"/>
                      <w:u w:val="none"/>
                      <w:lang w:val="en-US" w:eastAsia="zh-CN"/>
                    </w:rPr>
                    <w:t>NO</w:t>
                  </w:r>
                  <w:r>
                    <w:rPr>
                      <w:rFonts w:hint="eastAsia" w:ascii="Times New Roman" w:hAnsi="Times New Roman" w:eastAsia="宋体" w:cs="宋体"/>
                      <w:color w:val="auto"/>
                      <w:kern w:val="0"/>
                      <w:sz w:val="21"/>
                      <w:szCs w:val="21"/>
                      <w:u w:val="none"/>
                      <w:vertAlign w:val="subscript"/>
                      <w:lang w:val="en-US" w:eastAsia="zh-CN"/>
                    </w:rPr>
                    <w:t>x</w:t>
                  </w:r>
                </w:p>
              </w:tc>
              <w:tc>
                <w:tcPr>
                  <w:tcW w:w="1981" w:type="pct"/>
                  <w:tcBorders>
                    <w:tl2br w:val="nil"/>
                    <w:tr2bl w:val="nil"/>
                  </w:tcBorders>
                  <w:noWrap w:val="0"/>
                  <w:vAlign w:val="center"/>
                </w:tcPr>
                <w:p w14:paraId="43D06D4A">
                  <w:pPr>
                    <w:pStyle w:val="7"/>
                    <w:jc w:val="center"/>
                    <w:rPr>
                      <w:rFonts w:hint="default" w:eastAsia="宋体"/>
                      <w:color w:val="auto"/>
                      <w:sz w:val="21"/>
                      <w:szCs w:val="21"/>
                      <w:u w:val="none"/>
                      <w:lang w:val="en-US" w:eastAsia="zh-CN"/>
                    </w:rPr>
                  </w:pPr>
                  <w:r>
                    <w:rPr>
                      <w:rFonts w:hint="eastAsia" w:ascii="Times New Roman" w:hAnsi="Times New Roman" w:eastAsia="宋体" w:cs="宋体"/>
                      <w:color w:val="auto"/>
                      <w:kern w:val="0"/>
                      <w:sz w:val="21"/>
                      <w:szCs w:val="21"/>
                      <w:u w:val="none"/>
                      <w:lang w:val="en-US" w:eastAsia="zh-CN"/>
                    </w:rPr>
                    <w:t>1.16</w:t>
                  </w:r>
                </w:p>
              </w:tc>
            </w:tr>
            <w:tr w14:paraId="5706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4" w:type="pct"/>
                  <w:vMerge w:val="restart"/>
                  <w:tcBorders>
                    <w:tl2br w:val="nil"/>
                    <w:tr2bl w:val="nil"/>
                  </w:tcBorders>
                  <w:noWrap w:val="0"/>
                  <w:vAlign w:val="center"/>
                </w:tcPr>
                <w:p w14:paraId="7074632C">
                  <w:pPr>
                    <w:jc w:val="center"/>
                    <w:rPr>
                      <w:color w:val="auto"/>
                      <w:sz w:val="21"/>
                      <w:szCs w:val="21"/>
                      <w:u w:val="none"/>
                    </w:rPr>
                  </w:pPr>
                  <w:r>
                    <w:rPr>
                      <w:color w:val="auto"/>
                      <w:sz w:val="21"/>
                      <w:szCs w:val="21"/>
                      <w:u w:val="none"/>
                    </w:rPr>
                    <w:t>废水</w:t>
                  </w:r>
                </w:p>
              </w:tc>
              <w:tc>
                <w:tcPr>
                  <w:tcW w:w="2164" w:type="pct"/>
                  <w:tcBorders>
                    <w:tl2br w:val="nil"/>
                    <w:tr2bl w:val="nil"/>
                  </w:tcBorders>
                  <w:noWrap w:val="0"/>
                  <w:vAlign w:val="center"/>
                </w:tcPr>
                <w:p w14:paraId="0912B748">
                  <w:pPr>
                    <w:adjustRightInd w:val="0"/>
                    <w:snapToGrid w:val="0"/>
                    <w:jc w:val="center"/>
                    <w:rPr>
                      <w:color w:val="000000"/>
                      <w:sz w:val="21"/>
                      <w:szCs w:val="21"/>
                      <w:u w:val="none"/>
                    </w:rPr>
                  </w:pPr>
                  <w:r>
                    <w:rPr>
                      <w:rFonts w:hint="eastAsia"/>
                      <w:color w:val="000000"/>
                      <w:kern w:val="0"/>
                      <w:sz w:val="21"/>
                      <w:szCs w:val="21"/>
                      <w:u w:val="none"/>
                    </w:rPr>
                    <w:t>污水量</w:t>
                  </w:r>
                </w:p>
              </w:tc>
              <w:tc>
                <w:tcPr>
                  <w:tcW w:w="1981" w:type="pct"/>
                  <w:tcBorders>
                    <w:tl2br w:val="nil"/>
                    <w:tr2bl w:val="nil"/>
                  </w:tcBorders>
                  <w:noWrap w:val="0"/>
                  <w:vAlign w:val="center"/>
                </w:tcPr>
                <w:p w14:paraId="42C7CD5D">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8748</w:t>
                  </w:r>
                </w:p>
              </w:tc>
            </w:tr>
            <w:tr w14:paraId="5152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4" w:type="pct"/>
                  <w:vMerge w:val="continue"/>
                  <w:tcBorders>
                    <w:tl2br w:val="nil"/>
                    <w:tr2bl w:val="nil"/>
                  </w:tcBorders>
                  <w:noWrap w:val="0"/>
                  <w:vAlign w:val="center"/>
                </w:tcPr>
                <w:p w14:paraId="36AFF032">
                  <w:pPr>
                    <w:jc w:val="center"/>
                    <w:rPr>
                      <w:color w:val="auto"/>
                      <w:sz w:val="21"/>
                      <w:szCs w:val="21"/>
                      <w:u w:val="none"/>
                    </w:rPr>
                  </w:pPr>
                </w:p>
              </w:tc>
              <w:tc>
                <w:tcPr>
                  <w:tcW w:w="2164" w:type="pct"/>
                  <w:tcBorders>
                    <w:tl2br w:val="nil"/>
                    <w:tr2bl w:val="nil"/>
                  </w:tcBorders>
                  <w:noWrap w:val="0"/>
                  <w:vAlign w:val="center"/>
                </w:tcPr>
                <w:p w14:paraId="79BD5853">
                  <w:pPr>
                    <w:pStyle w:val="7"/>
                    <w:jc w:val="center"/>
                    <w:rPr>
                      <w:color w:val="000000"/>
                      <w:sz w:val="21"/>
                      <w:szCs w:val="21"/>
                      <w:u w:val="none"/>
                    </w:rPr>
                  </w:pPr>
                  <w:r>
                    <w:rPr>
                      <w:rFonts w:hint="eastAsia" w:ascii="Times New Roman" w:hAnsi="Times New Roman" w:eastAsia="宋体" w:cs="Times New Roman"/>
                      <w:color w:val="000000"/>
                      <w:kern w:val="0"/>
                      <w:sz w:val="21"/>
                      <w:szCs w:val="21"/>
                      <w:u w:val="none"/>
                      <w:lang w:val="en-US" w:eastAsia="zh-CN"/>
                    </w:rPr>
                    <w:t>COD</w:t>
                  </w:r>
                </w:p>
              </w:tc>
              <w:tc>
                <w:tcPr>
                  <w:tcW w:w="1981" w:type="pct"/>
                  <w:tcBorders>
                    <w:tl2br w:val="nil"/>
                    <w:tr2bl w:val="nil"/>
                  </w:tcBorders>
                  <w:noWrap w:val="0"/>
                  <w:vAlign w:val="center"/>
                </w:tcPr>
                <w:p w14:paraId="64E1AD4A">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2.4932</w:t>
                  </w:r>
                </w:p>
              </w:tc>
            </w:tr>
            <w:tr w14:paraId="0712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4" w:type="pct"/>
                  <w:vMerge w:val="continue"/>
                  <w:tcBorders>
                    <w:tl2br w:val="nil"/>
                    <w:tr2bl w:val="nil"/>
                  </w:tcBorders>
                  <w:noWrap w:val="0"/>
                  <w:vAlign w:val="center"/>
                </w:tcPr>
                <w:p w14:paraId="0E60F2A7">
                  <w:pPr>
                    <w:jc w:val="center"/>
                    <w:rPr>
                      <w:color w:val="auto"/>
                      <w:sz w:val="21"/>
                      <w:szCs w:val="21"/>
                      <w:u w:val="none"/>
                    </w:rPr>
                  </w:pPr>
                </w:p>
              </w:tc>
              <w:tc>
                <w:tcPr>
                  <w:tcW w:w="2164" w:type="pct"/>
                  <w:tcBorders>
                    <w:tl2br w:val="nil"/>
                    <w:tr2bl w:val="nil"/>
                  </w:tcBorders>
                  <w:noWrap w:val="0"/>
                  <w:vAlign w:val="center"/>
                </w:tcPr>
                <w:p w14:paraId="1C0AB996">
                  <w:pPr>
                    <w:pStyle w:val="7"/>
                    <w:jc w:val="center"/>
                    <w:rPr>
                      <w:color w:val="000000"/>
                      <w:sz w:val="21"/>
                      <w:szCs w:val="21"/>
                      <w:u w:val="none"/>
                    </w:rPr>
                  </w:pPr>
                  <w:r>
                    <w:rPr>
                      <w:rFonts w:hint="eastAsia" w:ascii="Times New Roman" w:hAnsi="Times New Roman" w:eastAsia="宋体" w:cs="Times New Roman"/>
                      <w:color w:val="000000"/>
                      <w:kern w:val="0"/>
                      <w:sz w:val="21"/>
                      <w:szCs w:val="21"/>
                      <w:u w:val="none"/>
                      <w:lang w:val="en-US" w:eastAsia="zh-CN"/>
                    </w:rPr>
                    <w:t>NH</w:t>
                  </w:r>
                  <w:r>
                    <w:rPr>
                      <w:rFonts w:hint="eastAsia" w:ascii="Times New Roman" w:hAnsi="Times New Roman" w:eastAsia="宋体" w:cs="Times New Roman"/>
                      <w:color w:val="000000"/>
                      <w:kern w:val="0"/>
                      <w:sz w:val="21"/>
                      <w:szCs w:val="21"/>
                      <w:u w:val="none"/>
                      <w:vertAlign w:val="subscript"/>
                      <w:lang w:val="en-US" w:eastAsia="zh-CN"/>
                    </w:rPr>
                    <w:t>3</w:t>
                  </w:r>
                  <w:r>
                    <w:rPr>
                      <w:rFonts w:hint="eastAsia" w:ascii="Times New Roman" w:hAnsi="Times New Roman" w:eastAsia="宋体" w:cs="Times New Roman"/>
                      <w:color w:val="000000"/>
                      <w:kern w:val="0"/>
                      <w:sz w:val="21"/>
                      <w:szCs w:val="21"/>
                      <w:u w:val="none"/>
                      <w:lang w:val="en-US" w:eastAsia="zh-CN"/>
                    </w:rPr>
                    <w:t>-N</w:t>
                  </w:r>
                </w:p>
              </w:tc>
              <w:tc>
                <w:tcPr>
                  <w:tcW w:w="1981" w:type="pct"/>
                  <w:tcBorders>
                    <w:tl2br w:val="nil"/>
                    <w:tr2bl w:val="nil"/>
                  </w:tcBorders>
                  <w:noWrap w:val="0"/>
                  <w:vAlign w:val="center"/>
                </w:tcPr>
                <w:p w14:paraId="6DB5B611">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0.2476</w:t>
                  </w:r>
                </w:p>
              </w:tc>
            </w:tr>
            <w:tr w14:paraId="146F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4" w:type="pct"/>
                  <w:vMerge w:val="continue"/>
                  <w:tcBorders>
                    <w:tl2br w:val="nil"/>
                    <w:tr2bl w:val="nil"/>
                  </w:tcBorders>
                  <w:noWrap w:val="0"/>
                  <w:vAlign w:val="center"/>
                </w:tcPr>
                <w:p w14:paraId="41B0AE73">
                  <w:pPr>
                    <w:jc w:val="center"/>
                    <w:rPr>
                      <w:color w:val="auto"/>
                      <w:sz w:val="21"/>
                      <w:szCs w:val="21"/>
                      <w:u w:val="none"/>
                    </w:rPr>
                  </w:pPr>
                </w:p>
              </w:tc>
              <w:tc>
                <w:tcPr>
                  <w:tcW w:w="2164" w:type="pct"/>
                  <w:tcBorders>
                    <w:tl2br w:val="nil"/>
                    <w:tr2bl w:val="nil"/>
                  </w:tcBorders>
                  <w:noWrap w:val="0"/>
                  <w:vAlign w:val="center"/>
                </w:tcPr>
                <w:p w14:paraId="0FD57348">
                  <w:pPr>
                    <w:pStyle w:val="7"/>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TN</w:t>
                  </w:r>
                </w:p>
              </w:tc>
              <w:tc>
                <w:tcPr>
                  <w:tcW w:w="1981" w:type="pct"/>
                  <w:tcBorders>
                    <w:tl2br w:val="nil"/>
                    <w:tr2bl w:val="nil"/>
                  </w:tcBorders>
                  <w:noWrap w:val="0"/>
                  <w:vAlign w:val="center"/>
                </w:tcPr>
                <w:p w14:paraId="46587D45">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0.3447</w:t>
                  </w:r>
                </w:p>
              </w:tc>
            </w:tr>
            <w:tr w14:paraId="7A3D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4" w:type="pct"/>
                  <w:vMerge w:val="continue"/>
                  <w:tcBorders>
                    <w:tl2br w:val="nil"/>
                    <w:tr2bl w:val="nil"/>
                  </w:tcBorders>
                  <w:noWrap w:val="0"/>
                  <w:vAlign w:val="center"/>
                </w:tcPr>
                <w:p w14:paraId="79077FDB">
                  <w:pPr>
                    <w:jc w:val="center"/>
                    <w:rPr>
                      <w:color w:val="auto"/>
                      <w:sz w:val="21"/>
                      <w:szCs w:val="21"/>
                      <w:u w:val="none"/>
                    </w:rPr>
                  </w:pPr>
                </w:p>
              </w:tc>
              <w:tc>
                <w:tcPr>
                  <w:tcW w:w="2164" w:type="pct"/>
                  <w:tcBorders>
                    <w:tl2br w:val="nil"/>
                    <w:tr2bl w:val="nil"/>
                  </w:tcBorders>
                  <w:noWrap w:val="0"/>
                  <w:vAlign w:val="center"/>
                </w:tcPr>
                <w:p w14:paraId="33C62A61">
                  <w:pPr>
                    <w:pStyle w:val="7"/>
                    <w:jc w:val="center"/>
                    <w:rPr>
                      <w:rFonts w:hint="default"/>
                      <w:color w:val="000000"/>
                      <w:sz w:val="21"/>
                      <w:szCs w:val="21"/>
                      <w:u w:val="none"/>
                      <w:lang w:val="en-US"/>
                    </w:rPr>
                  </w:pPr>
                  <w:r>
                    <w:rPr>
                      <w:rFonts w:hint="eastAsia" w:ascii="Times New Roman" w:hAnsi="Times New Roman" w:eastAsia="宋体" w:cs="Times New Roman"/>
                      <w:color w:val="000000"/>
                      <w:kern w:val="0"/>
                      <w:sz w:val="21"/>
                      <w:szCs w:val="21"/>
                      <w:u w:val="none"/>
                      <w:lang w:val="en-US" w:eastAsia="zh-CN"/>
                    </w:rPr>
                    <w:t>TP</w:t>
                  </w:r>
                </w:p>
              </w:tc>
              <w:tc>
                <w:tcPr>
                  <w:tcW w:w="1981" w:type="pct"/>
                  <w:tcBorders>
                    <w:tl2br w:val="nil"/>
                    <w:tr2bl w:val="nil"/>
                  </w:tcBorders>
                  <w:noWrap w:val="0"/>
                  <w:vAlign w:val="center"/>
                </w:tcPr>
                <w:p w14:paraId="00A4D339">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0.0359</w:t>
                  </w:r>
                </w:p>
              </w:tc>
            </w:tr>
            <w:tr w14:paraId="19D8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4" w:type="pct"/>
                  <w:vMerge w:val="restart"/>
                  <w:tcBorders>
                    <w:tl2br w:val="nil"/>
                    <w:tr2bl w:val="nil"/>
                  </w:tcBorders>
                  <w:noWrap w:val="0"/>
                  <w:vAlign w:val="center"/>
                </w:tcPr>
                <w:p w14:paraId="6F2510FD">
                  <w:pPr>
                    <w:jc w:val="center"/>
                    <w:rPr>
                      <w:color w:val="auto"/>
                      <w:sz w:val="21"/>
                      <w:szCs w:val="21"/>
                      <w:u w:val="none"/>
                    </w:rPr>
                  </w:pPr>
                  <w:r>
                    <w:rPr>
                      <w:color w:val="auto"/>
                      <w:sz w:val="21"/>
                      <w:szCs w:val="21"/>
                      <w:u w:val="none"/>
                    </w:rPr>
                    <w:t>固废</w:t>
                  </w:r>
                </w:p>
              </w:tc>
              <w:tc>
                <w:tcPr>
                  <w:tcW w:w="2164" w:type="pct"/>
                  <w:tcBorders>
                    <w:tl2br w:val="nil"/>
                    <w:tr2bl w:val="nil"/>
                  </w:tcBorders>
                  <w:noWrap w:val="0"/>
                  <w:vAlign w:val="center"/>
                </w:tcPr>
                <w:p w14:paraId="732242F3">
                  <w:pPr>
                    <w:jc w:val="center"/>
                    <w:rPr>
                      <w:color w:val="000000"/>
                      <w:sz w:val="21"/>
                      <w:szCs w:val="21"/>
                      <w:u w:val="none"/>
                    </w:rPr>
                  </w:pPr>
                  <w:r>
                    <w:rPr>
                      <w:rFonts w:hint="eastAsia" w:ascii="Times New Roman" w:hAnsi="Times New Roman" w:eastAsia="宋体" w:cs="Times New Roman"/>
                      <w:bCs/>
                      <w:color w:val="000000"/>
                      <w:sz w:val="21"/>
                      <w:szCs w:val="21"/>
                      <w:u w:val="none"/>
                      <w:lang w:val="en-US" w:eastAsia="zh-CN"/>
                    </w:rPr>
                    <w:t>废包装袋</w:t>
                  </w:r>
                </w:p>
              </w:tc>
              <w:tc>
                <w:tcPr>
                  <w:tcW w:w="1981" w:type="pct"/>
                  <w:tcBorders>
                    <w:tl2br w:val="nil"/>
                    <w:tr2bl w:val="nil"/>
                  </w:tcBorders>
                  <w:noWrap w:val="0"/>
                  <w:vAlign w:val="center"/>
                </w:tcPr>
                <w:p w14:paraId="6E1440E6">
                  <w:pPr>
                    <w:jc w:val="center"/>
                    <w:rPr>
                      <w:color w:val="000000"/>
                      <w:sz w:val="21"/>
                      <w:szCs w:val="21"/>
                      <w:u w:val="none"/>
                    </w:rPr>
                  </w:pPr>
                  <w:r>
                    <w:rPr>
                      <w:rFonts w:hint="eastAsia"/>
                      <w:color w:val="000000"/>
                      <w:sz w:val="21"/>
                      <w:szCs w:val="21"/>
                      <w:u w:val="none"/>
                      <w:lang w:val="en-US" w:eastAsia="zh-CN"/>
                    </w:rPr>
                    <w:t>0</w:t>
                  </w:r>
                </w:p>
              </w:tc>
            </w:tr>
            <w:tr w14:paraId="095D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4" w:type="pct"/>
                  <w:vMerge w:val="continue"/>
                  <w:tcBorders>
                    <w:tl2br w:val="nil"/>
                    <w:tr2bl w:val="nil"/>
                  </w:tcBorders>
                  <w:noWrap w:val="0"/>
                  <w:vAlign w:val="center"/>
                </w:tcPr>
                <w:p w14:paraId="3FA9A45D">
                  <w:pPr>
                    <w:jc w:val="center"/>
                    <w:rPr>
                      <w:color w:val="auto"/>
                      <w:sz w:val="21"/>
                      <w:szCs w:val="21"/>
                      <w:u w:val="none"/>
                    </w:rPr>
                  </w:pPr>
                </w:p>
              </w:tc>
              <w:tc>
                <w:tcPr>
                  <w:tcW w:w="2164" w:type="pct"/>
                  <w:tcBorders>
                    <w:tl2br w:val="nil"/>
                    <w:tr2bl w:val="nil"/>
                  </w:tcBorders>
                  <w:noWrap w:val="0"/>
                  <w:vAlign w:val="center"/>
                </w:tcPr>
                <w:p w14:paraId="39BE38CF">
                  <w:pPr>
                    <w:jc w:val="center"/>
                    <w:rPr>
                      <w:rFonts w:hint="eastAsia" w:eastAsia="宋体"/>
                      <w:color w:val="000000"/>
                      <w:sz w:val="21"/>
                      <w:szCs w:val="21"/>
                      <w:u w:val="none"/>
                      <w:lang w:eastAsia="zh-CN"/>
                    </w:rPr>
                  </w:pPr>
                  <w:r>
                    <w:rPr>
                      <w:rFonts w:hint="eastAsia" w:ascii="Times New Roman" w:hAnsi="Times New Roman" w:eastAsia="宋体" w:cs="Times New Roman"/>
                      <w:bCs/>
                      <w:color w:val="000000"/>
                      <w:sz w:val="21"/>
                      <w:szCs w:val="21"/>
                      <w:u w:val="none"/>
                      <w:lang w:val="en-US" w:eastAsia="zh-CN"/>
                    </w:rPr>
                    <w:t>废包装箱</w:t>
                  </w:r>
                </w:p>
              </w:tc>
              <w:tc>
                <w:tcPr>
                  <w:tcW w:w="1981" w:type="pct"/>
                  <w:tcBorders>
                    <w:tl2br w:val="nil"/>
                    <w:tr2bl w:val="nil"/>
                  </w:tcBorders>
                  <w:noWrap w:val="0"/>
                  <w:vAlign w:val="center"/>
                </w:tcPr>
                <w:p w14:paraId="5468DC26">
                  <w:pPr>
                    <w:jc w:val="center"/>
                    <w:rPr>
                      <w:color w:val="000000"/>
                      <w:sz w:val="21"/>
                      <w:szCs w:val="21"/>
                      <w:u w:val="none"/>
                    </w:rPr>
                  </w:pPr>
                  <w:r>
                    <w:rPr>
                      <w:rFonts w:hint="eastAsia"/>
                      <w:color w:val="000000"/>
                      <w:sz w:val="21"/>
                      <w:szCs w:val="21"/>
                      <w:u w:val="none"/>
                      <w:lang w:val="en-US" w:eastAsia="zh-CN"/>
                    </w:rPr>
                    <w:t>0</w:t>
                  </w:r>
                </w:p>
              </w:tc>
            </w:tr>
            <w:tr w14:paraId="5045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4" w:type="pct"/>
                  <w:vMerge w:val="continue"/>
                  <w:tcBorders>
                    <w:tl2br w:val="nil"/>
                    <w:tr2bl w:val="nil"/>
                  </w:tcBorders>
                  <w:noWrap w:val="0"/>
                  <w:vAlign w:val="center"/>
                </w:tcPr>
                <w:p w14:paraId="3457619F">
                  <w:pPr>
                    <w:jc w:val="center"/>
                    <w:rPr>
                      <w:color w:val="auto"/>
                      <w:sz w:val="21"/>
                      <w:szCs w:val="21"/>
                      <w:u w:val="none"/>
                    </w:rPr>
                  </w:pPr>
                </w:p>
              </w:tc>
              <w:tc>
                <w:tcPr>
                  <w:tcW w:w="2164" w:type="pct"/>
                  <w:tcBorders>
                    <w:tl2br w:val="nil"/>
                    <w:tr2bl w:val="nil"/>
                  </w:tcBorders>
                  <w:noWrap w:val="0"/>
                  <w:vAlign w:val="center"/>
                </w:tcPr>
                <w:p w14:paraId="40362866">
                  <w:pPr>
                    <w:jc w:val="center"/>
                    <w:rPr>
                      <w:color w:val="000000"/>
                      <w:sz w:val="21"/>
                      <w:szCs w:val="21"/>
                      <w:u w:val="none"/>
                    </w:rPr>
                  </w:pPr>
                  <w:r>
                    <w:rPr>
                      <w:rFonts w:hint="eastAsia" w:ascii="Times New Roman" w:hAnsi="Times New Roman" w:eastAsia="宋体" w:cs="Times New Roman"/>
                      <w:bCs/>
                      <w:color w:val="000000"/>
                      <w:sz w:val="21"/>
                      <w:szCs w:val="21"/>
                      <w:u w:val="none"/>
                      <w:lang w:val="en-US" w:eastAsia="zh-CN"/>
                    </w:rPr>
                    <w:t>生活垃圾</w:t>
                  </w:r>
                </w:p>
              </w:tc>
              <w:tc>
                <w:tcPr>
                  <w:tcW w:w="1981" w:type="pct"/>
                  <w:tcBorders>
                    <w:tl2br w:val="nil"/>
                    <w:tr2bl w:val="nil"/>
                  </w:tcBorders>
                  <w:noWrap w:val="0"/>
                  <w:vAlign w:val="center"/>
                </w:tcPr>
                <w:p w14:paraId="2030B1E1">
                  <w:pPr>
                    <w:jc w:val="center"/>
                    <w:rPr>
                      <w:rFonts w:hint="eastAsia"/>
                      <w:color w:val="000000"/>
                      <w:sz w:val="21"/>
                      <w:szCs w:val="21"/>
                      <w:u w:val="none"/>
                    </w:rPr>
                  </w:pPr>
                  <w:r>
                    <w:rPr>
                      <w:rFonts w:hint="eastAsia"/>
                      <w:color w:val="000000"/>
                      <w:sz w:val="21"/>
                      <w:szCs w:val="21"/>
                      <w:u w:val="none"/>
                      <w:lang w:val="en-US" w:eastAsia="zh-CN"/>
                    </w:rPr>
                    <w:t>0</w:t>
                  </w:r>
                </w:p>
              </w:tc>
            </w:tr>
          </w:tbl>
          <w:p w14:paraId="51FB4B77">
            <w:pPr>
              <w:pStyle w:val="6"/>
              <w:spacing w:line="500" w:lineRule="exact"/>
              <w:ind w:left="0" w:leftChars="0" w:firstLine="0" w:firstLineChars="0"/>
              <w:rPr>
                <w:rFonts w:hint="default" w:eastAsia="宋体"/>
                <w:b/>
                <w:bCs/>
                <w:color w:val="auto"/>
                <w:kern w:val="0"/>
                <w:sz w:val="24"/>
                <w:lang w:val="en-US" w:eastAsia="zh-CN"/>
              </w:rPr>
            </w:pPr>
            <w:r>
              <w:rPr>
                <w:rFonts w:hint="eastAsia"/>
                <w:b/>
                <w:bCs/>
                <w:color w:val="auto"/>
                <w:kern w:val="0"/>
                <w:sz w:val="24"/>
                <w:lang w:val="en-US" w:eastAsia="zh-CN"/>
              </w:rPr>
              <w:t>5</w:t>
            </w:r>
            <w:r>
              <w:rPr>
                <w:rFonts w:hint="eastAsia"/>
                <w:b/>
                <w:bCs/>
                <w:color w:val="auto"/>
                <w:kern w:val="0"/>
                <w:sz w:val="24"/>
              </w:rPr>
              <w:t>、现有工程存在的环境问题</w:t>
            </w:r>
            <w:r>
              <w:rPr>
                <w:rFonts w:hint="eastAsia"/>
                <w:b/>
                <w:bCs/>
                <w:color w:val="auto"/>
                <w:kern w:val="0"/>
                <w:sz w:val="24"/>
                <w:lang w:val="en-US" w:eastAsia="zh-CN"/>
              </w:rPr>
              <w:t>及整改要求</w:t>
            </w:r>
          </w:p>
          <w:p w14:paraId="5E881C19">
            <w:pPr>
              <w:pStyle w:val="6"/>
              <w:spacing w:line="500" w:lineRule="exact"/>
              <w:ind w:left="0" w:leftChars="0" w:firstLine="0" w:firstLineChars="0"/>
              <w:rPr>
                <w:rFonts w:hint="eastAsia"/>
                <w:color w:val="auto"/>
                <w:kern w:val="0"/>
                <w:sz w:val="24"/>
              </w:rPr>
            </w:pPr>
            <w:r>
              <w:rPr>
                <w:rFonts w:hint="eastAsia"/>
                <w:b/>
                <w:bCs/>
                <w:color w:val="auto"/>
                <w:kern w:val="0"/>
                <w:sz w:val="24"/>
                <w:lang w:val="en-US" w:eastAsia="zh-CN"/>
              </w:rPr>
              <w:t>5.1现有工程</w:t>
            </w:r>
            <w:r>
              <w:rPr>
                <w:rFonts w:hint="eastAsia"/>
                <w:b/>
                <w:bCs/>
                <w:color w:val="auto"/>
                <w:kern w:val="0"/>
                <w:sz w:val="24"/>
              </w:rPr>
              <w:t>主要环境问题</w:t>
            </w:r>
          </w:p>
          <w:p w14:paraId="39B28FB2">
            <w:pPr>
              <w:pStyle w:val="6"/>
              <w:spacing w:line="500" w:lineRule="exact"/>
              <w:ind w:firstLine="480"/>
              <w:rPr>
                <w:rFonts w:hint="default" w:eastAsia="宋体"/>
                <w:color w:val="auto"/>
                <w:kern w:val="0"/>
                <w:sz w:val="24"/>
                <w:u w:val="none"/>
                <w:lang w:val="en-US" w:eastAsia="zh-CN"/>
              </w:rPr>
            </w:pPr>
            <w:r>
              <w:rPr>
                <w:rFonts w:hint="eastAsia"/>
                <w:color w:val="auto"/>
                <w:kern w:val="0"/>
                <w:sz w:val="24"/>
                <w:u w:val="none"/>
              </w:rPr>
              <w:t>⑴</w:t>
            </w:r>
            <w:r>
              <w:rPr>
                <w:rFonts w:hint="eastAsia"/>
                <w:color w:val="auto"/>
                <w:kern w:val="0"/>
                <w:sz w:val="24"/>
                <w:u w:val="none"/>
                <w:lang w:val="en-US" w:eastAsia="zh-CN"/>
              </w:rPr>
              <w:t>现有工程未申领排污许可证。</w:t>
            </w:r>
          </w:p>
          <w:p w14:paraId="170EAA63">
            <w:pPr>
              <w:pStyle w:val="6"/>
              <w:spacing w:line="500" w:lineRule="exact"/>
              <w:ind w:firstLine="480"/>
              <w:rPr>
                <w:rFonts w:hint="eastAsia"/>
                <w:color w:val="auto"/>
                <w:kern w:val="0"/>
                <w:sz w:val="24"/>
                <w:u w:val="none"/>
                <w:lang w:val="en-US" w:eastAsia="zh-CN"/>
              </w:rPr>
            </w:pPr>
            <w:r>
              <w:rPr>
                <w:rFonts w:hint="eastAsia"/>
                <w:color w:val="auto"/>
                <w:kern w:val="0"/>
                <w:sz w:val="24"/>
                <w:u w:val="none"/>
              </w:rPr>
              <w:t>⑵</w:t>
            </w:r>
            <w:r>
              <w:rPr>
                <w:rFonts w:hint="eastAsia"/>
                <w:color w:val="auto"/>
                <w:kern w:val="0"/>
                <w:sz w:val="24"/>
                <w:u w:val="none"/>
                <w:lang w:val="en-US" w:eastAsia="zh-CN"/>
              </w:rPr>
              <w:t>现有工程建设单位未设固体废物处置台账。</w:t>
            </w:r>
          </w:p>
          <w:p w14:paraId="1EE2D7E7">
            <w:pPr>
              <w:pStyle w:val="6"/>
              <w:spacing w:line="500" w:lineRule="exact"/>
              <w:ind w:left="0" w:leftChars="0" w:firstLine="0" w:firstLineChars="0"/>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5.2、现有工程问题整改</w:t>
            </w:r>
          </w:p>
          <w:p w14:paraId="6A34EF08">
            <w:pPr>
              <w:pStyle w:val="6"/>
              <w:spacing w:line="500" w:lineRule="exact"/>
              <w:ind w:firstLine="480"/>
              <w:rPr>
                <w:rFonts w:hint="default"/>
                <w:color w:val="auto"/>
                <w:kern w:val="0"/>
                <w:sz w:val="24"/>
                <w:u w:val="none"/>
                <w:lang w:val="en-US" w:eastAsia="zh-CN"/>
              </w:rPr>
            </w:pPr>
            <w:r>
              <w:rPr>
                <w:rFonts w:hint="eastAsia"/>
                <w:color w:val="auto"/>
                <w:kern w:val="0"/>
                <w:sz w:val="24"/>
                <w:u w:val="none"/>
                <w:lang w:val="en-US" w:eastAsia="zh-CN"/>
              </w:rPr>
              <w:t>⑴矿石加工属于《固定污染源排污许可分类管理名录（2019年版）》中的“石墨及其他非金属矿物制品制造 309”中的“其他非金属矿物制品制造 3099（除重点管理、简化管理以外的）”，现有工程需进行排污许可登记，建设单位应及时办理项目排污许可登记。</w:t>
            </w:r>
          </w:p>
          <w:p w14:paraId="7A99A4DE">
            <w:pPr>
              <w:pStyle w:val="6"/>
              <w:spacing w:line="500" w:lineRule="exact"/>
              <w:ind w:firstLine="480"/>
              <w:rPr>
                <w:rFonts w:hint="eastAsia"/>
                <w:color w:val="auto"/>
                <w:kern w:val="0"/>
                <w:sz w:val="24"/>
                <w:u w:val="none"/>
                <w:lang w:val="en-US" w:eastAsia="zh-CN"/>
              </w:rPr>
            </w:pPr>
            <w:r>
              <w:rPr>
                <w:rFonts w:hint="eastAsia"/>
                <w:color w:val="auto"/>
                <w:kern w:val="0"/>
                <w:sz w:val="24"/>
                <w:u w:val="none"/>
                <w:lang w:val="en-US" w:eastAsia="zh-CN"/>
              </w:rPr>
              <w:t>⑵做好固体废物处置台账。</w:t>
            </w:r>
          </w:p>
          <w:p w14:paraId="524B38E7">
            <w:pPr>
              <w:pStyle w:val="6"/>
              <w:spacing w:line="500" w:lineRule="exact"/>
              <w:ind w:firstLine="480"/>
              <w:rPr>
                <w:rFonts w:hint="eastAsia"/>
                <w:color w:val="auto"/>
                <w:kern w:val="0"/>
                <w:sz w:val="24"/>
                <w:u w:val="none"/>
                <w:lang w:val="en-US" w:eastAsia="zh-CN"/>
              </w:rPr>
            </w:pPr>
          </w:p>
          <w:p w14:paraId="2F1C7ED3">
            <w:pPr>
              <w:pStyle w:val="6"/>
              <w:spacing w:line="500" w:lineRule="exact"/>
              <w:ind w:firstLine="480"/>
              <w:rPr>
                <w:rFonts w:hint="eastAsia"/>
                <w:color w:val="auto"/>
                <w:kern w:val="0"/>
                <w:sz w:val="24"/>
                <w:u w:val="none"/>
                <w:lang w:val="en-US" w:eastAsia="zh-CN"/>
              </w:rPr>
            </w:pPr>
          </w:p>
          <w:p w14:paraId="4247717B">
            <w:pPr>
              <w:pStyle w:val="6"/>
              <w:spacing w:line="500" w:lineRule="exact"/>
              <w:ind w:firstLine="480"/>
              <w:rPr>
                <w:rFonts w:hint="eastAsia"/>
                <w:color w:val="auto"/>
                <w:kern w:val="0"/>
                <w:sz w:val="24"/>
                <w:u w:val="none"/>
                <w:lang w:val="en-US" w:eastAsia="zh-CN"/>
              </w:rPr>
            </w:pPr>
          </w:p>
          <w:p w14:paraId="4CDBDAFD">
            <w:pPr>
              <w:pStyle w:val="6"/>
              <w:spacing w:line="500" w:lineRule="exact"/>
              <w:ind w:left="0" w:leftChars="0" w:firstLine="0" w:firstLineChars="0"/>
              <w:rPr>
                <w:rFonts w:hint="default" w:eastAsia="宋体"/>
                <w:kern w:val="0"/>
                <w:sz w:val="24"/>
                <w:szCs w:val="20"/>
                <w:lang w:val="en-US" w:eastAsia="zh-CN"/>
              </w:rPr>
            </w:pPr>
          </w:p>
        </w:tc>
      </w:tr>
    </w:tbl>
    <w:p w14:paraId="21FCC932">
      <w:pPr>
        <w:pStyle w:val="17"/>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DDA7CF9">
      <w:pPr>
        <w:pStyle w:val="17"/>
        <w:jc w:val="center"/>
        <w:outlineLvl w:val="0"/>
        <w:rPr>
          <w:rFonts w:hint="eastAsia" w:ascii="黑体" w:hAnsi="黑体" w:eastAsia="黑体"/>
          <w:snapToGrid w:val="0"/>
          <w:sz w:val="30"/>
          <w:szCs w:val="30"/>
        </w:rPr>
      </w:pPr>
      <w:bookmarkStart w:id="15" w:name="_Toc23641"/>
      <w:bookmarkStart w:id="16" w:name="_Toc17641"/>
      <w:r>
        <w:rPr>
          <w:rFonts w:hint="eastAsia" w:ascii="黑体" w:hAnsi="黑体" w:eastAsia="黑体"/>
          <w:snapToGrid w:val="0"/>
          <w:sz w:val="30"/>
          <w:szCs w:val="30"/>
        </w:rPr>
        <w:t>三、区域环境质量现状、环境保护目标及评价标准</w:t>
      </w:r>
      <w:bookmarkEnd w:id="15"/>
      <w:bookmarkEnd w:id="16"/>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5"/>
      </w:tblGrid>
      <w:tr w14:paraId="78FA6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04" w:type="dxa"/>
            <w:noWrap w:val="0"/>
            <w:vAlign w:val="center"/>
          </w:tcPr>
          <w:p w14:paraId="7E66D353">
            <w:pPr>
              <w:adjustRightInd w:val="0"/>
              <w:snapToGrid w:val="0"/>
              <w:jc w:val="center"/>
              <w:rPr>
                <w:kern w:val="0"/>
                <w:szCs w:val="21"/>
              </w:rPr>
            </w:pPr>
            <w:r>
              <w:rPr>
                <w:kern w:val="0"/>
                <w:szCs w:val="21"/>
              </w:rPr>
              <w:t>区域</w:t>
            </w:r>
          </w:p>
          <w:p w14:paraId="42D9AF7C">
            <w:pPr>
              <w:adjustRightInd w:val="0"/>
              <w:snapToGrid w:val="0"/>
              <w:jc w:val="center"/>
              <w:rPr>
                <w:kern w:val="0"/>
                <w:szCs w:val="21"/>
              </w:rPr>
            </w:pPr>
            <w:r>
              <w:rPr>
                <w:kern w:val="0"/>
                <w:szCs w:val="21"/>
              </w:rPr>
              <w:t>环境</w:t>
            </w:r>
          </w:p>
          <w:p w14:paraId="7345A923">
            <w:pPr>
              <w:adjustRightInd w:val="0"/>
              <w:snapToGrid w:val="0"/>
              <w:jc w:val="center"/>
              <w:rPr>
                <w:kern w:val="0"/>
                <w:szCs w:val="21"/>
              </w:rPr>
            </w:pPr>
            <w:r>
              <w:rPr>
                <w:kern w:val="0"/>
                <w:szCs w:val="21"/>
              </w:rPr>
              <w:t>质量</w:t>
            </w:r>
          </w:p>
          <w:p w14:paraId="137837E2">
            <w:pPr>
              <w:adjustRightInd w:val="0"/>
              <w:snapToGrid w:val="0"/>
              <w:jc w:val="center"/>
              <w:rPr>
                <w:kern w:val="0"/>
                <w:szCs w:val="21"/>
              </w:rPr>
            </w:pPr>
            <w:r>
              <w:rPr>
                <w:kern w:val="0"/>
                <w:szCs w:val="21"/>
              </w:rPr>
              <w:t>现状</w:t>
            </w:r>
          </w:p>
        </w:tc>
        <w:tc>
          <w:tcPr>
            <w:tcW w:w="8657" w:type="dxa"/>
            <w:noWrap w:val="0"/>
            <w:vAlign w:val="center"/>
          </w:tcPr>
          <w:p w14:paraId="4DBF1FF5">
            <w:pPr>
              <w:pStyle w:val="6"/>
              <w:spacing w:line="500" w:lineRule="exact"/>
              <w:ind w:firstLine="480"/>
              <w:rPr>
                <w:kern w:val="0"/>
                <w:sz w:val="24"/>
              </w:rPr>
            </w:pPr>
            <w:r>
              <w:rPr>
                <w:kern w:val="0"/>
                <w:sz w:val="24"/>
              </w:rPr>
              <w:t>一、大气环境质量状况</w:t>
            </w:r>
          </w:p>
          <w:p w14:paraId="68EB8741">
            <w:pPr>
              <w:pStyle w:val="6"/>
              <w:spacing w:line="500" w:lineRule="exact"/>
              <w:ind w:firstLine="480"/>
              <w:rPr>
                <w:rFonts w:hint="eastAsia"/>
                <w:kern w:val="0"/>
                <w:sz w:val="24"/>
              </w:rPr>
            </w:pPr>
            <w:r>
              <w:rPr>
                <w:rFonts w:hint="eastAsia"/>
                <w:kern w:val="0"/>
                <w:sz w:val="24"/>
                <w:lang w:val="en-US" w:eastAsia="zh-CN"/>
              </w:rPr>
              <w:t>根据</w:t>
            </w:r>
            <w:r>
              <w:rPr>
                <w:rFonts w:hint="eastAsia" w:ascii="Times New Roman" w:hAnsi="Times New Roman" w:eastAsia="宋体" w:cs="Times New Roman"/>
                <w:color w:val="000000"/>
                <w:kern w:val="0"/>
                <w:sz w:val="24"/>
              </w:rPr>
              <w:t>《广西钦州石化产业园总体发展规划（2020-2035）环境影响评价报告书》</w:t>
            </w:r>
            <w:r>
              <w:rPr>
                <w:rFonts w:hint="eastAsia"/>
                <w:kern w:val="0"/>
                <w:sz w:val="24"/>
                <w:lang w:eastAsia="zh-CN"/>
              </w:rPr>
              <w:t>，</w:t>
            </w:r>
            <w:r>
              <w:rPr>
                <w:rFonts w:hint="eastAsia"/>
                <w:kern w:val="0"/>
                <w:sz w:val="24"/>
              </w:rPr>
              <w:t>项目所在区域，环境空气执行《环境空气质量标准》（GB3095-2012）及其修改单中的二级标准。</w:t>
            </w:r>
          </w:p>
          <w:p w14:paraId="33ADD77F">
            <w:pPr>
              <w:pStyle w:val="6"/>
              <w:spacing w:line="500" w:lineRule="exact"/>
              <w:ind w:firstLine="480"/>
              <w:rPr>
                <w:kern w:val="0"/>
                <w:sz w:val="24"/>
              </w:rPr>
            </w:pPr>
            <w:r>
              <w:rPr>
                <w:kern w:val="0"/>
                <w:sz w:val="24"/>
              </w:rPr>
              <w:t>（1）达标区判定</w:t>
            </w:r>
          </w:p>
          <w:p w14:paraId="329791AE">
            <w:pPr>
              <w:pStyle w:val="6"/>
              <w:spacing w:line="500" w:lineRule="exact"/>
              <w:ind w:firstLine="480"/>
              <w:rPr>
                <w:rFonts w:hint="eastAsia"/>
                <w:color w:val="auto"/>
                <w:kern w:val="0"/>
                <w:sz w:val="24"/>
              </w:rPr>
            </w:pPr>
            <w:r>
              <w:rPr>
                <w:rFonts w:hint="eastAsia"/>
                <w:kern w:val="0"/>
                <w:sz w:val="24"/>
              </w:rPr>
              <w:t>根据广西壮族自治区生态环境厅文件《自治区生态环境厅关于通报2023年设区市及各县（市、区）环境空气质量的函》（桂环函〔2024〕58号），按照《环境空气质量标准》（GB3095-2012）二级标准评价，广西14个</w:t>
            </w:r>
            <w:r>
              <w:rPr>
                <w:rFonts w:hint="eastAsia"/>
                <w:color w:val="auto"/>
                <w:kern w:val="0"/>
                <w:sz w:val="24"/>
              </w:rPr>
              <w:t>设区城市二氧化硫、二氧化氮、可吸入颗粒物（PM</w:t>
            </w:r>
            <w:r>
              <w:rPr>
                <w:rFonts w:hint="eastAsia"/>
                <w:color w:val="auto"/>
                <w:kern w:val="0"/>
                <w:sz w:val="24"/>
                <w:vertAlign w:val="subscript"/>
              </w:rPr>
              <w:t>10</w:t>
            </w:r>
            <w:r>
              <w:rPr>
                <w:rFonts w:hint="eastAsia"/>
                <w:color w:val="auto"/>
                <w:kern w:val="0"/>
                <w:sz w:val="24"/>
              </w:rPr>
              <w:t>）、一氧化碳、臭氧浓度达标；</w:t>
            </w:r>
            <w:r>
              <w:rPr>
                <w:rFonts w:hint="eastAsia"/>
                <w:color w:val="auto"/>
                <w:kern w:val="0"/>
                <w:sz w:val="24"/>
                <w:u w:val="single"/>
                <w:lang w:val="en-US" w:eastAsia="zh-CN"/>
              </w:rPr>
              <w:t>北海、</w:t>
            </w:r>
            <w:r>
              <w:rPr>
                <w:rFonts w:hint="eastAsia"/>
                <w:color w:val="auto"/>
                <w:kern w:val="0"/>
                <w:sz w:val="24"/>
                <w:u w:val="single"/>
              </w:rPr>
              <w:t>防城港、钦州、河池、南宁、崇左</w:t>
            </w:r>
            <w:r>
              <w:rPr>
                <w:rFonts w:hint="eastAsia"/>
                <w:color w:val="auto"/>
                <w:kern w:val="0"/>
                <w:sz w:val="24"/>
                <w:u w:val="single"/>
                <w:lang w:eastAsia="zh-CN"/>
              </w:rPr>
              <w:t>、</w:t>
            </w:r>
            <w:r>
              <w:rPr>
                <w:rFonts w:hint="eastAsia"/>
                <w:color w:val="auto"/>
                <w:kern w:val="0"/>
                <w:sz w:val="24"/>
                <w:u w:val="single"/>
              </w:rPr>
              <w:t>梧州、</w:t>
            </w:r>
            <w:r>
              <w:rPr>
                <w:rFonts w:hint="eastAsia"/>
                <w:color w:val="auto"/>
                <w:kern w:val="0"/>
                <w:sz w:val="24"/>
                <w:u w:val="single"/>
                <w:lang w:val="en-US" w:eastAsia="zh-CN"/>
              </w:rPr>
              <w:t>玉林、柳州、贺州、来宾、桂林、百色</w:t>
            </w:r>
            <w:r>
              <w:rPr>
                <w:rFonts w:hint="eastAsia"/>
                <w:color w:val="auto"/>
                <w:kern w:val="0"/>
                <w:sz w:val="24"/>
                <w:u w:val="single"/>
              </w:rPr>
              <w:t>等</w:t>
            </w:r>
            <w:r>
              <w:rPr>
                <w:rFonts w:hint="eastAsia"/>
                <w:color w:val="auto"/>
                <w:kern w:val="0"/>
                <w:sz w:val="24"/>
                <w:u w:val="single"/>
                <w:lang w:val="en-US" w:eastAsia="zh-CN"/>
              </w:rPr>
              <w:t>13</w:t>
            </w:r>
            <w:r>
              <w:rPr>
                <w:rFonts w:hint="eastAsia"/>
                <w:color w:val="auto"/>
                <w:kern w:val="0"/>
                <w:sz w:val="24"/>
                <w:u w:val="single"/>
              </w:rPr>
              <w:t>市细颗粒物（PM</w:t>
            </w:r>
            <w:r>
              <w:rPr>
                <w:rFonts w:hint="eastAsia"/>
                <w:color w:val="auto"/>
                <w:kern w:val="0"/>
                <w:sz w:val="24"/>
                <w:u w:val="single"/>
                <w:vertAlign w:val="subscript"/>
              </w:rPr>
              <w:t>2.5</w:t>
            </w:r>
            <w:r>
              <w:rPr>
                <w:rFonts w:hint="eastAsia"/>
                <w:color w:val="auto"/>
                <w:kern w:val="0"/>
                <w:sz w:val="24"/>
                <w:u w:val="single"/>
              </w:rPr>
              <w:t>）浓度达标。</w:t>
            </w:r>
          </w:p>
          <w:p w14:paraId="07F5F3CF">
            <w:pPr>
              <w:pStyle w:val="6"/>
              <w:spacing w:line="500" w:lineRule="exact"/>
              <w:ind w:firstLine="480"/>
              <w:rPr>
                <w:kern w:val="0"/>
                <w:sz w:val="24"/>
                <w:u w:val="none"/>
              </w:rPr>
            </w:pPr>
            <w:r>
              <w:rPr>
                <w:rFonts w:hint="eastAsia"/>
                <w:kern w:val="0"/>
                <w:sz w:val="24"/>
                <w:u w:val="none"/>
              </w:rPr>
              <w:t>项目所在区域为钦州市。区域空气质量现状评价</w:t>
            </w:r>
            <w:r>
              <w:rPr>
                <w:kern w:val="0"/>
                <w:sz w:val="24"/>
                <w:u w:val="none"/>
              </w:rPr>
              <w:t>见表3-1。</w:t>
            </w:r>
          </w:p>
          <w:p w14:paraId="66460987">
            <w:pPr>
              <w:pStyle w:val="4"/>
              <w:numPr>
                <w:ilvl w:val="0"/>
                <w:numId w:val="0"/>
              </w:numPr>
              <w:tabs>
                <w:tab w:val="left" w:pos="851"/>
                <w:tab w:val="left" w:pos="1358"/>
                <w:tab w:val="left" w:pos="2153"/>
                <w:tab w:val="left" w:pos="2183"/>
              </w:tabs>
              <w:ind w:left="795" w:leftChars="0"/>
              <w:jc w:val="center"/>
              <w:rPr>
                <w:rFonts w:ascii="Times New Roman" w:hAnsi="Times New Roman" w:eastAsia="宋体"/>
                <w:color w:val="auto"/>
              </w:rPr>
            </w:pPr>
            <w:bookmarkStart w:id="17" w:name="_Toc3493"/>
            <w:r>
              <w:rPr>
                <w:rFonts w:hint="eastAsia" w:ascii="Times New Roman" w:hAnsi="Times New Roman" w:eastAsia="宋体"/>
                <w:color w:val="auto"/>
                <w:lang w:val="en-US" w:eastAsia="zh-CN"/>
              </w:rPr>
              <w:t>表3-1</w:t>
            </w:r>
            <w:r>
              <w:rPr>
                <w:rFonts w:ascii="Times New Roman" w:hAnsi="Times New Roman" w:eastAsia="宋体"/>
                <w:color w:val="auto"/>
              </w:rPr>
              <w:t>区域空气质量现状评价表</w:t>
            </w:r>
            <w:bookmarkEnd w:id="17"/>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2741"/>
              <w:gridCol w:w="1298"/>
              <w:gridCol w:w="1220"/>
              <w:gridCol w:w="1041"/>
              <w:gridCol w:w="1240"/>
            </w:tblGrid>
            <w:tr w14:paraId="6E8B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dxa"/>
                  <w:tcBorders>
                    <w:top w:val="single" w:color="auto" w:sz="4" w:space="0"/>
                    <w:left w:val="single" w:color="auto" w:sz="4" w:space="0"/>
                    <w:bottom w:val="single" w:color="auto" w:sz="4" w:space="0"/>
                    <w:right w:val="single" w:color="auto" w:sz="4" w:space="0"/>
                  </w:tcBorders>
                  <w:noWrap w:val="0"/>
                  <w:vAlign w:val="center"/>
                </w:tcPr>
                <w:p w14:paraId="5CEEA7F4">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污染物</w:t>
                  </w:r>
                </w:p>
              </w:tc>
              <w:tc>
                <w:tcPr>
                  <w:tcW w:w="2772" w:type="dxa"/>
                  <w:tcBorders>
                    <w:top w:val="single" w:color="auto" w:sz="4" w:space="0"/>
                    <w:left w:val="single" w:color="auto" w:sz="4" w:space="0"/>
                    <w:bottom w:val="single" w:color="auto" w:sz="4" w:space="0"/>
                    <w:right w:val="single" w:color="auto" w:sz="4" w:space="0"/>
                  </w:tcBorders>
                  <w:noWrap w:val="0"/>
                  <w:vAlign w:val="center"/>
                </w:tcPr>
                <w:p w14:paraId="5CA50D1B">
                  <w:pPr>
                    <w:spacing w:line="240" w:lineRule="exact"/>
                    <w:jc w:val="center"/>
                    <w:rPr>
                      <w:rFonts w:ascii="Times New Roman" w:hAnsi="Times New Roman" w:eastAsia="宋体" w:cs="Times New Roman"/>
                      <w:szCs w:val="21"/>
                    </w:rPr>
                  </w:pPr>
                  <w:r>
                    <w:rPr>
                      <w:rFonts w:ascii="Times New Roman" w:hAnsi="Times New Roman" w:eastAsia="宋体" w:cs="Times New Roman"/>
                      <w:szCs w:val="21"/>
                      <w:highlight w:val="none"/>
                    </w:rPr>
                    <w:t>年</w:t>
                  </w:r>
                  <w:r>
                    <w:rPr>
                      <w:rFonts w:ascii="Times New Roman" w:hAnsi="Times New Roman" w:eastAsia="宋体" w:cs="Times New Roman"/>
                      <w:szCs w:val="21"/>
                    </w:rPr>
                    <w:t>评价指标</w:t>
                  </w:r>
                </w:p>
              </w:tc>
              <w:tc>
                <w:tcPr>
                  <w:tcW w:w="1302" w:type="dxa"/>
                  <w:tcBorders>
                    <w:top w:val="single" w:color="auto" w:sz="4" w:space="0"/>
                    <w:left w:val="single" w:color="auto" w:sz="4" w:space="0"/>
                    <w:bottom w:val="single" w:color="auto" w:sz="4" w:space="0"/>
                    <w:right w:val="single" w:color="auto" w:sz="4" w:space="0"/>
                  </w:tcBorders>
                  <w:noWrap w:val="0"/>
                  <w:vAlign w:val="center"/>
                </w:tcPr>
                <w:p w14:paraId="29F49002">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现状浓度</w:t>
                  </w:r>
                </w:p>
                <w:p w14:paraId="6F330E0E">
                  <w:pPr>
                    <w:spacing w:line="240" w:lineRule="exact"/>
                    <w:jc w:val="center"/>
                    <w:rPr>
                      <w:rFonts w:ascii="Times New Roman" w:hAnsi="Times New Roman" w:eastAsia="宋体" w:cs="Times New Roman"/>
                      <w:szCs w:val="21"/>
                    </w:rPr>
                  </w:pPr>
                  <w:r>
                    <w:rPr>
                      <w:rFonts w:hint="eastAsia" w:cs="Times New Roman"/>
                      <w:szCs w:val="21"/>
                      <w:lang w:eastAsia="zh-CN"/>
                    </w:rPr>
                    <w:t>(</w:t>
                  </w:r>
                  <w:r>
                    <w:rPr>
                      <w:rFonts w:ascii="Times New Roman" w:hAnsi="Times New Roman" w:eastAsia="宋体" w:cs="Times New Roman"/>
                      <w:szCs w:val="21"/>
                    </w:rPr>
                    <w:t>μg/m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0E763192">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标准值（μg/m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5C32E9C3">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占标率（%）</w:t>
                  </w:r>
                </w:p>
              </w:tc>
              <w:tc>
                <w:tcPr>
                  <w:tcW w:w="1251" w:type="dxa"/>
                  <w:tcBorders>
                    <w:top w:val="single" w:color="auto" w:sz="4" w:space="0"/>
                    <w:left w:val="single" w:color="auto" w:sz="4" w:space="0"/>
                    <w:bottom w:val="single" w:color="auto" w:sz="4" w:space="0"/>
                    <w:right w:val="single" w:color="auto" w:sz="4" w:space="0"/>
                  </w:tcBorders>
                  <w:noWrap w:val="0"/>
                  <w:vAlign w:val="center"/>
                </w:tcPr>
                <w:p w14:paraId="07B45491">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达标情况</w:t>
                  </w:r>
                </w:p>
              </w:tc>
            </w:tr>
            <w:tr w14:paraId="399F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dxa"/>
                  <w:tcBorders>
                    <w:top w:val="single" w:color="auto" w:sz="4" w:space="0"/>
                    <w:left w:val="single" w:color="auto" w:sz="4" w:space="0"/>
                    <w:bottom w:val="single" w:color="auto" w:sz="4" w:space="0"/>
                    <w:right w:val="single" w:color="auto" w:sz="4" w:space="0"/>
                  </w:tcBorders>
                  <w:noWrap w:val="0"/>
                  <w:vAlign w:val="center"/>
                </w:tcPr>
                <w:p w14:paraId="72DC9C3A">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2772" w:type="dxa"/>
                  <w:tcBorders>
                    <w:top w:val="single" w:color="auto" w:sz="4" w:space="0"/>
                    <w:left w:val="single" w:color="auto" w:sz="4" w:space="0"/>
                    <w:bottom w:val="single" w:color="auto" w:sz="4" w:space="0"/>
                    <w:right w:val="single" w:color="auto" w:sz="4" w:space="0"/>
                  </w:tcBorders>
                  <w:noWrap w:val="0"/>
                  <w:vAlign w:val="center"/>
                </w:tcPr>
                <w:p w14:paraId="4284DF06">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年平均质量浓度</w:t>
                  </w:r>
                </w:p>
              </w:tc>
              <w:tc>
                <w:tcPr>
                  <w:tcW w:w="1302" w:type="dxa"/>
                  <w:tcBorders>
                    <w:top w:val="single" w:color="auto" w:sz="4" w:space="0"/>
                    <w:left w:val="single" w:color="auto" w:sz="4" w:space="0"/>
                    <w:bottom w:val="single" w:color="auto" w:sz="4" w:space="0"/>
                    <w:right w:val="single" w:color="auto" w:sz="4" w:space="0"/>
                  </w:tcBorders>
                  <w:noWrap w:val="0"/>
                  <w:vAlign w:val="center"/>
                </w:tcPr>
                <w:p w14:paraId="39E0DBF8">
                  <w:pPr>
                    <w:widowControl/>
                    <w:autoSpaceDE w:val="0"/>
                    <w:autoSpaceDN w:val="0"/>
                    <w:adjustRightInd w:val="0"/>
                    <w:snapToGrid w:val="0"/>
                    <w:spacing w:line="0" w:lineRule="atLeast"/>
                    <w:jc w:val="center"/>
                    <w:rPr>
                      <w:rFonts w:hint="eastAsia" w:ascii="Times New Roman" w:hAnsi="Times New Roman" w:eastAsia="宋体" w:cs="Times New Roman"/>
                      <w:color w:val="000000"/>
                      <w:szCs w:val="21"/>
                      <w:lang w:eastAsia="zh-CN"/>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14:paraId="5826EA7D">
                  <w:pPr>
                    <w:widowControl/>
                    <w:autoSpaceDE w:val="0"/>
                    <w:autoSpaceDN w:val="0"/>
                    <w:adjustRightInd w:val="0"/>
                    <w:snapToGrid w:val="0"/>
                    <w:spacing w:line="0" w:lineRule="atLeast"/>
                    <w:jc w:val="center"/>
                    <w:rPr>
                      <w:rFonts w:ascii="Times New Roman" w:hAnsi="Times New Roman" w:eastAsia="宋体" w:cs="Times New Roman"/>
                      <w:color w:val="000000"/>
                      <w:szCs w:val="21"/>
                    </w:rPr>
                  </w:pPr>
                </w:p>
              </w:tc>
              <w:tc>
                <w:tcPr>
                  <w:tcW w:w="1044" w:type="dxa"/>
                  <w:tcBorders>
                    <w:top w:val="single" w:color="auto" w:sz="4" w:space="0"/>
                    <w:left w:val="single" w:color="auto" w:sz="4" w:space="0"/>
                    <w:bottom w:val="single" w:color="auto" w:sz="4" w:space="0"/>
                    <w:right w:val="single" w:color="auto" w:sz="4" w:space="0"/>
                  </w:tcBorders>
                  <w:noWrap w:val="0"/>
                  <w:vAlign w:val="center"/>
                </w:tcPr>
                <w:p w14:paraId="112EBEB8">
                  <w:pPr>
                    <w:widowControl/>
                    <w:autoSpaceDE w:val="0"/>
                    <w:autoSpaceDN w:val="0"/>
                    <w:adjustRightInd w:val="0"/>
                    <w:snapToGrid w:val="0"/>
                    <w:spacing w:line="0" w:lineRule="atLeast"/>
                    <w:jc w:val="center"/>
                    <w:rPr>
                      <w:rFonts w:hint="default" w:ascii="Times New Roman" w:hAnsi="Times New Roman" w:eastAsia="宋体" w:cs="Times New Roman"/>
                      <w:color w:val="000000"/>
                      <w:szCs w:val="21"/>
                      <w:lang w:val="en-US" w:eastAsia="zh-CN"/>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4D179C97">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69F3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dxa"/>
                  <w:tcBorders>
                    <w:top w:val="single" w:color="auto" w:sz="4" w:space="0"/>
                    <w:left w:val="single" w:color="auto" w:sz="4" w:space="0"/>
                    <w:bottom w:val="single" w:color="auto" w:sz="4" w:space="0"/>
                    <w:right w:val="single" w:color="auto" w:sz="4" w:space="0"/>
                  </w:tcBorders>
                  <w:noWrap w:val="0"/>
                  <w:vAlign w:val="center"/>
                </w:tcPr>
                <w:p w14:paraId="5019F4C3">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2</w:t>
                  </w:r>
                </w:p>
              </w:tc>
              <w:tc>
                <w:tcPr>
                  <w:tcW w:w="2772" w:type="dxa"/>
                  <w:tcBorders>
                    <w:top w:val="single" w:color="auto" w:sz="4" w:space="0"/>
                    <w:left w:val="single" w:color="auto" w:sz="4" w:space="0"/>
                    <w:bottom w:val="single" w:color="auto" w:sz="4" w:space="0"/>
                    <w:right w:val="single" w:color="auto" w:sz="4" w:space="0"/>
                  </w:tcBorders>
                  <w:noWrap w:val="0"/>
                  <w:vAlign w:val="center"/>
                </w:tcPr>
                <w:p w14:paraId="5DB91375">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年平均质量浓度</w:t>
                  </w:r>
                </w:p>
              </w:tc>
              <w:tc>
                <w:tcPr>
                  <w:tcW w:w="1302" w:type="dxa"/>
                  <w:tcBorders>
                    <w:top w:val="single" w:color="auto" w:sz="4" w:space="0"/>
                    <w:left w:val="single" w:color="auto" w:sz="4" w:space="0"/>
                    <w:bottom w:val="single" w:color="auto" w:sz="4" w:space="0"/>
                    <w:right w:val="single" w:color="auto" w:sz="4" w:space="0"/>
                  </w:tcBorders>
                  <w:noWrap w:val="0"/>
                  <w:vAlign w:val="center"/>
                </w:tcPr>
                <w:p w14:paraId="7148ED10">
                  <w:pPr>
                    <w:widowControl/>
                    <w:autoSpaceDE w:val="0"/>
                    <w:autoSpaceDN w:val="0"/>
                    <w:adjustRightInd w:val="0"/>
                    <w:snapToGrid w:val="0"/>
                    <w:spacing w:line="0" w:lineRule="atLeast"/>
                    <w:jc w:val="center"/>
                    <w:rPr>
                      <w:rFonts w:hint="default" w:ascii="Times New Roman" w:hAnsi="Times New Roman" w:eastAsia="宋体" w:cs="Times New Roman"/>
                      <w:color w:val="000000"/>
                      <w:szCs w:val="21"/>
                      <w:lang w:val="en-US" w:eastAsia="zh-CN"/>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14:paraId="6C675130">
                  <w:pPr>
                    <w:widowControl/>
                    <w:autoSpaceDE w:val="0"/>
                    <w:autoSpaceDN w:val="0"/>
                    <w:adjustRightInd w:val="0"/>
                    <w:snapToGrid w:val="0"/>
                    <w:spacing w:line="0" w:lineRule="atLeast"/>
                    <w:jc w:val="center"/>
                    <w:rPr>
                      <w:rFonts w:ascii="Times New Roman" w:hAnsi="Times New Roman" w:eastAsia="宋体" w:cs="Times New Roman"/>
                      <w:color w:val="000000"/>
                      <w:szCs w:val="21"/>
                    </w:rPr>
                  </w:pPr>
                </w:p>
              </w:tc>
              <w:tc>
                <w:tcPr>
                  <w:tcW w:w="1044" w:type="dxa"/>
                  <w:tcBorders>
                    <w:top w:val="single" w:color="auto" w:sz="4" w:space="0"/>
                    <w:left w:val="single" w:color="auto" w:sz="4" w:space="0"/>
                    <w:bottom w:val="single" w:color="auto" w:sz="4" w:space="0"/>
                    <w:right w:val="single" w:color="auto" w:sz="4" w:space="0"/>
                  </w:tcBorders>
                  <w:noWrap w:val="0"/>
                  <w:vAlign w:val="center"/>
                </w:tcPr>
                <w:p w14:paraId="736BF877">
                  <w:pPr>
                    <w:widowControl/>
                    <w:autoSpaceDE w:val="0"/>
                    <w:autoSpaceDN w:val="0"/>
                    <w:adjustRightInd w:val="0"/>
                    <w:snapToGrid w:val="0"/>
                    <w:spacing w:line="0" w:lineRule="atLeast"/>
                    <w:jc w:val="center"/>
                    <w:rPr>
                      <w:rFonts w:hint="default" w:ascii="Times New Roman" w:hAnsi="Times New Roman" w:eastAsia="宋体" w:cs="Times New Roman"/>
                      <w:color w:val="000000"/>
                      <w:szCs w:val="21"/>
                      <w:lang w:val="en-US" w:eastAsia="zh-CN"/>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629153F7">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1783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dxa"/>
                  <w:tcBorders>
                    <w:top w:val="single" w:color="auto" w:sz="4" w:space="0"/>
                    <w:left w:val="single" w:color="auto" w:sz="4" w:space="0"/>
                    <w:bottom w:val="single" w:color="auto" w:sz="4" w:space="0"/>
                    <w:right w:val="single" w:color="auto" w:sz="4" w:space="0"/>
                  </w:tcBorders>
                  <w:noWrap w:val="0"/>
                  <w:vAlign w:val="center"/>
                </w:tcPr>
                <w:p w14:paraId="1E1696C4">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CO</w:t>
                  </w:r>
                </w:p>
              </w:tc>
              <w:tc>
                <w:tcPr>
                  <w:tcW w:w="2772" w:type="dxa"/>
                  <w:tcBorders>
                    <w:top w:val="single" w:color="auto" w:sz="4" w:space="0"/>
                    <w:left w:val="single" w:color="auto" w:sz="4" w:space="0"/>
                    <w:bottom w:val="single" w:color="auto" w:sz="4" w:space="0"/>
                    <w:right w:val="single" w:color="auto" w:sz="4" w:space="0"/>
                  </w:tcBorders>
                  <w:noWrap w:val="0"/>
                  <w:vAlign w:val="center"/>
                </w:tcPr>
                <w:p w14:paraId="089561FB">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24小时平均第95位百分位数</w:t>
                  </w:r>
                </w:p>
              </w:tc>
              <w:tc>
                <w:tcPr>
                  <w:tcW w:w="1302" w:type="dxa"/>
                  <w:tcBorders>
                    <w:top w:val="single" w:color="auto" w:sz="4" w:space="0"/>
                    <w:left w:val="single" w:color="auto" w:sz="4" w:space="0"/>
                    <w:bottom w:val="single" w:color="auto" w:sz="4" w:space="0"/>
                    <w:right w:val="single" w:color="auto" w:sz="4" w:space="0"/>
                  </w:tcBorders>
                  <w:noWrap w:val="0"/>
                  <w:vAlign w:val="center"/>
                </w:tcPr>
                <w:p w14:paraId="1B8E0391">
                  <w:pPr>
                    <w:widowControl/>
                    <w:autoSpaceDE w:val="0"/>
                    <w:autoSpaceDN w:val="0"/>
                    <w:adjustRightInd w:val="0"/>
                    <w:snapToGrid w:val="0"/>
                    <w:spacing w:line="0" w:lineRule="atLeast"/>
                    <w:jc w:val="center"/>
                    <w:rPr>
                      <w:rFonts w:ascii="Times New Roman" w:hAnsi="Times New Roman" w:eastAsia="宋体" w:cs="Times New Roman"/>
                      <w:color w:val="000000"/>
                      <w:szCs w:val="21"/>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14:paraId="7D3DCB95">
                  <w:pPr>
                    <w:widowControl/>
                    <w:autoSpaceDE w:val="0"/>
                    <w:autoSpaceDN w:val="0"/>
                    <w:adjustRightInd w:val="0"/>
                    <w:snapToGrid w:val="0"/>
                    <w:spacing w:line="0" w:lineRule="atLeast"/>
                    <w:jc w:val="center"/>
                    <w:rPr>
                      <w:rFonts w:ascii="Times New Roman" w:hAnsi="Times New Roman" w:eastAsia="宋体" w:cs="Times New Roman"/>
                      <w:color w:val="000000"/>
                      <w:szCs w:val="21"/>
                    </w:rPr>
                  </w:pPr>
                </w:p>
              </w:tc>
              <w:tc>
                <w:tcPr>
                  <w:tcW w:w="1044" w:type="dxa"/>
                  <w:tcBorders>
                    <w:top w:val="single" w:color="auto" w:sz="4" w:space="0"/>
                    <w:left w:val="single" w:color="auto" w:sz="4" w:space="0"/>
                    <w:bottom w:val="single" w:color="auto" w:sz="4" w:space="0"/>
                    <w:right w:val="single" w:color="auto" w:sz="4" w:space="0"/>
                  </w:tcBorders>
                  <w:noWrap w:val="0"/>
                  <w:vAlign w:val="center"/>
                </w:tcPr>
                <w:p w14:paraId="4F48A153">
                  <w:pPr>
                    <w:widowControl/>
                    <w:autoSpaceDE w:val="0"/>
                    <w:autoSpaceDN w:val="0"/>
                    <w:adjustRightInd w:val="0"/>
                    <w:snapToGrid w:val="0"/>
                    <w:spacing w:line="0" w:lineRule="atLeast"/>
                    <w:jc w:val="center"/>
                    <w:rPr>
                      <w:rFonts w:hint="default" w:ascii="Times New Roman" w:hAnsi="Times New Roman" w:eastAsia="宋体" w:cs="Times New Roman"/>
                      <w:color w:val="000000"/>
                      <w:szCs w:val="21"/>
                      <w:lang w:val="en-US" w:eastAsia="zh-CN"/>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39F71286">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483E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dxa"/>
                  <w:tcBorders>
                    <w:top w:val="single" w:color="auto" w:sz="4" w:space="0"/>
                    <w:left w:val="single" w:color="auto" w:sz="4" w:space="0"/>
                    <w:bottom w:val="single" w:color="auto" w:sz="4" w:space="0"/>
                    <w:right w:val="single" w:color="auto" w:sz="4" w:space="0"/>
                  </w:tcBorders>
                  <w:noWrap w:val="0"/>
                  <w:vAlign w:val="center"/>
                </w:tcPr>
                <w:p w14:paraId="70BF9026">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O</w:t>
                  </w:r>
                  <w:r>
                    <w:rPr>
                      <w:rFonts w:ascii="Times New Roman" w:hAnsi="Times New Roman" w:eastAsia="宋体" w:cs="Times New Roman"/>
                      <w:szCs w:val="21"/>
                      <w:vertAlign w:val="subscript"/>
                    </w:rPr>
                    <w:t>3</w:t>
                  </w:r>
                </w:p>
              </w:tc>
              <w:tc>
                <w:tcPr>
                  <w:tcW w:w="2772" w:type="dxa"/>
                  <w:tcBorders>
                    <w:top w:val="single" w:color="auto" w:sz="4" w:space="0"/>
                    <w:left w:val="single" w:color="auto" w:sz="4" w:space="0"/>
                    <w:bottom w:val="single" w:color="auto" w:sz="4" w:space="0"/>
                    <w:right w:val="single" w:color="auto" w:sz="4" w:space="0"/>
                  </w:tcBorders>
                  <w:noWrap w:val="0"/>
                  <w:vAlign w:val="center"/>
                </w:tcPr>
                <w:p w14:paraId="1D2EE462">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日最大8小时滑动平均值的第90百分位数</w:t>
                  </w:r>
                </w:p>
              </w:tc>
              <w:tc>
                <w:tcPr>
                  <w:tcW w:w="1302" w:type="dxa"/>
                  <w:tcBorders>
                    <w:top w:val="single" w:color="auto" w:sz="4" w:space="0"/>
                    <w:left w:val="single" w:color="auto" w:sz="4" w:space="0"/>
                    <w:bottom w:val="single" w:color="auto" w:sz="4" w:space="0"/>
                    <w:right w:val="single" w:color="auto" w:sz="4" w:space="0"/>
                  </w:tcBorders>
                  <w:noWrap w:val="0"/>
                  <w:vAlign w:val="center"/>
                </w:tcPr>
                <w:p w14:paraId="74FC9428">
                  <w:pPr>
                    <w:widowControl/>
                    <w:autoSpaceDE w:val="0"/>
                    <w:autoSpaceDN w:val="0"/>
                    <w:adjustRightInd w:val="0"/>
                    <w:snapToGrid w:val="0"/>
                    <w:spacing w:line="0" w:lineRule="atLeast"/>
                    <w:jc w:val="center"/>
                    <w:rPr>
                      <w:rFonts w:hint="default" w:ascii="Times New Roman" w:hAnsi="Times New Roman" w:eastAsia="宋体" w:cs="Times New Roman"/>
                      <w:color w:val="000000"/>
                      <w:szCs w:val="21"/>
                      <w:lang w:val="en-US" w:eastAsia="zh-CN"/>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14:paraId="72D0A9D7">
                  <w:pPr>
                    <w:widowControl/>
                    <w:autoSpaceDE w:val="0"/>
                    <w:autoSpaceDN w:val="0"/>
                    <w:adjustRightInd w:val="0"/>
                    <w:snapToGrid w:val="0"/>
                    <w:spacing w:line="0" w:lineRule="atLeast"/>
                    <w:jc w:val="center"/>
                    <w:rPr>
                      <w:rFonts w:ascii="Times New Roman" w:hAnsi="Times New Roman" w:eastAsia="宋体" w:cs="Times New Roman"/>
                      <w:color w:val="000000"/>
                      <w:szCs w:val="21"/>
                    </w:rPr>
                  </w:pPr>
                </w:p>
              </w:tc>
              <w:tc>
                <w:tcPr>
                  <w:tcW w:w="1044" w:type="dxa"/>
                  <w:tcBorders>
                    <w:top w:val="single" w:color="auto" w:sz="4" w:space="0"/>
                    <w:left w:val="single" w:color="auto" w:sz="4" w:space="0"/>
                    <w:bottom w:val="single" w:color="auto" w:sz="4" w:space="0"/>
                    <w:right w:val="single" w:color="auto" w:sz="4" w:space="0"/>
                  </w:tcBorders>
                  <w:noWrap w:val="0"/>
                  <w:vAlign w:val="center"/>
                </w:tcPr>
                <w:p w14:paraId="5F1D18B5">
                  <w:pPr>
                    <w:widowControl/>
                    <w:autoSpaceDE w:val="0"/>
                    <w:autoSpaceDN w:val="0"/>
                    <w:adjustRightInd w:val="0"/>
                    <w:snapToGrid w:val="0"/>
                    <w:spacing w:line="0" w:lineRule="atLeast"/>
                    <w:jc w:val="center"/>
                    <w:rPr>
                      <w:rFonts w:hint="default" w:ascii="Times New Roman" w:hAnsi="Times New Roman" w:eastAsia="宋体" w:cs="Times New Roman"/>
                      <w:color w:val="000000"/>
                      <w:szCs w:val="21"/>
                      <w:lang w:val="en-US" w:eastAsia="zh-CN"/>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2D747DC3">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5602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dxa"/>
                  <w:tcBorders>
                    <w:top w:val="single" w:color="auto" w:sz="4" w:space="0"/>
                    <w:left w:val="single" w:color="auto" w:sz="4" w:space="0"/>
                    <w:bottom w:val="single" w:color="auto" w:sz="4" w:space="0"/>
                    <w:right w:val="single" w:color="auto" w:sz="4" w:space="0"/>
                  </w:tcBorders>
                  <w:noWrap w:val="0"/>
                  <w:vAlign w:val="center"/>
                </w:tcPr>
                <w:p w14:paraId="19149B2B">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10</w:t>
                  </w:r>
                </w:p>
              </w:tc>
              <w:tc>
                <w:tcPr>
                  <w:tcW w:w="2772" w:type="dxa"/>
                  <w:tcBorders>
                    <w:top w:val="single" w:color="auto" w:sz="4" w:space="0"/>
                    <w:left w:val="single" w:color="auto" w:sz="4" w:space="0"/>
                    <w:bottom w:val="single" w:color="auto" w:sz="4" w:space="0"/>
                    <w:right w:val="single" w:color="auto" w:sz="4" w:space="0"/>
                  </w:tcBorders>
                  <w:noWrap w:val="0"/>
                  <w:vAlign w:val="center"/>
                </w:tcPr>
                <w:p w14:paraId="00F67E3C">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年平均质量浓度</w:t>
                  </w:r>
                </w:p>
              </w:tc>
              <w:tc>
                <w:tcPr>
                  <w:tcW w:w="1302" w:type="dxa"/>
                  <w:tcBorders>
                    <w:top w:val="single" w:color="auto" w:sz="4" w:space="0"/>
                    <w:left w:val="single" w:color="auto" w:sz="4" w:space="0"/>
                    <w:bottom w:val="single" w:color="auto" w:sz="4" w:space="0"/>
                    <w:right w:val="single" w:color="auto" w:sz="4" w:space="0"/>
                  </w:tcBorders>
                  <w:noWrap w:val="0"/>
                  <w:vAlign w:val="center"/>
                </w:tcPr>
                <w:p w14:paraId="050C791C">
                  <w:pPr>
                    <w:widowControl/>
                    <w:autoSpaceDE w:val="0"/>
                    <w:autoSpaceDN w:val="0"/>
                    <w:adjustRightInd w:val="0"/>
                    <w:snapToGrid w:val="0"/>
                    <w:spacing w:line="0" w:lineRule="atLeast"/>
                    <w:jc w:val="center"/>
                    <w:rPr>
                      <w:rFonts w:hint="default" w:ascii="Times New Roman" w:hAnsi="Times New Roman" w:eastAsia="宋体" w:cs="Times New Roman"/>
                      <w:color w:val="000000"/>
                      <w:szCs w:val="21"/>
                      <w:lang w:val="en-US" w:eastAsia="zh-CN"/>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14:paraId="650031DF">
                  <w:pPr>
                    <w:widowControl/>
                    <w:autoSpaceDE w:val="0"/>
                    <w:autoSpaceDN w:val="0"/>
                    <w:adjustRightInd w:val="0"/>
                    <w:snapToGrid w:val="0"/>
                    <w:spacing w:line="0" w:lineRule="atLeast"/>
                    <w:jc w:val="center"/>
                    <w:rPr>
                      <w:rFonts w:ascii="Times New Roman" w:hAnsi="Times New Roman" w:eastAsia="宋体" w:cs="Times New Roman"/>
                      <w:color w:val="000000"/>
                      <w:szCs w:val="21"/>
                    </w:rPr>
                  </w:pPr>
                </w:p>
              </w:tc>
              <w:tc>
                <w:tcPr>
                  <w:tcW w:w="1044" w:type="dxa"/>
                  <w:tcBorders>
                    <w:top w:val="single" w:color="auto" w:sz="4" w:space="0"/>
                    <w:left w:val="single" w:color="auto" w:sz="4" w:space="0"/>
                    <w:bottom w:val="single" w:color="auto" w:sz="4" w:space="0"/>
                    <w:right w:val="single" w:color="auto" w:sz="4" w:space="0"/>
                  </w:tcBorders>
                  <w:noWrap w:val="0"/>
                  <w:vAlign w:val="center"/>
                </w:tcPr>
                <w:p w14:paraId="73211B40">
                  <w:pPr>
                    <w:widowControl/>
                    <w:autoSpaceDE w:val="0"/>
                    <w:autoSpaceDN w:val="0"/>
                    <w:adjustRightInd w:val="0"/>
                    <w:snapToGrid w:val="0"/>
                    <w:spacing w:line="0" w:lineRule="atLeast"/>
                    <w:jc w:val="center"/>
                    <w:rPr>
                      <w:rFonts w:hint="default" w:ascii="Times New Roman" w:hAnsi="Times New Roman" w:eastAsia="宋体" w:cs="Times New Roman"/>
                      <w:color w:val="000000"/>
                      <w:szCs w:val="21"/>
                      <w:lang w:val="en-US" w:eastAsia="zh-CN"/>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0B84D860">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14:paraId="64D6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dxa"/>
                  <w:tcBorders>
                    <w:top w:val="single" w:color="auto" w:sz="4" w:space="0"/>
                    <w:left w:val="single" w:color="auto" w:sz="4" w:space="0"/>
                    <w:bottom w:val="single" w:color="auto" w:sz="4" w:space="0"/>
                    <w:right w:val="single" w:color="auto" w:sz="4" w:space="0"/>
                  </w:tcBorders>
                  <w:noWrap w:val="0"/>
                  <w:vAlign w:val="center"/>
                </w:tcPr>
                <w:p w14:paraId="3222BFD4">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2.5</w:t>
                  </w:r>
                </w:p>
              </w:tc>
              <w:tc>
                <w:tcPr>
                  <w:tcW w:w="2772" w:type="dxa"/>
                  <w:tcBorders>
                    <w:top w:val="single" w:color="auto" w:sz="4" w:space="0"/>
                    <w:left w:val="single" w:color="auto" w:sz="4" w:space="0"/>
                    <w:bottom w:val="single" w:color="auto" w:sz="4" w:space="0"/>
                    <w:right w:val="single" w:color="auto" w:sz="4" w:space="0"/>
                  </w:tcBorders>
                  <w:noWrap w:val="0"/>
                  <w:vAlign w:val="center"/>
                </w:tcPr>
                <w:p w14:paraId="45D175A5">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年平均质量浓度</w:t>
                  </w:r>
                </w:p>
              </w:tc>
              <w:tc>
                <w:tcPr>
                  <w:tcW w:w="1302" w:type="dxa"/>
                  <w:tcBorders>
                    <w:top w:val="single" w:color="auto" w:sz="4" w:space="0"/>
                    <w:left w:val="single" w:color="auto" w:sz="4" w:space="0"/>
                    <w:bottom w:val="single" w:color="auto" w:sz="4" w:space="0"/>
                    <w:right w:val="single" w:color="auto" w:sz="4" w:space="0"/>
                  </w:tcBorders>
                  <w:noWrap w:val="0"/>
                  <w:vAlign w:val="center"/>
                </w:tcPr>
                <w:p w14:paraId="5D991746">
                  <w:pPr>
                    <w:widowControl/>
                    <w:autoSpaceDE w:val="0"/>
                    <w:autoSpaceDN w:val="0"/>
                    <w:adjustRightInd w:val="0"/>
                    <w:snapToGrid w:val="0"/>
                    <w:spacing w:line="0" w:lineRule="atLeast"/>
                    <w:jc w:val="center"/>
                    <w:rPr>
                      <w:rFonts w:hint="default" w:ascii="Times New Roman" w:hAnsi="Times New Roman" w:eastAsia="宋体" w:cs="Times New Roman"/>
                      <w:color w:val="000000"/>
                      <w:szCs w:val="21"/>
                      <w:lang w:val="en-US" w:eastAsia="zh-CN"/>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14:paraId="423EA690">
                  <w:pPr>
                    <w:widowControl/>
                    <w:autoSpaceDE w:val="0"/>
                    <w:autoSpaceDN w:val="0"/>
                    <w:adjustRightInd w:val="0"/>
                    <w:snapToGrid w:val="0"/>
                    <w:spacing w:line="0" w:lineRule="atLeast"/>
                    <w:jc w:val="center"/>
                    <w:rPr>
                      <w:rFonts w:ascii="Times New Roman" w:hAnsi="Times New Roman" w:eastAsia="宋体" w:cs="Times New Roman"/>
                      <w:color w:val="000000"/>
                      <w:szCs w:val="21"/>
                    </w:rPr>
                  </w:pPr>
                </w:p>
              </w:tc>
              <w:tc>
                <w:tcPr>
                  <w:tcW w:w="1044" w:type="dxa"/>
                  <w:tcBorders>
                    <w:top w:val="single" w:color="auto" w:sz="4" w:space="0"/>
                    <w:left w:val="single" w:color="auto" w:sz="4" w:space="0"/>
                    <w:bottom w:val="single" w:color="auto" w:sz="4" w:space="0"/>
                    <w:right w:val="single" w:color="auto" w:sz="4" w:space="0"/>
                  </w:tcBorders>
                  <w:noWrap w:val="0"/>
                  <w:vAlign w:val="center"/>
                </w:tcPr>
                <w:p w14:paraId="5D3D8B1C">
                  <w:pPr>
                    <w:widowControl/>
                    <w:autoSpaceDE w:val="0"/>
                    <w:autoSpaceDN w:val="0"/>
                    <w:adjustRightInd w:val="0"/>
                    <w:snapToGrid w:val="0"/>
                    <w:spacing w:line="0" w:lineRule="atLeast"/>
                    <w:jc w:val="center"/>
                    <w:rPr>
                      <w:rFonts w:hint="default" w:ascii="Times New Roman" w:hAnsi="Times New Roman" w:eastAsia="宋体" w:cs="Times New Roman"/>
                      <w:color w:val="000000"/>
                      <w:szCs w:val="21"/>
                      <w:lang w:val="en-US" w:eastAsia="zh-CN"/>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75A2FA91">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bl>
          <w:p w14:paraId="42B9F31B">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综上，项目区域空气质量现状评价指标均可达到《环境空气质量标准》（GB3095-2012）二级标准的要求，因此项目所在区域环境空气属于达标区。</w:t>
            </w:r>
          </w:p>
          <w:p w14:paraId="6B74A10F">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（2）特征污染物补充监测</w:t>
            </w:r>
          </w:p>
          <w:p w14:paraId="50F4C052">
            <w:pPr>
              <w:pStyle w:val="6"/>
              <w:spacing w:line="500" w:lineRule="exact"/>
              <w:ind w:firstLine="48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为了了解项目区域</w:t>
            </w:r>
            <w:r>
              <w:rPr>
                <w:rFonts w:hint="eastAsia" w:ascii="Times New Roman" w:hAnsi="Times New Roman" w:eastAsia="宋体" w:cs="Times New Roman"/>
                <w:color w:val="auto"/>
                <w:kern w:val="0"/>
                <w:sz w:val="24"/>
                <w:lang w:val="en-US" w:eastAsia="zh-CN"/>
              </w:rPr>
              <w:t>TSP</w:t>
            </w:r>
            <w:r>
              <w:rPr>
                <w:rFonts w:hint="eastAsia" w:ascii="Times New Roman" w:hAnsi="Times New Roman" w:eastAsia="宋体" w:cs="Times New Roman"/>
                <w:color w:val="auto"/>
                <w:kern w:val="0"/>
                <w:sz w:val="24"/>
              </w:rPr>
              <w:t>的环境质量现状，本次评价</w:t>
            </w:r>
            <w:r>
              <w:rPr>
                <w:rFonts w:hint="eastAsia" w:ascii="Times New Roman" w:hAnsi="Times New Roman" w:eastAsia="宋体" w:cs="Times New Roman"/>
                <w:color w:val="auto"/>
                <w:kern w:val="0"/>
                <w:sz w:val="24"/>
                <w:lang w:val="en-US" w:eastAsia="zh-CN"/>
              </w:rPr>
              <w:t>引用广西恒沁检测科技有限公司于2024年2月20日</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2月26日在项目西南侧约2.6km处的1个监测点位，</w:t>
            </w:r>
            <w:r>
              <w:rPr>
                <w:rFonts w:hint="eastAsia" w:cs="Times New Roman"/>
                <w:color w:val="auto"/>
                <w:kern w:val="0"/>
                <w:sz w:val="24"/>
                <w:lang w:val="en-US" w:eastAsia="zh-CN"/>
              </w:rPr>
              <w:t>检测</w:t>
            </w:r>
            <w:r>
              <w:rPr>
                <w:rFonts w:hint="eastAsia" w:ascii="Times New Roman" w:hAnsi="Times New Roman" w:eastAsia="宋体" w:cs="Times New Roman"/>
                <w:color w:val="auto"/>
                <w:kern w:val="0"/>
                <w:sz w:val="24"/>
                <w:lang w:val="en-US" w:eastAsia="zh-CN"/>
              </w:rPr>
              <w:t>报告编号：HQHJ24021937</w:t>
            </w:r>
            <w:r>
              <w:rPr>
                <w:rFonts w:hint="eastAsia" w:ascii="Times New Roman" w:hAnsi="Times New Roman" w:eastAsia="宋体" w:cs="Times New Roman"/>
                <w:color w:val="auto"/>
                <w:kern w:val="0"/>
                <w:sz w:val="24"/>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项目</w:t>
            </w:r>
            <w:r>
              <w:rPr>
                <w:rFonts w:hint="eastAsia" w:ascii="Times New Roman" w:hAnsi="Times New Roman" w:eastAsia="宋体" w:cs="Times New Roman"/>
                <w:color w:val="auto"/>
                <w:kern w:val="0"/>
                <w:sz w:val="24"/>
                <w:lang w:val="en-US" w:eastAsia="zh-CN"/>
              </w:rPr>
              <w:t>引用</w:t>
            </w:r>
            <w:r>
              <w:rPr>
                <w:rFonts w:hint="eastAsia" w:ascii="Times New Roman" w:hAnsi="Times New Roman" w:eastAsia="宋体" w:cs="Times New Roman"/>
                <w:color w:val="auto"/>
                <w:kern w:val="0"/>
                <w:sz w:val="24"/>
              </w:rPr>
              <w:t>的监测点位、监测天数满足技术指南要求。</w:t>
            </w:r>
          </w:p>
          <w:p w14:paraId="14F11568">
            <w:pPr>
              <w:adjustRightInd w:val="0"/>
              <w:snapToGrid w:val="0"/>
              <w:spacing w:line="500" w:lineRule="exact"/>
              <w:ind w:firstLine="480" w:firstLineChars="200"/>
              <w:jc w:val="left"/>
              <w:rPr>
                <w:rFonts w:hint="eastAsia" w:ascii="Times New Roman" w:hAnsi="Times New Roman" w:eastAsia="宋体" w:cs="Times New Roman"/>
                <w:kern w:val="0"/>
                <w:sz w:val="24"/>
                <w:u w:val="none"/>
              </w:rPr>
            </w:pPr>
            <w:r>
              <w:rPr>
                <w:rFonts w:hint="eastAsia" w:ascii="Times New Roman" w:hAnsi="Times New Roman" w:eastAsia="宋体" w:cs="Times New Roman"/>
                <w:kern w:val="0"/>
                <w:sz w:val="24"/>
                <w:u w:val="none"/>
              </w:rPr>
              <w:t>①监测点位布设</w:t>
            </w:r>
          </w:p>
          <w:p w14:paraId="3DFB047A">
            <w:pPr>
              <w:adjustRightInd w:val="0"/>
              <w:snapToGrid w:val="0"/>
              <w:spacing w:line="500" w:lineRule="exact"/>
              <w:ind w:firstLine="480" w:firstLineChars="200"/>
              <w:jc w:val="left"/>
              <w:rPr>
                <w:rFonts w:hint="default" w:ascii="Times New Roman" w:hAnsi="Times New Roman" w:eastAsia="宋体" w:cs="Times New Roman"/>
                <w:kern w:val="0"/>
                <w:sz w:val="24"/>
                <w:u w:val="none"/>
                <w:lang w:val="en-US" w:eastAsia="zh-CN"/>
              </w:rPr>
            </w:pPr>
            <w:r>
              <w:rPr>
                <w:rFonts w:hint="eastAsia" w:ascii="Times New Roman" w:hAnsi="Times New Roman" w:eastAsia="宋体" w:cs="Times New Roman"/>
                <w:kern w:val="0"/>
                <w:sz w:val="24"/>
                <w:u w:val="none"/>
                <w:lang w:val="en-US" w:eastAsia="zh-CN"/>
              </w:rPr>
              <w:t>引用</w:t>
            </w:r>
            <w:r>
              <w:rPr>
                <w:rFonts w:hint="eastAsia" w:ascii="Times New Roman" w:hAnsi="Times New Roman" w:eastAsia="宋体" w:cs="Times New Roman"/>
                <w:kern w:val="0"/>
                <w:sz w:val="24"/>
                <w:u w:val="none"/>
                <w:lang w:eastAsia="zh-CN"/>
              </w:rPr>
              <w:t>一个监测点位</w:t>
            </w:r>
            <w:r>
              <w:rPr>
                <w:rFonts w:hint="eastAsia" w:ascii="Times New Roman" w:hAnsi="Times New Roman" w:eastAsia="宋体" w:cs="Times New Roman"/>
                <w:color w:val="auto"/>
                <w:kern w:val="0"/>
                <w:sz w:val="24"/>
                <w:u w:val="none"/>
                <w:lang w:val="en-US" w:eastAsia="zh-CN"/>
              </w:rPr>
              <w:t>A1</w:t>
            </w:r>
            <w:r>
              <w:rPr>
                <w:rFonts w:hint="eastAsia" w:ascii="Times New Roman" w:hAnsi="Times New Roman" w:eastAsia="宋体" w:cs="Times New Roman"/>
                <w:color w:val="auto"/>
                <w:kern w:val="0"/>
                <w:sz w:val="24"/>
                <w:u w:val="none"/>
                <w:lang w:eastAsia="zh-CN"/>
              </w:rPr>
              <w:t>，位于项目</w:t>
            </w:r>
            <w:r>
              <w:rPr>
                <w:rFonts w:hint="eastAsia" w:ascii="Times New Roman" w:hAnsi="Times New Roman" w:eastAsia="宋体" w:cs="Times New Roman"/>
                <w:color w:val="auto"/>
                <w:kern w:val="0"/>
                <w:sz w:val="24"/>
                <w:u w:val="none"/>
                <w:lang w:val="en-US" w:eastAsia="zh-CN"/>
              </w:rPr>
              <w:t>西南面约2.6km。</w:t>
            </w:r>
          </w:p>
          <w:p w14:paraId="48CF490B">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监测点位及监测</w:t>
            </w:r>
            <w:r>
              <w:rPr>
                <w:rFonts w:hint="eastAsia" w:ascii="Times New Roman" w:hAnsi="Times New Roman" w:eastAsia="宋体" w:cs="Times New Roman"/>
                <w:kern w:val="0"/>
                <w:sz w:val="24"/>
                <w:lang w:val="en-US" w:eastAsia="zh-CN"/>
              </w:rPr>
              <w:t>项目</w:t>
            </w:r>
            <w:r>
              <w:rPr>
                <w:rFonts w:hint="eastAsia" w:ascii="Times New Roman" w:hAnsi="Times New Roman" w:eastAsia="宋体" w:cs="Times New Roman"/>
                <w:kern w:val="0"/>
                <w:sz w:val="24"/>
              </w:rPr>
              <w:t>见表3-2。</w:t>
            </w:r>
          </w:p>
          <w:p w14:paraId="722B402E">
            <w:pPr>
              <w:pStyle w:val="6"/>
              <w:spacing w:line="500" w:lineRule="exact"/>
              <w:ind w:firstLine="482"/>
              <w:jc w:val="center"/>
              <w:rPr>
                <w:rFonts w:hint="eastAsia" w:ascii="Times New Roman" w:hAnsi="Times New Roman" w:eastAsia="宋体" w:cs="Times New Roman"/>
                <w:b/>
                <w:bCs/>
                <w:color w:val="auto"/>
                <w:kern w:val="0"/>
                <w:sz w:val="24"/>
                <w:lang w:val="en-GB" w:eastAsia="zh-CN"/>
              </w:rPr>
            </w:pPr>
            <w:r>
              <w:rPr>
                <w:rFonts w:hint="eastAsia" w:ascii="Times New Roman" w:hAnsi="Times New Roman" w:eastAsia="宋体" w:cs="Times New Roman"/>
                <w:b/>
                <w:bCs/>
                <w:color w:val="auto"/>
                <w:kern w:val="0"/>
                <w:sz w:val="24"/>
                <w:lang w:val="en-GB" w:eastAsia="zh-CN"/>
              </w:rPr>
              <w:t>表3-2  监测</w:t>
            </w:r>
            <w:r>
              <w:rPr>
                <w:rFonts w:hint="eastAsia" w:ascii="Times New Roman" w:hAnsi="Times New Roman" w:eastAsia="宋体" w:cs="Times New Roman"/>
                <w:b/>
                <w:bCs/>
                <w:color w:val="auto"/>
                <w:kern w:val="0"/>
                <w:sz w:val="24"/>
                <w:lang w:val="en-US" w:eastAsia="zh-CN"/>
              </w:rPr>
              <w:t>点位及监测项目</w:t>
            </w:r>
            <w:r>
              <w:rPr>
                <w:rFonts w:hint="eastAsia" w:ascii="Times New Roman" w:hAnsi="Times New Roman" w:eastAsia="宋体" w:cs="Times New Roman"/>
                <w:b/>
                <w:bCs/>
                <w:color w:val="auto"/>
                <w:kern w:val="0"/>
                <w:sz w:val="24"/>
                <w:lang w:val="en-GB" w:eastAsia="zh-CN"/>
              </w:rPr>
              <w:t>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2619"/>
              <w:gridCol w:w="2135"/>
              <w:gridCol w:w="2371"/>
            </w:tblGrid>
            <w:tr w14:paraId="2F7D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noWrap w:val="0"/>
                  <w:vAlign w:val="center"/>
                </w:tcPr>
                <w:p w14:paraId="022024E8">
                  <w:pPr>
                    <w:keepNext/>
                    <w:keepLines/>
                    <w:tabs>
                      <w:tab w:val="left" w:pos="1358"/>
                      <w:tab w:val="left" w:pos="2153"/>
                      <w:tab w:val="left" w:pos="4008"/>
                    </w:tabs>
                    <w:jc w:val="center"/>
                    <w:rPr>
                      <w:bCs/>
                      <w:szCs w:val="21"/>
                    </w:rPr>
                  </w:pPr>
                  <w:r>
                    <w:rPr>
                      <w:bCs/>
                      <w:szCs w:val="21"/>
                    </w:rPr>
                    <w:t>监测点位</w:t>
                  </w:r>
                </w:p>
              </w:tc>
              <w:tc>
                <w:tcPr>
                  <w:tcW w:w="2619" w:type="dxa"/>
                  <w:noWrap w:val="0"/>
                  <w:vAlign w:val="center"/>
                </w:tcPr>
                <w:p w14:paraId="2C247601">
                  <w:pPr>
                    <w:keepNext/>
                    <w:keepLines/>
                    <w:tabs>
                      <w:tab w:val="left" w:pos="1358"/>
                      <w:tab w:val="left" w:pos="2153"/>
                      <w:tab w:val="left" w:pos="4008"/>
                    </w:tabs>
                    <w:jc w:val="center"/>
                    <w:rPr>
                      <w:rFonts w:hint="eastAsia" w:eastAsia="宋体"/>
                      <w:bCs/>
                      <w:szCs w:val="21"/>
                      <w:lang w:val="en-US" w:eastAsia="zh-CN"/>
                    </w:rPr>
                  </w:pPr>
                  <w:r>
                    <w:rPr>
                      <w:rFonts w:hint="eastAsia"/>
                      <w:bCs/>
                      <w:szCs w:val="21"/>
                      <w:lang w:val="en-US" w:eastAsia="zh-CN"/>
                    </w:rPr>
                    <w:t>坐标</w:t>
                  </w:r>
                </w:p>
              </w:tc>
              <w:tc>
                <w:tcPr>
                  <w:tcW w:w="2135" w:type="dxa"/>
                  <w:noWrap w:val="0"/>
                  <w:vAlign w:val="center"/>
                </w:tcPr>
                <w:p w14:paraId="29EB8727">
                  <w:pPr>
                    <w:keepNext/>
                    <w:keepLines/>
                    <w:tabs>
                      <w:tab w:val="left" w:pos="1358"/>
                      <w:tab w:val="left" w:pos="2153"/>
                      <w:tab w:val="left" w:pos="4008"/>
                    </w:tabs>
                    <w:jc w:val="center"/>
                    <w:rPr>
                      <w:rFonts w:hint="eastAsia"/>
                      <w:bCs/>
                      <w:szCs w:val="21"/>
                    </w:rPr>
                  </w:pPr>
                  <w:r>
                    <w:rPr>
                      <w:rFonts w:hint="eastAsia"/>
                      <w:bCs/>
                      <w:szCs w:val="21"/>
                    </w:rPr>
                    <w:t>监测项目</w:t>
                  </w:r>
                </w:p>
              </w:tc>
              <w:tc>
                <w:tcPr>
                  <w:tcW w:w="2371" w:type="dxa"/>
                  <w:noWrap w:val="0"/>
                  <w:vAlign w:val="center"/>
                </w:tcPr>
                <w:p w14:paraId="441EE434">
                  <w:pPr>
                    <w:keepNext/>
                    <w:keepLines/>
                    <w:tabs>
                      <w:tab w:val="left" w:pos="1358"/>
                      <w:tab w:val="left" w:pos="2153"/>
                      <w:tab w:val="left" w:pos="4008"/>
                    </w:tabs>
                    <w:jc w:val="center"/>
                    <w:rPr>
                      <w:rFonts w:hint="eastAsia" w:eastAsia="宋体"/>
                      <w:bCs/>
                      <w:szCs w:val="21"/>
                      <w:lang w:val="en-US" w:eastAsia="zh-CN"/>
                    </w:rPr>
                  </w:pPr>
                  <w:r>
                    <w:rPr>
                      <w:rFonts w:hint="eastAsia"/>
                      <w:bCs/>
                      <w:szCs w:val="21"/>
                      <w:lang w:val="en-US" w:eastAsia="zh-CN"/>
                    </w:rPr>
                    <w:t>备注</w:t>
                  </w:r>
                </w:p>
              </w:tc>
            </w:tr>
            <w:tr w14:paraId="5B0D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noWrap w:val="0"/>
                  <w:vAlign w:val="center"/>
                </w:tcPr>
                <w:p w14:paraId="27DE7798">
                  <w:pPr>
                    <w:keepNext/>
                    <w:keepLines/>
                    <w:tabs>
                      <w:tab w:val="left" w:pos="1358"/>
                      <w:tab w:val="left" w:pos="2153"/>
                      <w:tab w:val="left" w:pos="4008"/>
                    </w:tabs>
                    <w:jc w:val="center"/>
                    <w:rPr>
                      <w:bCs/>
                      <w:szCs w:val="21"/>
                    </w:rPr>
                  </w:pPr>
                  <w:r>
                    <w:rPr>
                      <w:bCs/>
                      <w:szCs w:val="21"/>
                    </w:rPr>
                    <w:t>A</w:t>
                  </w:r>
                  <w:r>
                    <w:rPr>
                      <w:bCs/>
                      <w:color w:val="auto"/>
                      <w:szCs w:val="21"/>
                    </w:rPr>
                    <w:t>1</w:t>
                  </w:r>
                </w:p>
              </w:tc>
              <w:tc>
                <w:tcPr>
                  <w:tcW w:w="2619" w:type="dxa"/>
                  <w:noWrap w:val="0"/>
                  <w:vAlign w:val="center"/>
                </w:tcPr>
                <w:p w14:paraId="5E4C01C4">
                  <w:pPr>
                    <w:keepNext/>
                    <w:keepLines/>
                    <w:tabs>
                      <w:tab w:val="left" w:pos="1358"/>
                      <w:tab w:val="left" w:pos="2153"/>
                      <w:tab w:val="left" w:pos="4008"/>
                    </w:tabs>
                    <w:jc w:val="center"/>
                    <w:rPr>
                      <w:bCs/>
                      <w:szCs w:val="21"/>
                    </w:rPr>
                  </w:pPr>
                  <w:r>
                    <w:rPr>
                      <w:rFonts w:hint="eastAsia"/>
                      <w:bCs/>
                      <w:szCs w:val="21"/>
                    </w:rPr>
                    <w:t>N21.7243°、E108.6157°</w:t>
                  </w:r>
                </w:p>
              </w:tc>
              <w:tc>
                <w:tcPr>
                  <w:tcW w:w="2135" w:type="dxa"/>
                  <w:noWrap w:val="0"/>
                  <w:vAlign w:val="center"/>
                </w:tcPr>
                <w:p w14:paraId="0905092D">
                  <w:pPr>
                    <w:keepNext/>
                    <w:keepLines/>
                    <w:tabs>
                      <w:tab w:val="left" w:pos="1358"/>
                      <w:tab w:val="left" w:pos="2153"/>
                      <w:tab w:val="left" w:pos="4008"/>
                    </w:tabs>
                    <w:jc w:val="center"/>
                    <w:rPr>
                      <w:rFonts w:hint="default"/>
                      <w:bCs/>
                      <w:szCs w:val="21"/>
                      <w:lang w:val="en-US"/>
                    </w:rPr>
                  </w:pPr>
                  <w:r>
                    <w:rPr>
                      <w:rFonts w:hint="eastAsia"/>
                      <w:bCs/>
                      <w:szCs w:val="21"/>
                      <w:lang w:val="en-US" w:eastAsia="zh-CN"/>
                    </w:rPr>
                    <w:t>TSP</w:t>
                  </w:r>
                </w:p>
              </w:tc>
              <w:tc>
                <w:tcPr>
                  <w:tcW w:w="2371" w:type="dxa"/>
                  <w:noWrap w:val="0"/>
                  <w:vAlign w:val="center"/>
                </w:tcPr>
                <w:p w14:paraId="34846D23">
                  <w:pPr>
                    <w:keepNext/>
                    <w:keepLines/>
                    <w:tabs>
                      <w:tab w:val="left" w:pos="1358"/>
                      <w:tab w:val="left" w:pos="2153"/>
                      <w:tab w:val="left" w:pos="4008"/>
                    </w:tabs>
                    <w:jc w:val="center"/>
                    <w:rPr>
                      <w:rFonts w:hint="default"/>
                      <w:bCs/>
                      <w:szCs w:val="21"/>
                      <w:lang w:val="en-US" w:eastAsia="zh-CN"/>
                    </w:rPr>
                  </w:pPr>
                  <w:r>
                    <w:rPr>
                      <w:rFonts w:hint="eastAsia"/>
                      <w:bCs/>
                      <w:szCs w:val="21"/>
                      <w:lang w:val="en-US" w:eastAsia="zh-CN"/>
                    </w:rPr>
                    <w:t>引用监测点位</w:t>
                  </w:r>
                </w:p>
              </w:tc>
            </w:tr>
          </w:tbl>
          <w:p w14:paraId="27EC24E6">
            <w:pPr>
              <w:adjustRightInd w:val="0"/>
              <w:snapToGrid w:val="0"/>
              <w:spacing w:line="500" w:lineRule="exact"/>
              <w:ind w:firstLine="480" w:firstLineChars="200"/>
              <w:jc w:val="left"/>
              <w:rPr>
                <w:rFonts w:hint="eastAsia"/>
                <w:color w:val="auto"/>
                <w:kern w:val="0"/>
                <w:sz w:val="24"/>
              </w:rPr>
            </w:pPr>
            <w:r>
              <w:rPr>
                <w:rFonts w:hint="eastAsia"/>
                <w:color w:val="auto"/>
                <w:kern w:val="0"/>
                <w:sz w:val="24"/>
              </w:rPr>
              <w:t>②监测时间和监测频率</w:t>
            </w:r>
          </w:p>
          <w:p w14:paraId="47F37B8E">
            <w:pPr>
              <w:adjustRightInd w:val="0"/>
              <w:snapToGrid w:val="0"/>
              <w:spacing w:line="500" w:lineRule="exact"/>
              <w:ind w:firstLine="480" w:firstLineChars="200"/>
              <w:jc w:val="left"/>
              <w:rPr>
                <w:rFonts w:hint="eastAsia"/>
                <w:color w:val="FF0000"/>
                <w:kern w:val="0"/>
                <w:sz w:val="24"/>
              </w:rPr>
            </w:pPr>
            <w:r>
              <w:rPr>
                <w:rFonts w:hint="eastAsia" w:ascii="Times New Roman" w:hAnsi="Times New Roman" w:eastAsia="宋体" w:cs="Times New Roman"/>
                <w:kern w:val="0"/>
                <w:sz w:val="24"/>
                <w:u w:val="none"/>
                <w:lang w:val="en-US" w:eastAsia="zh-CN"/>
              </w:rPr>
              <w:t>TSP做日均值监测，每天采样1次，连续采样7天</w:t>
            </w:r>
            <w:r>
              <w:rPr>
                <w:rFonts w:hint="eastAsia"/>
                <w:color w:val="auto"/>
                <w:kern w:val="0"/>
                <w:sz w:val="24"/>
              </w:rPr>
              <w:t>。</w:t>
            </w:r>
          </w:p>
          <w:p w14:paraId="23A1227B">
            <w:pPr>
              <w:adjustRightInd w:val="0"/>
              <w:snapToGrid w:val="0"/>
              <w:spacing w:line="500" w:lineRule="exact"/>
              <w:ind w:firstLine="480" w:firstLineChars="200"/>
              <w:jc w:val="left"/>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③采样和分析方法</w:t>
            </w:r>
          </w:p>
          <w:p w14:paraId="7BB67F8E">
            <w:pPr>
              <w:adjustRightInd w:val="0"/>
              <w:snapToGrid w:val="0"/>
              <w:spacing w:line="500" w:lineRule="exact"/>
              <w:ind w:firstLine="480" w:firstLineChars="200"/>
              <w:jc w:val="left"/>
              <w:rPr>
                <w:rFonts w:hint="eastAsia" w:ascii="Times New Roman" w:hAnsi="Times New Roman" w:eastAsia="宋体" w:cs="Times New Roman"/>
                <w:kern w:val="0"/>
                <w:sz w:val="24"/>
                <w:lang w:eastAsia="zh-CN"/>
              </w:rPr>
            </w:pPr>
            <w:r>
              <w:rPr>
                <w:sz w:val="24"/>
              </w:rPr>
              <w:t>采样点、采样环境、采样高度按HJ664及相关评价标准规定的环境监测技术规范执行。补充</w:t>
            </w:r>
            <w:r>
              <w:rPr>
                <w:rFonts w:hint="eastAsia"/>
                <w:sz w:val="24"/>
                <w:lang w:eastAsia="zh-CN"/>
              </w:rPr>
              <w:t>检测</w:t>
            </w:r>
            <w:r>
              <w:rPr>
                <w:sz w:val="24"/>
              </w:rPr>
              <w:t>因子的分析方法及其最低检出限见表</w:t>
            </w:r>
            <w:r>
              <w:rPr>
                <w:rFonts w:hint="eastAsia"/>
                <w:sz w:val="24"/>
              </w:rPr>
              <w:t>3</w:t>
            </w:r>
            <w:r>
              <w:rPr>
                <w:sz w:val="24"/>
              </w:rPr>
              <w:t>-</w:t>
            </w:r>
            <w:r>
              <w:rPr>
                <w:rFonts w:hint="eastAsia"/>
                <w:sz w:val="24"/>
                <w:lang w:val="en-US" w:eastAsia="zh-CN"/>
              </w:rPr>
              <w:t>3</w:t>
            </w:r>
            <w:r>
              <w:rPr>
                <w:rFonts w:hint="eastAsia" w:ascii="Times New Roman" w:hAnsi="Times New Roman" w:eastAsia="宋体" w:cs="Times New Roman"/>
                <w:kern w:val="0"/>
                <w:sz w:val="24"/>
                <w:lang w:eastAsia="zh-CN"/>
              </w:rPr>
              <w:t>。</w:t>
            </w:r>
          </w:p>
          <w:p w14:paraId="54C8F1B0">
            <w:pPr>
              <w:adjustRightInd w:val="0"/>
              <w:snapToGrid w:val="0"/>
              <w:spacing w:line="500" w:lineRule="exact"/>
              <w:ind w:firstLine="482" w:firstLineChars="200"/>
              <w:jc w:val="center"/>
              <w:rPr>
                <w:rFonts w:hint="eastAsia"/>
                <w:b/>
                <w:color w:val="000000"/>
                <w:kern w:val="0"/>
                <w:sz w:val="24"/>
              </w:rPr>
            </w:pPr>
            <w:r>
              <w:rPr>
                <w:rFonts w:hint="eastAsia"/>
                <w:b/>
                <w:color w:val="000000"/>
                <w:kern w:val="0"/>
                <w:sz w:val="24"/>
              </w:rPr>
              <w:t>表3-</w:t>
            </w:r>
            <w:r>
              <w:rPr>
                <w:rFonts w:hint="eastAsia"/>
                <w:b/>
                <w:color w:val="000000"/>
                <w:kern w:val="0"/>
                <w:sz w:val="24"/>
                <w:lang w:val="en-US" w:eastAsia="zh-CN"/>
              </w:rPr>
              <w:t>3</w:t>
            </w:r>
            <w:r>
              <w:rPr>
                <w:rFonts w:hint="eastAsia"/>
                <w:b/>
                <w:color w:val="000000"/>
                <w:kern w:val="0"/>
                <w:sz w:val="24"/>
              </w:rPr>
              <w:t xml:space="preserve">  监测分析方法</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41"/>
              <w:gridCol w:w="1640"/>
              <w:gridCol w:w="3870"/>
              <w:gridCol w:w="1528"/>
            </w:tblGrid>
            <w:tr w14:paraId="24635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41" w:type="dxa"/>
                  <w:tcBorders>
                    <w:right w:val="single" w:color="auto" w:sz="4" w:space="0"/>
                  </w:tcBorders>
                  <w:noWrap w:val="0"/>
                  <w:vAlign w:val="center"/>
                </w:tcPr>
                <w:p w14:paraId="7C079901">
                  <w:pPr>
                    <w:tabs>
                      <w:tab w:val="right" w:pos="8906"/>
                    </w:tabs>
                    <w:jc w:val="center"/>
                    <w:rPr>
                      <w:szCs w:val="21"/>
                    </w:rPr>
                  </w:pPr>
                  <w:r>
                    <w:rPr>
                      <w:szCs w:val="21"/>
                    </w:rPr>
                    <w:t>检测</w:t>
                  </w:r>
                </w:p>
                <w:p w14:paraId="020DBF9E">
                  <w:pPr>
                    <w:tabs>
                      <w:tab w:val="right" w:pos="8906"/>
                    </w:tabs>
                    <w:jc w:val="center"/>
                    <w:rPr>
                      <w:b/>
                      <w:szCs w:val="21"/>
                    </w:rPr>
                  </w:pPr>
                  <w:r>
                    <w:rPr>
                      <w:szCs w:val="21"/>
                    </w:rPr>
                    <w:t>类别</w:t>
                  </w:r>
                </w:p>
              </w:tc>
              <w:tc>
                <w:tcPr>
                  <w:tcW w:w="1640" w:type="dxa"/>
                  <w:tcBorders>
                    <w:left w:val="single" w:color="auto" w:sz="4" w:space="0"/>
                  </w:tcBorders>
                  <w:noWrap w:val="0"/>
                  <w:vAlign w:val="center"/>
                </w:tcPr>
                <w:p w14:paraId="14E55A77">
                  <w:pPr>
                    <w:tabs>
                      <w:tab w:val="right" w:pos="8906"/>
                    </w:tabs>
                    <w:jc w:val="center"/>
                    <w:rPr>
                      <w:b/>
                      <w:szCs w:val="21"/>
                    </w:rPr>
                  </w:pPr>
                  <w:r>
                    <w:rPr>
                      <w:bCs/>
                      <w:szCs w:val="21"/>
                    </w:rPr>
                    <w:t>项目</w:t>
                  </w:r>
                </w:p>
              </w:tc>
              <w:tc>
                <w:tcPr>
                  <w:tcW w:w="3870" w:type="dxa"/>
                  <w:noWrap w:val="0"/>
                  <w:vAlign w:val="center"/>
                </w:tcPr>
                <w:p w14:paraId="0786CCFB">
                  <w:pPr>
                    <w:tabs>
                      <w:tab w:val="right" w:pos="8906"/>
                    </w:tabs>
                    <w:jc w:val="center"/>
                    <w:rPr>
                      <w:b/>
                      <w:szCs w:val="21"/>
                    </w:rPr>
                  </w:pPr>
                  <w:r>
                    <w:rPr>
                      <w:bCs/>
                      <w:szCs w:val="21"/>
                    </w:rPr>
                    <w:t>检测标准（方法）</w:t>
                  </w:r>
                </w:p>
              </w:tc>
              <w:tc>
                <w:tcPr>
                  <w:tcW w:w="1528" w:type="dxa"/>
                  <w:noWrap w:val="0"/>
                  <w:vAlign w:val="center"/>
                </w:tcPr>
                <w:p w14:paraId="694A2F13">
                  <w:pPr>
                    <w:tabs>
                      <w:tab w:val="right" w:pos="8906"/>
                    </w:tabs>
                    <w:jc w:val="center"/>
                    <w:rPr>
                      <w:b/>
                      <w:szCs w:val="21"/>
                    </w:rPr>
                  </w:pPr>
                  <w:r>
                    <w:rPr>
                      <w:bCs/>
                      <w:spacing w:val="-5"/>
                      <w:szCs w:val="21"/>
                      <w:lang w:bidi="he-IL"/>
                    </w:rPr>
                    <w:t>检出限</w:t>
                  </w:r>
                </w:p>
              </w:tc>
            </w:tr>
            <w:tr w14:paraId="159B8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41" w:type="dxa"/>
                  <w:tcBorders>
                    <w:right w:val="single" w:color="auto" w:sz="4" w:space="0"/>
                  </w:tcBorders>
                  <w:noWrap w:val="0"/>
                  <w:vAlign w:val="center"/>
                </w:tcPr>
                <w:p w14:paraId="3A4A3F1F">
                  <w:pPr>
                    <w:tabs>
                      <w:tab w:val="right" w:pos="8906"/>
                    </w:tabs>
                    <w:jc w:val="center"/>
                    <w:rPr>
                      <w:szCs w:val="21"/>
                    </w:rPr>
                  </w:pPr>
                  <w:r>
                    <w:rPr>
                      <w:szCs w:val="21"/>
                    </w:rPr>
                    <w:t>环境空气</w:t>
                  </w:r>
                </w:p>
              </w:tc>
              <w:tc>
                <w:tcPr>
                  <w:tcW w:w="1640" w:type="dxa"/>
                  <w:tcBorders>
                    <w:left w:val="single" w:color="auto" w:sz="4" w:space="0"/>
                  </w:tcBorders>
                  <w:noWrap w:val="0"/>
                  <w:vAlign w:val="center"/>
                </w:tcPr>
                <w:p w14:paraId="4A886A6A">
                  <w:pPr>
                    <w:pStyle w:val="12"/>
                    <w:snapToGrid w:val="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sz w:val="21"/>
                      <w:szCs w:val="21"/>
                      <w:lang w:val="en-US" w:eastAsia="zh-CN"/>
                    </w:rPr>
                    <w:t>TSP</w:t>
                  </w:r>
                </w:p>
              </w:tc>
              <w:tc>
                <w:tcPr>
                  <w:tcW w:w="3870" w:type="dxa"/>
                  <w:noWrap w:val="0"/>
                  <w:vAlign w:val="center"/>
                </w:tcPr>
                <w:p w14:paraId="7EA0E7A4">
                  <w:pPr>
                    <w:tabs>
                      <w:tab w:val="left" w:pos="1980"/>
                      <w:tab w:val="left" w:pos="2160"/>
                    </w:tabs>
                    <w:jc w:val="center"/>
                    <w:rPr>
                      <w:color w:val="auto"/>
                      <w:szCs w:val="21"/>
                    </w:rPr>
                  </w:pPr>
                  <w:r>
                    <w:rPr>
                      <w:rFonts w:hint="eastAsia"/>
                      <w:color w:val="auto"/>
                      <w:szCs w:val="21"/>
                    </w:rPr>
                    <w:t>环境空气总悬浮颗粒物的测定重量法</w:t>
                  </w:r>
                  <w:r>
                    <w:rPr>
                      <w:rFonts w:hint="eastAsia"/>
                      <w:color w:val="auto"/>
                      <w:szCs w:val="21"/>
                      <w:lang w:eastAsia="zh-CN"/>
                    </w:rPr>
                    <w:t>（</w:t>
                  </w:r>
                  <w:r>
                    <w:rPr>
                      <w:rFonts w:hint="eastAsia"/>
                      <w:color w:val="auto"/>
                      <w:szCs w:val="21"/>
                    </w:rPr>
                    <w:t>HJ 1263-2022</w:t>
                  </w:r>
                  <w:r>
                    <w:rPr>
                      <w:rFonts w:hint="eastAsia"/>
                      <w:color w:val="auto"/>
                      <w:szCs w:val="21"/>
                      <w:lang w:eastAsia="zh-CN"/>
                    </w:rPr>
                    <w:t>）</w:t>
                  </w:r>
                </w:p>
              </w:tc>
              <w:tc>
                <w:tcPr>
                  <w:tcW w:w="1528" w:type="dxa"/>
                  <w:noWrap w:val="0"/>
                  <w:vAlign w:val="center"/>
                </w:tcPr>
                <w:p w14:paraId="48FF969C">
                  <w:pPr>
                    <w:tabs>
                      <w:tab w:val="right" w:pos="8906"/>
                    </w:tabs>
                    <w:jc w:val="center"/>
                    <w:rPr>
                      <w:color w:val="auto"/>
                      <w:kern w:val="0"/>
                      <w:sz w:val="21"/>
                      <w:szCs w:val="21"/>
                    </w:rPr>
                  </w:pPr>
                  <w:r>
                    <w:rPr>
                      <w:rFonts w:hint="eastAsia"/>
                      <w:color w:val="auto"/>
                      <w:sz w:val="21"/>
                      <w:szCs w:val="21"/>
                      <w:lang w:val="en-US" w:eastAsia="zh-CN"/>
                    </w:rPr>
                    <w:t>7μ</w:t>
                  </w:r>
                  <w:r>
                    <w:rPr>
                      <w:color w:val="auto"/>
                      <w:sz w:val="21"/>
                      <w:szCs w:val="21"/>
                    </w:rPr>
                    <w:t>g/m</w:t>
                  </w:r>
                  <w:r>
                    <w:rPr>
                      <w:color w:val="auto"/>
                      <w:sz w:val="21"/>
                      <w:szCs w:val="21"/>
                      <w:vertAlign w:val="superscript"/>
                    </w:rPr>
                    <w:t>3</w:t>
                  </w:r>
                </w:p>
              </w:tc>
            </w:tr>
          </w:tbl>
          <w:p w14:paraId="2E8CBFD8">
            <w:pPr>
              <w:spacing w:line="500" w:lineRule="exact"/>
              <w:ind w:firstLine="480" w:firstLineChars="200"/>
              <w:rPr>
                <w:sz w:val="24"/>
              </w:rPr>
            </w:pPr>
            <w:r>
              <w:rPr>
                <w:rFonts w:hint="eastAsia"/>
                <w:sz w:val="24"/>
              </w:rPr>
              <w:t xml:space="preserve">④ </w:t>
            </w:r>
            <w:r>
              <w:rPr>
                <w:sz w:val="24"/>
              </w:rPr>
              <w:t>评价标准</w:t>
            </w:r>
          </w:p>
          <w:p w14:paraId="3DA0BD0A">
            <w:pPr>
              <w:adjustRightInd w:val="0"/>
              <w:snapToGrid w:val="0"/>
              <w:spacing w:line="500" w:lineRule="exact"/>
              <w:ind w:firstLine="480" w:firstLineChars="200"/>
              <w:jc w:val="left"/>
              <w:rPr>
                <w:rFonts w:hint="eastAsia" w:ascii="Times New Roman" w:hAnsi="Times New Roman" w:eastAsia="宋体" w:cs="Times New Roman"/>
                <w:kern w:val="0"/>
                <w:sz w:val="24"/>
                <w:u w:val="none"/>
                <w:lang w:val="en-US" w:eastAsia="zh-CN"/>
              </w:rPr>
            </w:pPr>
            <w:r>
              <w:rPr>
                <w:rFonts w:hint="eastAsia" w:ascii="Times New Roman" w:hAnsi="Times New Roman" w:eastAsia="宋体" w:cs="Times New Roman"/>
                <w:kern w:val="0"/>
                <w:sz w:val="24"/>
                <w:u w:val="none"/>
                <w:lang w:val="en-US" w:eastAsia="zh-CN"/>
              </w:rPr>
              <w:t>TSP执行《环境空气质量标准》（GB3095-2012）中规定的限值。</w:t>
            </w:r>
          </w:p>
          <w:p w14:paraId="16C47A0C">
            <w:pPr>
              <w:adjustRightInd w:val="0"/>
              <w:snapToGrid w:val="0"/>
              <w:spacing w:line="500" w:lineRule="exact"/>
              <w:ind w:firstLine="480" w:firstLineChars="200"/>
              <w:jc w:val="left"/>
              <w:rPr>
                <w:rFonts w:hint="eastAsia" w:ascii="Times New Roman" w:hAnsi="Times New Roman" w:eastAsia="宋体" w:cs="Times New Roman"/>
                <w:kern w:val="0"/>
                <w:sz w:val="24"/>
                <w:u w:val="none"/>
                <w:lang w:val="en-US" w:eastAsia="zh-CN"/>
              </w:rPr>
            </w:pPr>
            <w:r>
              <w:rPr>
                <w:rFonts w:hint="eastAsia" w:ascii="Times New Roman" w:hAnsi="Times New Roman" w:eastAsia="宋体" w:cs="Times New Roman"/>
                <w:kern w:val="0"/>
                <w:sz w:val="24"/>
                <w:u w:val="none"/>
                <w:lang w:val="en-US" w:eastAsia="zh-CN"/>
              </w:rPr>
              <w:t>⑤ 监测结果</w:t>
            </w:r>
          </w:p>
          <w:p w14:paraId="4439CEAE">
            <w:pPr>
              <w:spacing w:line="520" w:lineRule="exact"/>
              <w:jc w:val="center"/>
              <w:rPr>
                <w:rFonts w:hint="eastAsia" w:ascii="宋体" w:hAnsi="宋体"/>
                <w:b/>
                <w:bCs/>
                <w:color w:val="auto"/>
                <w:sz w:val="24"/>
              </w:rPr>
            </w:pPr>
            <w:r>
              <w:rPr>
                <w:rFonts w:ascii="宋体" w:hAnsi="宋体"/>
                <w:b/>
                <w:bCs/>
                <w:color w:val="auto"/>
                <w:sz w:val="24"/>
              </w:rPr>
              <w:t>表</w:t>
            </w:r>
            <w:r>
              <w:rPr>
                <w:b/>
                <w:color w:val="auto"/>
                <w:sz w:val="24"/>
              </w:rPr>
              <w:t>3-</w:t>
            </w:r>
            <w:r>
              <w:rPr>
                <w:rFonts w:hint="eastAsia"/>
                <w:b/>
                <w:color w:val="auto"/>
                <w:sz w:val="24"/>
                <w:lang w:val="en-US" w:eastAsia="zh-CN"/>
              </w:rPr>
              <w:t>4</w:t>
            </w:r>
            <w:r>
              <w:rPr>
                <w:rFonts w:ascii="宋体" w:hAnsi="宋体"/>
                <w:b/>
                <w:bCs/>
                <w:color w:val="auto"/>
                <w:sz w:val="24"/>
              </w:rPr>
              <w:t>环境空气现状监测数据统计分析结果</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91"/>
              <w:gridCol w:w="788"/>
              <w:gridCol w:w="785"/>
              <w:gridCol w:w="1478"/>
              <w:gridCol w:w="1581"/>
              <w:gridCol w:w="1365"/>
              <w:gridCol w:w="804"/>
              <w:gridCol w:w="787"/>
            </w:tblGrid>
            <w:tr w14:paraId="648335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91" w:type="dxa"/>
                  <w:vMerge w:val="restart"/>
                  <w:noWrap w:val="0"/>
                  <w:vAlign w:val="center"/>
                </w:tcPr>
                <w:p w14:paraId="4F46887B">
                  <w:pPr>
                    <w:bidi w:val="0"/>
                    <w:jc w:val="center"/>
                    <w:rPr>
                      <w:rFonts w:hint="eastAsia"/>
                      <w:lang w:val="en-US" w:eastAsia="zh-CN"/>
                    </w:rPr>
                  </w:pPr>
                  <w:r>
                    <w:t>监测</w:t>
                  </w:r>
                  <w:r>
                    <w:rPr>
                      <w:rFonts w:hint="eastAsia"/>
                      <w:lang w:val="en-US" w:eastAsia="zh-CN"/>
                    </w:rPr>
                    <w:t>点位</w:t>
                  </w:r>
                </w:p>
              </w:tc>
              <w:tc>
                <w:tcPr>
                  <w:tcW w:w="788" w:type="dxa"/>
                  <w:vMerge w:val="restart"/>
                  <w:noWrap w:val="0"/>
                  <w:vAlign w:val="center"/>
                </w:tcPr>
                <w:p w14:paraId="50446C71">
                  <w:pPr>
                    <w:bidi w:val="0"/>
                    <w:jc w:val="center"/>
                    <w:rPr>
                      <w:rFonts w:hint="eastAsia"/>
                      <w:lang w:val="en-US" w:eastAsia="zh-CN"/>
                    </w:rPr>
                  </w:pPr>
                  <w:r>
                    <w:rPr>
                      <w:rFonts w:hint="eastAsia"/>
                      <w:lang w:val="en-US" w:eastAsia="zh-CN"/>
                    </w:rPr>
                    <w:t>污染物</w:t>
                  </w:r>
                </w:p>
              </w:tc>
              <w:tc>
                <w:tcPr>
                  <w:tcW w:w="785" w:type="dxa"/>
                  <w:vMerge w:val="restart"/>
                  <w:noWrap w:val="0"/>
                  <w:vAlign w:val="center"/>
                </w:tcPr>
                <w:p w14:paraId="6683BAA7">
                  <w:pPr>
                    <w:bidi w:val="0"/>
                    <w:jc w:val="center"/>
                    <w:rPr>
                      <w:rFonts w:hint="eastAsia"/>
                      <w:lang w:val="en-US" w:eastAsia="zh-CN"/>
                    </w:rPr>
                  </w:pPr>
                  <w:r>
                    <w:rPr>
                      <w:rFonts w:hint="eastAsia"/>
                      <w:lang w:val="en-US" w:eastAsia="zh-CN"/>
                    </w:rPr>
                    <w:t>平均时间</w:t>
                  </w:r>
                </w:p>
              </w:tc>
              <w:tc>
                <w:tcPr>
                  <w:tcW w:w="1478" w:type="dxa"/>
                  <w:vMerge w:val="restart"/>
                  <w:noWrap w:val="0"/>
                  <w:vAlign w:val="center"/>
                </w:tcPr>
                <w:p w14:paraId="1461C4F7">
                  <w:pPr>
                    <w:bidi w:val="0"/>
                    <w:jc w:val="center"/>
                    <w:rPr>
                      <w:rFonts w:hint="default"/>
                      <w:lang w:val="en-US" w:eastAsia="zh-CN"/>
                    </w:rPr>
                  </w:pPr>
                  <w:r>
                    <w:rPr>
                      <w:rFonts w:hint="eastAsia"/>
                      <w:lang w:val="en-US" w:eastAsia="zh-CN"/>
                    </w:rPr>
                    <w:t>评价标准</w:t>
                  </w:r>
                  <w:r>
                    <w:rPr>
                      <w:bCs/>
                      <w:szCs w:val="21"/>
                    </w:rPr>
                    <w:t>（</w:t>
                  </w:r>
                  <w:r>
                    <w:rPr>
                      <w:szCs w:val="21"/>
                    </w:rPr>
                    <w:t>μg/m</w:t>
                  </w:r>
                  <w:r>
                    <w:rPr>
                      <w:szCs w:val="21"/>
                      <w:vertAlign w:val="superscript"/>
                    </w:rPr>
                    <w:t>3</w:t>
                  </w:r>
                  <w:r>
                    <w:rPr>
                      <w:szCs w:val="21"/>
                    </w:rPr>
                    <w:t>）</w:t>
                  </w:r>
                </w:p>
              </w:tc>
              <w:tc>
                <w:tcPr>
                  <w:tcW w:w="1581" w:type="dxa"/>
                  <w:vMerge w:val="restart"/>
                  <w:noWrap w:val="0"/>
                  <w:vAlign w:val="center"/>
                </w:tcPr>
                <w:p w14:paraId="5FFB3AF4">
                  <w:pPr>
                    <w:bidi w:val="0"/>
                    <w:jc w:val="center"/>
                    <w:rPr>
                      <w:rFonts w:hint="default"/>
                      <w:lang w:val="en-US" w:eastAsia="zh-CN"/>
                    </w:rPr>
                  </w:pPr>
                  <w:r>
                    <w:rPr>
                      <w:rFonts w:hint="eastAsia"/>
                      <w:lang w:val="en-US" w:eastAsia="zh-CN"/>
                    </w:rPr>
                    <w:t>监测浓度范围/(</w:t>
                  </w:r>
                  <w:r>
                    <w:rPr>
                      <w:szCs w:val="21"/>
                    </w:rPr>
                    <w:t>μ</w:t>
                  </w:r>
                  <w:r>
                    <w:rPr>
                      <w:rFonts w:hint="eastAsia"/>
                      <w:lang w:val="en-US" w:eastAsia="zh-CN"/>
                    </w:rPr>
                    <w:t>g/m</w:t>
                  </w:r>
                  <w:r>
                    <w:rPr>
                      <w:rFonts w:hint="eastAsia"/>
                      <w:vertAlign w:val="superscript"/>
                      <w:lang w:val="en-US" w:eastAsia="zh-CN"/>
                    </w:rPr>
                    <w:t>3</w:t>
                  </w:r>
                  <w:r>
                    <w:rPr>
                      <w:rFonts w:hint="eastAsia"/>
                      <w:lang w:val="en-US" w:eastAsia="zh-CN"/>
                    </w:rPr>
                    <w:t>)</w:t>
                  </w:r>
                </w:p>
              </w:tc>
              <w:tc>
                <w:tcPr>
                  <w:tcW w:w="1365" w:type="dxa"/>
                  <w:vMerge w:val="restart"/>
                  <w:noWrap w:val="0"/>
                  <w:vAlign w:val="center"/>
                </w:tcPr>
                <w:p w14:paraId="53D7C006">
                  <w:pPr>
                    <w:bidi w:val="0"/>
                    <w:jc w:val="center"/>
                    <w:rPr>
                      <w:rFonts w:hint="default"/>
                      <w:lang w:val="en-US" w:eastAsia="zh-CN"/>
                    </w:rPr>
                  </w:pPr>
                  <w:r>
                    <w:rPr>
                      <w:rFonts w:hint="eastAsia"/>
                      <w:lang w:val="en-US" w:eastAsia="zh-CN"/>
                    </w:rPr>
                    <w:t>最大浓度占标率/%</w:t>
                  </w:r>
                </w:p>
              </w:tc>
              <w:tc>
                <w:tcPr>
                  <w:tcW w:w="804" w:type="dxa"/>
                  <w:vMerge w:val="restart"/>
                  <w:noWrap w:val="0"/>
                  <w:vAlign w:val="center"/>
                </w:tcPr>
                <w:p w14:paraId="1D912D35">
                  <w:pPr>
                    <w:bidi w:val="0"/>
                    <w:jc w:val="center"/>
                    <w:rPr>
                      <w:rFonts w:hint="default"/>
                      <w:lang w:val="en-US" w:eastAsia="zh-CN"/>
                    </w:rPr>
                  </w:pPr>
                  <w:r>
                    <w:rPr>
                      <w:rFonts w:hint="eastAsia"/>
                      <w:lang w:val="en-US" w:eastAsia="zh-CN"/>
                    </w:rPr>
                    <w:t>超标率/%</w:t>
                  </w:r>
                </w:p>
              </w:tc>
              <w:tc>
                <w:tcPr>
                  <w:tcW w:w="787" w:type="dxa"/>
                  <w:vMerge w:val="restart"/>
                  <w:noWrap w:val="0"/>
                  <w:vAlign w:val="center"/>
                </w:tcPr>
                <w:p w14:paraId="2C73C12A">
                  <w:pPr>
                    <w:bidi w:val="0"/>
                    <w:jc w:val="center"/>
                    <w:rPr>
                      <w:rFonts w:hint="eastAsia"/>
                      <w:lang w:val="en-US" w:eastAsia="zh-CN"/>
                    </w:rPr>
                  </w:pPr>
                  <w:r>
                    <w:rPr>
                      <w:rFonts w:hint="eastAsia"/>
                      <w:lang w:val="en-US" w:eastAsia="zh-CN"/>
                    </w:rPr>
                    <w:t>达标情况</w:t>
                  </w:r>
                </w:p>
              </w:tc>
            </w:tr>
            <w:tr w14:paraId="50A476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91" w:type="dxa"/>
                  <w:vMerge w:val="continue"/>
                  <w:noWrap w:val="0"/>
                  <w:vAlign w:val="center"/>
                </w:tcPr>
                <w:p w14:paraId="7BD89797">
                  <w:pPr>
                    <w:bidi w:val="0"/>
                    <w:jc w:val="center"/>
                  </w:pPr>
                </w:p>
              </w:tc>
              <w:tc>
                <w:tcPr>
                  <w:tcW w:w="788" w:type="dxa"/>
                  <w:vMerge w:val="continue"/>
                  <w:noWrap w:val="0"/>
                  <w:vAlign w:val="center"/>
                </w:tcPr>
                <w:p w14:paraId="0EDBABC5">
                  <w:pPr>
                    <w:bidi w:val="0"/>
                    <w:jc w:val="center"/>
                    <w:rPr>
                      <w:rFonts w:hint="eastAsia"/>
                    </w:rPr>
                  </w:pPr>
                </w:p>
              </w:tc>
              <w:tc>
                <w:tcPr>
                  <w:tcW w:w="785" w:type="dxa"/>
                  <w:vMerge w:val="continue"/>
                  <w:noWrap w:val="0"/>
                  <w:vAlign w:val="center"/>
                </w:tcPr>
                <w:p w14:paraId="2BE85C7A">
                  <w:pPr>
                    <w:bidi w:val="0"/>
                    <w:jc w:val="center"/>
                    <w:rPr>
                      <w:rFonts w:hint="eastAsia"/>
                    </w:rPr>
                  </w:pPr>
                </w:p>
              </w:tc>
              <w:tc>
                <w:tcPr>
                  <w:tcW w:w="1478" w:type="dxa"/>
                  <w:vMerge w:val="continue"/>
                  <w:noWrap w:val="0"/>
                  <w:vAlign w:val="center"/>
                </w:tcPr>
                <w:p w14:paraId="4DFD787D">
                  <w:pPr>
                    <w:bidi w:val="0"/>
                    <w:jc w:val="center"/>
                    <w:rPr>
                      <w:rFonts w:hint="eastAsia"/>
                    </w:rPr>
                  </w:pPr>
                </w:p>
              </w:tc>
              <w:tc>
                <w:tcPr>
                  <w:tcW w:w="1581" w:type="dxa"/>
                  <w:vMerge w:val="continue"/>
                  <w:noWrap w:val="0"/>
                  <w:vAlign w:val="center"/>
                </w:tcPr>
                <w:p w14:paraId="4E885340">
                  <w:pPr>
                    <w:bidi w:val="0"/>
                    <w:jc w:val="center"/>
                    <w:rPr>
                      <w:rFonts w:hint="eastAsia"/>
                    </w:rPr>
                  </w:pPr>
                </w:p>
              </w:tc>
              <w:tc>
                <w:tcPr>
                  <w:tcW w:w="1365" w:type="dxa"/>
                  <w:vMerge w:val="continue"/>
                  <w:noWrap w:val="0"/>
                  <w:vAlign w:val="center"/>
                </w:tcPr>
                <w:p w14:paraId="454D7B68">
                  <w:pPr>
                    <w:bidi w:val="0"/>
                    <w:jc w:val="center"/>
                    <w:rPr>
                      <w:rFonts w:hint="eastAsia"/>
                    </w:rPr>
                  </w:pPr>
                </w:p>
              </w:tc>
              <w:tc>
                <w:tcPr>
                  <w:tcW w:w="804" w:type="dxa"/>
                  <w:vMerge w:val="continue"/>
                  <w:noWrap w:val="0"/>
                  <w:vAlign w:val="center"/>
                </w:tcPr>
                <w:p w14:paraId="70B0242A">
                  <w:pPr>
                    <w:bidi w:val="0"/>
                    <w:jc w:val="center"/>
                    <w:rPr>
                      <w:rFonts w:hint="eastAsia"/>
                    </w:rPr>
                  </w:pPr>
                </w:p>
              </w:tc>
              <w:tc>
                <w:tcPr>
                  <w:tcW w:w="787" w:type="dxa"/>
                  <w:vMerge w:val="continue"/>
                  <w:noWrap w:val="0"/>
                  <w:vAlign w:val="center"/>
                </w:tcPr>
                <w:p w14:paraId="6F1CD771">
                  <w:pPr>
                    <w:bidi w:val="0"/>
                    <w:jc w:val="center"/>
                    <w:rPr>
                      <w:rFonts w:hint="eastAsia"/>
                    </w:rPr>
                  </w:pPr>
                </w:p>
              </w:tc>
            </w:tr>
            <w:tr w14:paraId="681380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91" w:type="dxa"/>
                  <w:noWrap w:val="0"/>
                  <w:vAlign w:val="center"/>
                </w:tcPr>
                <w:p w14:paraId="09C26181">
                  <w:pPr>
                    <w:bidi w:val="0"/>
                    <w:jc w:val="center"/>
                    <w:rPr>
                      <w:rFonts w:hint="eastAsia"/>
                      <w:lang w:val="en-US" w:eastAsia="zh-CN"/>
                    </w:rPr>
                  </w:pPr>
                  <w:r>
                    <w:rPr>
                      <w:rFonts w:hint="eastAsia"/>
                      <w:lang w:val="en-US" w:eastAsia="zh-CN"/>
                    </w:rPr>
                    <w:t>A1</w:t>
                  </w:r>
                </w:p>
              </w:tc>
              <w:tc>
                <w:tcPr>
                  <w:tcW w:w="788" w:type="dxa"/>
                  <w:noWrap w:val="0"/>
                  <w:vAlign w:val="center"/>
                </w:tcPr>
                <w:p w14:paraId="37492EE4">
                  <w:pPr>
                    <w:bidi w:val="0"/>
                    <w:jc w:val="center"/>
                    <w:rPr>
                      <w:rFonts w:hint="default"/>
                      <w:lang w:val="en-US" w:eastAsia="zh-CN"/>
                    </w:rPr>
                  </w:pPr>
                  <w:r>
                    <w:rPr>
                      <w:rFonts w:hint="eastAsia"/>
                      <w:lang w:val="en-US" w:eastAsia="zh-CN"/>
                    </w:rPr>
                    <w:t>TSP</w:t>
                  </w:r>
                </w:p>
              </w:tc>
              <w:tc>
                <w:tcPr>
                  <w:tcW w:w="785" w:type="dxa"/>
                  <w:noWrap w:val="0"/>
                  <w:vAlign w:val="center"/>
                </w:tcPr>
                <w:p w14:paraId="0ECC42D7">
                  <w:pPr>
                    <w:bidi w:val="0"/>
                    <w:jc w:val="center"/>
                    <w:rPr>
                      <w:rFonts w:hint="default" w:eastAsia="宋体"/>
                      <w:lang w:val="en-US" w:eastAsia="zh-CN"/>
                    </w:rPr>
                  </w:pPr>
                  <w:r>
                    <w:rPr>
                      <w:rFonts w:hint="eastAsia"/>
                      <w:lang w:val="en-US" w:eastAsia="zh-CN"/>
                    </w:rPr>
                    <w:t>日均值</w:t>
                  </w:r>
                </w:p>
              </w:tc>
              <w:tc>
                <w:tcPr>
                  <w:tcW w:w="1478" w:type="dxa"/>
                  <w:noWrap w:val="0"/>
                  <w:vAlign w:val="center"/>
                </w:tcPr>
                <w:p w14:paraId="53F78F3A">
                  <w:pPr>
                    <w:bidi w:val="0"/>
                    <w:jc w:val="center"/>
                    <w:rPr>
                      <w:rFonts w:hint="default" w:eastAsia="宋体"/>
                      <w:lang w:val="en-US" w:eastAsia="zh-CN"/>
                    </w:rPr>
                  </w:pPr>
                  <w:r>
                    <w:rPr>
                      <w:rFonts w:hint="eastAsia"/>
                      <w:lang w:val="en-US" w:eastAsia="zh-CN"/>
                    </w:rPr>
                    <w:t>300</w:t>
                  </w:r>
                </w:p>
              </w:tc>
              <w:tc>
                <w:tcPr>
                  <w:tcW w:w="1581" w:type="dxa"/>
                  <w:noWrap w:val="0"/>
                  <w:vAlign w:val="center"/>
                </w:tcPr>
                <w:p w14:paraId="38E39CB7">
                  <w:pPr>
                    <w:widowControl/>
                    <w:snapToGrid w:val="0"/>
                    <w:jc w:val="center"/>
                    <w:rPr>
                      <w:rFonts w:hint="default" w:eastAsia="宋体"/>
                      <w:color w:val="auto"/>
                      <w:lang w:val="en-US" w:eastAsia="zh-CN"/>
                    </w:rPr>
                  </w:pPr>
                </w:p>
              </w:tc>
              <w:tc>
                <w:tcPr>
                  <w:tcW w:w="1365" w:type="dxa"/>
                  <w:noWrap w:val="0"/>
                  <w:vAlign w:val="center"/>
                </w:tcPr>
                <w:p w14:paraId="3E5E2BAC">
                  <w:pPr>
                    <w:snapToGrid w:val="0"/>
                    <w:jc w:val="center"/>
                    <w:rPr>
                      <w:rFonts w:hint="default"/>
                      <w:color w:val="auto"/>
                      <w:lang w:val="en-US" w:eastAsia="zh-CN"/>
                    </w:rPr>
                  </w:pPr>
                </w:p>
              </w:tc>
              <w:tc>
                <w:tcPr>
                  <w:tcW w:w="804" w:type="dxa"/>
                  <w:noWrap w:val="0"/>
                  <w:vAlign w:val="center"/>
                </w:tcPr>
                <w:p w14:paraId="527B29ED">
                  <w:pPr>
                    <w:bidi w:val="0"/>
                    <w:jc w:val="center"/>
                    <w:rPr>
                      <w:rFonts w:hint="eastAsia"/>
                      <w:color w:val="auto"/>
                      <w:lang w:val="en-US" w:eastAsia="zh-CN"/>
                    </w:rPr>
                  </w:pPr>
                  <w:r>
                    <w:rPr>
                      <w:rFonts w:hint="eastAsia"/>
                      <w:color w:val="auto"/>
                      <w:lang w:val="en-US" w:eastAsia="zh-CN"/>
                    </w:rPr>
                    <w:t>0</w:t>
                  </w:r>
                </w:p>
              </w:tc>
              <w:tc>
                <w:tcPr>
                  <w:tcW w:w="787" w:type="dxa"/>
                  <w:noWrap w:val="0"/>
                  <w:vAlign w:val="center"/>
                </w:tcPr>
                <w:p w14:paraId="0AE2618C">
                  <w:pPr>
                    <w:bidi w:val="0"/>
                    <w:jc w:val="center"/>
                    <w:rPr>
                      <w:rFonts w:hint="eastAsia"/>
                      <w:lang w:val="en-US" w:eastAsia="zh-CN"/>
                    </w:rPr>
                  </w:pPr>
                  <w:r>
                    <w:rPr>
                      <w:rFonts w:hint="eastAsia"/>
                      <w:lang w:val="en-US" w:eastAsia="zh-CN"/>
                    </w:rPr>
                    <w:t>达标</w:t>
                  </w:r>
                </w:p>
              </w:tc>
            </w:tr>
          </w:tbl>
          <w:p w14:paraId="1B6C856F">
            <w:pPr>
              <w:pStyle w:val="6"/>
              <w:spacing w:line="500" w:lineRule="exact"/>
              <w:ind w:firstLine="480"/>
              <w:rPr>
                <w:rFonts w:hint="eastAsia" w:ascii="Times New Roman" w:hAnsi="Times New Roman" w:eastAsia="宋体" w:cs="Times New Roman"/>
                <w:kern w:val="0"/>
                <w:sz w:val="24"/>
              </w:rPr>
            </w:pPr>
            <w:r>
              <w:rPr>
                <w:rFonts w:hint="eastAsia"/>
                <w:color w:val="000000"/>
                <w:kern w:val="0"/>
                <w:sz w:val="24"/>
              </w:rPr>
              <w:t>由表3-</w:t>
            </w:r>
            <w:r>
              <w:rPr>
                <w:rFonts w:hint="eastAsia"/>
                <w:color w:val="000000"/>
                <w:kern w:val="0"/>
                <w:sz w:val="24"/>
                <w:lang w:val="en-US" w:eastAsia="zh-CN"/>
              </w:rPr>
              <w:t>4</w:t>
            </w:r>
            <w:r>
              <w:rPr>
                <w:rFonts w:hint="eastAsia"/>
                <w:color w:val="000000"/>
                <w:kern w:val="0"/>
                <w:sz w:val="24"/>
              </w:rPr>
              <w:t>可知，项目所在区域</w:t>
            </w:r>
            <w:r>
              <w:rPr>
                <w:rFonts w:hint="eastAsia"/>
                <w:color w:val="000000"/>
                <w:kern w:val="0"/>
                <w:sz w:val="24"/>
                <w:lang w:val="en-US" w:eastAsia="zh-CN"/>
              </w:rPr>
              <w:t>TSP</w:t>
            </w:r>
            <w:r>
              <w:rPr>
                <w:rFonts w:hint="eastAsia"/>
                <w:color w:val="000000"/>
                <w:kern w:val="0"/>
                <w:sz w:val="24"/>
              </w:rPr>
              <w:t>符合</w:t>
            </w:r>
            <w:r>
              <w:rPr>
                <w:rFonts w:hint="eastAsia" w:ascii="Times New Roman" w:hAnsi="Times New Roman" w:eastAsia="宋体" w:cs="Times New Roman"/>
                <w:kern w:val="0"/>
                <w:sz w:val="24"/>
                <w:u w:val="none"/>
                <w:lang w:val="en-US" w:eastAsia="zh-CN"/>
              </w:rPr>
              <w:t>《环境空气质量标准》（GB3095-2012）</w:t>
            </w:r>
            <w:r>
              <w:rPr>
                <w:rFonts w:hint="eastAsia"/>
                <w:color w:val="000000"/>
                <w:kern w:val="0"/>
                <w:sz w:val="24"/>
              </w:rPr>
              <w:t>中规定的限值</w:t>
            </w:r>
            <w:r>
              <w:rPr>
                <w:rFonts w:hint="eastAsia"/>
                <w:color w:val="000000"/>
                <w:kern w:val="0"/>
                <w:sz w:val="24"/>
                <w:lang w:val="en-US" w:eastAsia="zh-CN"/>
              </w:rPr>
              <w:t>要求</w:t>
            </w:r>
            <w:r>
              <w:rPr>
                <w:rFonts w:hint="eastAsia"/>
                <w:color w:val="000000"/>
                <w:kern w:val="0"/>
                <w:sz w:val="24"/>
              </w:rPr>
              <w:t>。</w:t>
            </w:r>
          </w:p>
          <w:p w14:paraId="61210014">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二、地表水环境质量状况</w:t>
            </w:r>
          </w:p>
          <w:p w14:paraId="2C3BFB89">
            <w:pPr>
              <w:pStyle w:val="6"/>
              <w:spacing w:line="500" w:lineRule="exact"/>
              <w:ind w:firstLine="480"/>
              <w:rPr>
                <w:rFonts w:hint="default"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根据《广西壮族自治区生态环境厅关于印发广西壮族自治区近岸海域环境功能区划调整方案的通知》（桂环发〔2023〕9号），</w:t>
            </w:r>
            <w:r>
              <w:rPr>
                <w:rFonts w:hint="eastAsia" w:cs="Times New Roman"/>
                <w:color w:val="000000"/>
                <w:kern w:val="0"/>
                <w:sz w:val="24"/>
                <w:lang w:val="en-US" w:eastAsia="zh-CN"/>
              </w:rPr>
              <w:t>钦州港工业污水集中处理厂</w:t>
            </w:r>
            <w:r>
              <w:rPr>
                <w:rFonts w:hint="eastAsia" w:ascii="Times New Roman" w:hAnsi="Times New Roman" w:eastAsia="宋体" w:cs="Times New Roman"/>
                <w:color w:val="000000"/>
                <w:kern w:val="0"/>
                <w:sz w:val="24"/>
                <w:lang w:val="en-US" w:eastAsia="zh-CN"/>
              </w:rPr>
              <w:t>排放口纳污海域为钦州港金鼓江排污混合区（GX056DⅣ），港口、工业用海，属于</w:t>
            </w:r>
            <w:r>
              <w:rPr>
                <w:rFonts w:hint="eastAsia" w:cs="Times New Roman"/>
                <w:color w:val="000000"/>
                <w:kern w:val="0"/>
                <w:sz w:val="24"/>
                <w:lang w:val="en-US" w:eastAsia="zh-CN"/>
              </w:rPr>
              <w:t>Ⅳ类</w:t>
            </w:r>
            <w:r>
              <w:rPr>
                <w:rFonts w:hint="eastAsia" w:ascii="Times New Roman" w:hAnsi="Times New Roman" w:eastAsia="宋体" w:cs="Times New Roman"/>
                <w:color w:val="000000"/>
                <w:kern w:val="0"/>
                <w:sz w:val="24"/>
                <w:lang w:val="en-US" w:eastAsia="zh-CN"/>
              </w:rPr>
              <w:t>近岸海域环境功能区。</w:t>
            </w:r>
          </w:p>
          <w:p w14:paraId="7B74FDAC">
            <w:pPr>
              <w:pStyle w:val="6"/>
              <w:spacing w:line="500" w:lineRule="exact"/>
              <w:ind w:firstLine="480"/>
              <w:rPr>
                <w:rFonts w:hint="default"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eastAsia="zh-CN"/>
              </w:rPr>
              <w:t>为了了解</w:t>
            </w:r>
            <w:r>
              <w:rPr>
                <w:rFonts w:hint="eastAsia" w:ascii="Times New Roman" w:hAnsi="Times New Roman" w:eastAsia="宋体" w:cs="Times New Roman"/>
                <w:color w:val="000000"/>
                <w:kern w:val="0"/>
                <w:sz w:val="24"/>
                <w:lang w:val="en-US" w:eastAsia="zh-CN"/>
              </w:rPr>
              <w:t>A1排污区水质现状，本次评价引用广西恒沁检测科技</w:t>
            </w:r>
            <w:r>
              <w:rPr>
                <w:rFonts w:hint="eastAsia" w:cs="Times New Roman"/>
                <w:color w:val="000000"/>
                <w:kern w:val="0"/>
                <w:sz w:val="24"/>
                <w:lang w:val="en-US" w:eastAsia="zh-CN"/>
              </w:rPr>
              <w:t>有限公司</w:t>
            </w:r>
            <w:r>
              <w:rPr>
                <w:rFonts w:hint="eastAsia" w:ascii="Times New Roman" w:hAnsi="Times New Roman" w:eastAsia="宋体" w:cs="Times New Roman"/>
                <w:color w:val="000000"/>
                <w:kern w:val="0"/>
                <w:sz w:val="24"/>
                <w:lang w:val="en-US" w:eastAsia="zh-CN"/>
              </w:rPr>
              <w:t>于2022年10月14日对A1排污区水质进行监测，共布设5个水质监测点位，连续监测1天，每天监测1次，监测点位见表3-5</w:t>
            </w:r>
            <w:r>
              <w:rPr>
                <w:rFonts w:hint="eastAsia" w:cs="Times New Roman"/>
                <w:color w:val="000000"/>
                <w:kern w:val="0"/>
                <w:sz w:val="24"/>
                <w:lang w:val="en-US" w:eastAsia="zh-CN"/>
              </w:rPr>
              <w:t>。检测报告编号：HQHJ22101329。</w:t>
            </w:r>
          </w:p>
          <w:p w14:paraId="1B64B4AE">
            <w:pPr>
              <w:spacing w:line="520" w:lineRule="exact"/>
              <w:jc w:val="center"/>
              <w:rPr>
                <w:rFonts w:hint="default" w:ascii="Times New Roman" w:hAnsi="Times New Roman" w:eastAsia="宋体" w:cs="Times New Roman"/>
                <w:b/>
                <w:bCs/>
                <w:color w:val="auto"/>
                <w:sz w:val="24"/>
                <w:lang w:val="zh-CN"/>
              </w:rPr>
            </w:pPr>
            <w:r>
              <w:rPr>
                <w:rFonts w:hint="default" w:ascii="Times New Roman" w:hAnsi="Times New Roman" w:eastAsia="宋体" w:cs="Times New Roman"/>
                <w:b/>
                <w:bCs/>
                <w:color w:val="auto"/>
                <w:sz w:val="24"/>
                <w:lang w:val="en-US" w:eastAsia="zh-CN"/>
              </w:rPr>
              <w:t xml:space="preserve">表3-5 </w:t>
            </w:r>
            <w:r>
              <w:rPr>
                <w:rFonts w:hint="default" w:ascii="Times New Roman" w:hAnsi="Times New Roman" w:eastAsia="宋体" w:cs="Times New Roman"/>
                <w:b/>
                <w:bCs/>
                <w:color w:val="auto"/>
                <w:sz w:val="24"/>
                <w:lang w:val="zh-CN"/>
              </w:rPr>
              <w:t>调查站位和调查内容</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2"/>
              <w:gridCol w:w="1664"/>
              <w:gridCol w:w="1732"/>
              <w:gridCol w:w="1578"/>
              <w:gridCol w:w="1368"/>
            </w:tblGrid>
            <w:tr w14:paraId="1EA4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3" w:type="pct"/>
                  <w:noWrap w:val="0"/>
                  <w:vAlign w:val="center"/>
                </w:tcPr>
                <w:p w14:paraId="1C701EDD">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监测点位</w:t>
                  </w:r>
                </w:p>
              </w:tc>
              <w:tc>
                <w:tcPr>
                  <w:tcW w:w="993" w:type="pct"/>
                  <w:noWrap w:val="0"/>
                  <w:vAlign w:val="center"/>
                </w:tcPr>
                <w:p w14:paraId="1F010AF7">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经度</w:t>
                  </w:r>
                </w:p>
              </w:tc>
              <w:tc>
                <w:tcPr>
                  <w:tcW w:w="1034" w:type="pct"/>
                  <w:noWrap w:val="0"/>
                  <w:vAlign w:val="center"/>
                </w:tcPr>
                <w:p w14:paraId="3ECB4A30">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纬度</w:t>
                  </w:r>
                </w:p>
              </w:tc>
              <w:tc>
                <w:tcPr>
                  <w:tcW w:w="942" w:type="pct"/>
                  <w:noWrap w:val="0"/>
                  <w:vAlign w:val="center"/>
                </w:tcPr>
                <w:p w14:paraId="74F1CD96">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采样项目</w:t>
                  </w:r>
                </w:p>
              </w:tc>
              <w:tc>
                <w:tcPr>
                  <w:tcW w:w="816" w:type="pct"/>
                  <w:noWrap w:val="0"/>
                  <w:vAlign w:val="center"/>
                </w:tcPr>
                <w:p w14:paraId="57F24003">
                  <w:pPr>
                    <w:adjustRightInd w:val="0"/>
                    <w:snapToGrid w:val="0"/>
                    <w:jc w:val="center"/>
                    <w:rPr>
                      <w:rFonts w:hint="eastAsia" w:ascii="Arial" w:hAnsi="Arial" w:eastAsia="宋体" w:cs="Arial"/>
                      <w:color w:val="auto"/>
                      <w:sz w:val="21"/>
                      <w:szCs w:val="21"/>
                      <w:u w:val="none"/>
                      <w:lang w:val="en-US" w:eastAsia="zh-CN" w:bidi="zh-CN"/>
                    </w:rPr>
                  </w:pPr>
                  <w:r>
                    <w:rPr>
                      <w:rFonts w:hint="eastAsia" w:ascii="Arial" w:hAnsi="Arial" w:eastAsia="宋体" w:cs="Arial"/>
                      <w:color w:val="auto"/>
                      <w:sz w:val="21"/>
                      <w:szCs w:val="21"/>
                      <w:u w:val="none"/>
                      <w:lang w:val="en-US" w:eastAsia="zh-CN" w:bidi="zh-CN"/>
                    </w:rPr>
                    <w:t>水质要求</w:t>
                  </w:r>
                </w:p>
              </w:tc>
            </w:tr>
            <w:tr w14:paraId="02DF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3" w:type="pct"/>
                  <w:noWrap w:val="0"/>
                  <w:vAlign w:val="center"/>
                </w:tcPr>
                <w:p w14:paraId="3BAACB72">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1#A1排污口中心</w:t>
                  </w:r>
                </w:p>
              </w:tc>
              <w:tc>
                <w:tcPr>
                  <w:tcW w:w="993" w:type="pct"/>
                  <w:noWrap w:val="0"/>
                  <w:vAlign w:val="center"/>
                </w:tcPr>
                <w:p w14:paraId="3DDE9F27">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108°37′41.99″E</w:t>
                  </w:r>
                </w:p>
              </w:tc>
              <w:tc>
                <w:tcPr>
                  <w:tcW w:w="1034" w:type="pct"/>
                  <w:noWrap w:val="0"/>
                  <w:vAlign w:val="center"/>
                </w:tcPr>
                <w:p w14:paraId="0AB1D4E1">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21°41′13.99″N</w:t>
                  </w:r>
                </w:p>
              </w:tc>
              <w:tc>
                <w:tcPr>
                  <w:tcW w:w="942" w:type="pct"/>
                  <w:noWrap w:val="0"/>
                  <w:vAlign w:val="center"/>
                </w:tcPr>
                <w:p w14:paraId="53F45151">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水质</w:t>
                  </w:r>
                </w:p>
              </w:tc>
              <w:tc>
                <w:tcPr>
                  <w:tcW w:w="816" w:type="pct"/>
                  <w:vMerge w:val="restart"/>
                  <w:noWrap w:val="0"/>
                  <w:vAlign w:val="center"/>
                </w:tcPr>
                <w:p w14:paraId="738CA54E">
                  <w:pPr>
                    <w:adjustRightInd w:val="0"/>
                    <w:snapToGrid w:val="0"/>
                    <w:jc w:val="center"/>
                    <w:rPr>
                      <w:rFonts w:hint="default" w:ascii="Arial" w:hAnsi="Arial" w:eastAsia="宋体" w:cs="Arial"/>
                      <w:color w:val="auto"/>
                      <w:sz w:val="21"/>
                      <w:szCs w:val="21"/>
                      <w:u w:val="none"/>
                      <w:lang w:val="en-US" w:eastAsia="zh-CN" w:bidi="zh-CN"/>
                    </w:rPr>
                  </w:pPr>
                  <w:r>
                    <w:rPr>
                      <w:rFonts w:hint="eastAsia" w:ascii="Arial" w:hAnsi="Arial" w:eastAsia="宋体" w:cs="Arial"/>
                      <w:color w:val="auto"/>
                      <w:sz w:val="21"/>
                      <w:szCs w:val="21"/>
                      <w:u w:val="none"/>
                      <w:lang w:val="en-US" w:eastAsia="zh-CN" w:bidi="zh-CN"/>
                    </w:rPr>
                    <w:t>四类</w:t>
                  </w:r>
                </w:p>
              </w:tc>
            </w:tr>
            <w:tr w14:paraId="1D2F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3" w:type="pct"/>
                  <w:noWrap w:val="0"/>
                  <w:vAlign w:val="center"/>
                </w:tcPr>
                <w:p w14:paraId="28C39BDA">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2#排污口南面1km</w:t>
                  </w:r>
                </w:p>
              </w:tc>
              <w:tc>
                <w:tcPr>
                  <w:tcW w:w="993" w:type="pct"/>
                  <w:noWrap w:val="0"/>
                  <w:vAlign w:val="center"/>
                </w:tcPr>
                <w:p w14:paraId="64276EE7">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108°37′13.40″E</w:t>
                  </w:r>
                </w:p>
              </w:tc>
              <w:tc>
                <w:tcPr>
                  <w:tcW w:w="1034" w:type="pct"/>
                  <w:noWrap w:val="0"/>
                  <w:vAlign w:val="center"/>
                </w:tcPr>
                <w:p w14:paraId="154B0FF5">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21°41′12.61″N</w:t>
                  </w:r>
                </w:p>
              </w:tc>
              <w:tc>
                <w:tcPr>
                  <w:tcW w:w="942" w:type="pct"/>
                  <w:noWrap w:val="0"/>
                  <w:vAlign w:val="center"/>
                </w:tcPr>
                <w:p w14:paraId="06623FF3">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水质</w:t>
                  </w:r>
                </w:p>
              </w:tc>
              <w:tc>
                <w:tcPr>
                  <w:tcW w:w="816" w:type="pct"/>
                  <w:vMerge w:val="continue"/>
                  <w:noWrap w:val="0"/>
                  <w:vAlign w:val="center"/>
                </w:tcPr>
                <w:p w14:paraId="40697D70">
                  <w:pPr>
                    <w:spacing w:line="240" w:lineRule="exact"/>
                    <w:jc w:val="center"/>
                    <w:rPr>
                      <w:rFonts w:hint="eastAsia" w:ascii="Arial" w:hAnsi="Arial" w:cs="Arial"/>
                      <w:color w:val="FF0000"/>
                      <w:u w:val="single"/>
                      <w:lang w:val="en-US" w:eastAsia="zh-CN"/>
                    </w:rPr>
                  </w:pPr>
                </w:p>
              </w:tc>
            </w:tr>
            <w:tr w14:paraId="2555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3" w:type="pct"/>
                  <w:noWrap w:val="0"/>
                  <w:vAlign w:val="center"/>
                </w:tcPr>
                <w:p w14:paraId="260E4983">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3#排污口南面2km</w:t>
                  </w:r>
                </w:p>
              </w:tc>
              <w:tc>
                <w:tcPr>
                  <w:tcW w:w="993" w:type="pct"/>
                  <w:noWrap w:val="0"/>
                  <w:vAlign w:val="center"/>
                </w:tcPr>
                <w:p w14:paraId="6BECD30A">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108°37′47.93″E</w:t>
                  </w:r>
                </w:p>
              </w:tc>
              <w:tc>
                <w:tcPr>
                  <w:tcW w:w="1034" w:type="pct"/>
                  <w:noWrap w:val="0"/>
                  <w:vAlign w:val="center"/>
                </w:tcPr>
                <w:p w14:paraId="633580B3">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21°40′44.72″N</w:t>
                  </w:r>
                </w:p>
              </w:tc>
              <w:tc>
                <w:tcPr>
                  <w:tcW w:w="942" w:type="pct"/>
                  <w:noWrap w:val="0"/>
                  <w:vAlign w:val="center"/>
                </w:tcPr>
                <w:p w14:paraId="3D100C2D">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水质</w:t>
                  </w:r>
                </w:p>
              </w:tc>
              <w:tc>
                <w:tcPr>
                  <w:tcW w:w="816" w:type="pct"/>
                  <w:vMerge w:val="continue"/>
                  <w:noWrap w:val="0"/>
                  <w:vAlign w:val="center"/>
                </w:tcPr>
                <w:p w14:paraId="5EA91B47">
                  <w:pPr>
                    <w:spacing w:line="240" w:lineRule="exact"/>
                    <w:jc w:val="center"/>
                    <w:rPr>
                      <w:rFonts w:hint="eastAsia" w:ascii="Arial" w:hAnsi="Arial" w:cs="Arial"/>
                      <w:color w:val="FF0000"/>
                      <w:u w:val="single"/>
                      <w:lang w:val="en-US" w:eastAsia="zh-CN"/>
                    </w:rPr>
                  </w:pPr>
                </w:p>
              </w:tc>
            </w:tr>
            <w:tr w14:paraId="40B3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3" w:type="pct"/>
                  <w:noWrap w:val="0"/>
                  <w:vAlign w:val="center"/>
                </w:tcPr>
                <w:p w14:paraId="54309F19">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4#金鼓江（排污口中心北面1km）</w:t>
                  </w:r>
                </w:p>
              </w:tc>
              <w:tc>
                <w:tcPr>
                  <w:tcW w:w="993" w:type="pct"/>
                  <w:noWrap w:val="0"/>
                  <w:vAlign w:val="center"/>
                </w:tcPr>
                <w:p w14:paraId="7535369D">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108°37′47.69″E</w:t>
                  </w:r>
                </w:p>
              </w:tc>
              <w:tc>
                <w:tcPr>
                  <w:tcW w:w="1034" w:type="pct"/>
                  <w:noWrap w:val="0"/>
                  <w:vAlign w:val="center"/>
                </w:tcPr>
                <w:p w14:paraId="44F1A492">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21°40′12.43″N</w:t>
                  </w:r>
                </w:p>
              </w:tc>
              <w:tc>
                <w:tcPr>
                  <w:tcW w:w="942" w:type="pct"/>
                  <w:noWrap w:val="0"/>
                  <w:vAlign w:val="center"/>
                </w:tcPr>
                <w:p w14:paraId="24667A92">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水质</w:t>
                  </w:r>
                </w:p>
              </w:tc>
              <w:tc>
                <w:tcPr>
                  <w:tcW w:w="816" w:type="pct"/>
                  <w:vMerge w:val="continue"/>
                  <w:noWrap w:val="0"/>
                  <w:vAlign w:val="center"/>
                </w:tcPr>
                <w:p w14:paraId="27ADA6C5">
                  <w:pPr>
                    <w:spacing w:line="240" w:lineRule="exact"/>
                    <w:jc w:val="center"/>
                    <w:rPr>
                      <w:rFonts w:hint="eastAsia" w:ascii="Arial" w:hAnsi="Arial" w:cs="Arial"/>
                      <w:color w:val="FF0000"/>
                      <w:u w:val="single"/>
                      <w:lang w:val="en-US" w:eastAsia="zh-CN"/>
                    </w:rPr>
                  </w:pPr>
                </w:p>
              </w:tc>
            </w:tr>
            <w:tr w14:paraId="14BB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3" w:type="pct"/>
                  <w:noWrap w:val="0"/>
                  <w:vAlign w:val="center"/>
                </w:tcPr>
                <w:p w14:paraId="6AA98689">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5#西面航道（排污口中心西面1km）</w:t>
                  </w:r>
                </w:p>
              </w:tc>
              <w:tc>
                <w:tcPr>
                  <w:tcW w:w="993" w:type="pct"/>
                  <w:noWrap w:val="0"/>
                  <w:vAlign w:val="center"/>
                </w:tcPr>
                <w:p w14:paraId="0A122120">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108°37′57.85″E</w:t>
                  </w:r>
                </w:p>
              </w:tc>
              <w:tc>
                <w:tcPr>
                  <w:tcW w:w="1034" w:type="pct"/>
                  <w:noWrap w:val="0"/>
                  <w:vAlign w:val="center"/>
                </w:tcPr>
                <w:p w14:paraId="5687B2FA">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21°41′47.87″N</w:t>
                  </w:r>
                </w:p>
              </w:tc>
              <w:tc>
                <w:tcPr>
                  <w:tcW w:w="942" w:type="pct"/>
                  <w:noWrap w:val="0"/>
                  <w:vAlign w:val="center"/>
                </w:tcPr>
                <w:p w14:paraId="62ED3577">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水质</w:t>
                  </w:r>
                </w:p>
              </w:tc>
              <w:tc>
                <w:tcPr>
                  <w:tcW w:w="816" w:type="pct"/>
                  <w:vMerge w:val="continue"/>
                  <w:noWrap w:val="0"/>
                  <w:vAlign w:val="center"/>
                </w:tcPr>
                <w:p w14:paraId="1B478C2B">
                  <w:pPr>
                    <w:spacing w:line="240" w:lineRule="exact"/>
                    <w:jc w:val="center"/>
                    <w:rPr>
                      <w:rFonts w:hint="eastAsia" w:ascii="Arial" w:hAnsi="Arial" w:cs="Arial"/>
                      <w:color w:val="FF0000"/>
                      <w:u w:val="single"/>
                      <w:lang w:val="en-US" w:eastAsia="zh-CN"/>
                    </w:rPr>
                  </w:pPr>
                </w:p>
              </w:tc>
            </w:tr>
          </w:tbl>
          <w:p w14:paraId="5653AE24">
            <w:pPr>
              <w:spacing w:line="520" w:lineRule="exact"/>
              <w:jc w:val="center"/>
              <w:rPr>
                <w:rFonts w:hint="default" w:ascii="Times New Roman" w:hAnsi="Times New Roman" w:eastAsia="宋体" w:cs="Times New Roman"/>
                <w:b/>
                <w:bCs/>
                <w:color w:val="auto"/>
                <w:sz w:val="24"/>
                <w:lang w:val="zh-CN"/>
              </w:rPr>
            </w:pPr>
            <w:r>
              <w:rPr>
                <w:rFonts w:hint="default" w:ascii="Times New Roman" w:hAnsi="Times New Roman" w:eastAsia="宋体" w:cs="Times New Roman"/>
                <w:b/>
                <w:bCs/>
                <w:color w:val="auto"/>
                <w:sz w:val="24"/>
                <w:lang w:val="en-US" w:eastAsia="zh-CN"/>
              </w:rPr>
              <w:t xml:space="preserve">表3-6 </w:t>
            </w:r>
            <w:r>
              <w:rPr>
                <w:rFonts w:hint="default" w:ascii="Times New Roman" w:hAnsi="Times New Roman" w:eastAsia="宋体" w:cs="Times New Roman"/>
                <w:b/>
                <w:bCs/>
                <w:color w:val="auto"/>
                <w:sz w:val="24"/>
                <w:lang w:val="zh-CN" w:eastAsia="zh-CN"/>
              </w:rPr>
              <w:t>202</w:t>
            </w: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val="zh-CN" w:eastAsia="zh-CN"/>
              </w:rPr>
              <w:t>年</w:t>
            </w:r>
            <w:r>
              <w:rPr>
                <w:rFonts w:hint="default" w:ascii="Times New Roman" w:hAnsi="Times New Roman" w:eastAsia="宋体" w:cs="Times New Roman"/>
                <w:b/>
                <w:bCs/>
                <w:color w:val="auto"/>
                <w:sz w:val="24"/>
                <w:lang w:val="en-US" w:eastAsia="zh-CN"/>
              </w:rPr>
              <w:t>10</w:t>
            </w:r>
            <w:r>
              <w:rPr>
                <w:rFonts w:hint="default" w:ascii="Times New Roman" w:hAnsi="Times New Roman" w:eastAsia="宋体" w:cs="Times New Roman"/>
                <w:b/>
                <w:bCs/>
                <w:color w:val="auto"/>
                <w:sz w:val="24"/>
                <w:lang w:val="zh-CN" w:eastAsia="zh-CN"/>
              </w:rPr>
              <w:t>月调查水质要素结果统计续表</w:t>
            </w:r>
          </w:p>
          <w:tbl>
            <w:tblPr>
              <w:tblStyle w:val="19"/>
              <w:tblW w:w="501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50"/>
              <w:gridCol w:w="2206"/>
              <w:gridCol w:w="374"/>
              <w:gridCol w:w="659"/>
              <w:gridCol w:w="1275"/>
              <w:gridCol w:w="1039"/>
              <w:gridCol w:w="954"/>
              <w:gridCol w:w="954"/>
              <w:gridCol w:w="695"/>
            </w:tblGrid>
            <w:tr w14:paraId="51F77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 w:type="pct"/>
                  <w:noWrap w:val="0"/>
                  <w:vAlign w:val="center"/>
                </w:tcPr>
                <w:p w14:paraId="07188F4C">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序号</w:t>
                  </w:r>
                </w:p>
              </w:tc>
              <w:tc>
                <w:tcPr>
                  <w:tcW w:w="1339" w:type="pct"/>
                  <w:noWrap w:val="0"/>
                  <w:vAlign w:val="center"/>
                </w:tcPr>
                <w:p w14:paraId="76E4E70A">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站号</w:t>
                  </w:r>
                </w:p>
              </w:tc>
              <w:tc>
                <w:tcPr>
                  <w:tcW w:w="249" w:type="pct"/>
                  <w:noWrap w:val="0"/>
                  <w:vAlign w:val="center"/>
                </w:tcPr>
                <w:p w14:paraId="61A9D17C">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层次</w:t>
                  </w:r>
                </w:p>
              </w:tc>
              <w:tc>
                <w:tcPr>
                  <w:tcW w:w="419" w:type="pct"/>
                  <w:noWrap w:val="0"/>
                  <w:vAlign w:val="center"/>
                </w:tcPr>
                <w:p w14:paraId="119D5810">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pH值（无量纲）</w:t>
                  </w:r>
                </w:p>
              </w:tc>
              <w:tc>
                <w:tcPr>
                  <w:tcW w:w="544" w:type="pct"/>
                  <w:noWrap w:val="0"/>
                  <w:vAlign w:val="center"/>
                </w:tcPr>
                <w:p w14:paraId="31AA1CFA">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COD</w:t>
                  </w:r>
                  <w:r>
                    <w:rPr>
                      <w:rFonts w:hint="default" w:ascii="Times New Roman" w:hAnsi="Times New Roman" w:eastAsia="宋体" w:cs="Times New Roman"/>
                      <w:color w:val="auto"/>
                      <w:sz w:val="21"/>
                      <w:szCs w:val="21"/>
                      <w:u w:val="none"/>
                      <w:vertAlign w:val="subscript"/>
                      <w:lang w:val="en-US" w:eastAsia="zh-CN" w:bidi="zh-CN"/>
                    </w:rPr>
                    <w:t>M</w:t>
                  </w:r>
                  <w:r>
                    <w:rPr>
                      <w:rFonts w:hint="default" w:ascii="Times New Roman" w:hAnsi="Times New Roman" w:eastAsia="宋体" w:cs="Times New Roman"/>
                      <w:color w:val="auto"/>
                      <w:sz w:val="21"/>
                      <w:szCs w:val="21"/>
                      <w:u w:val="none"/>
                      <w:vertAlign w:val="baseline"/>
                      <w:lang w:val="en-US" w:eastAsia="zh-CN" w:bidi="zh-CN"/>
                    </w:rPr>
                    <w:t>n</w:t>
                  </w:r>
                  <w:r>
                    <w:rPr>
                      <w:rFonts w:hint="eastAsia" w:cs="Times New Roman"/>
                      <w:color w:val="auto"/>
                      <w:sz w:val="21"/>
                      <w:szCs w:val="21"/>
                      <w:u w:val="none"/>
                      <w:vertAlign w:val="baseline"/>
                      <w:lang w:val="en-US" w:eastAsia="zh-CN" w:bidi="zh-CN"/>
                    </w:rPr>
                    <w:t>(</w:t>
                  </w:r>
                  <w:r>
                    <w:rPr>
                      <w:rFonts w:hint="default" w:ascii="Times New Roman" w:hAnsi="Times New Roman" w:eastAsia="宋体" w:cs="Times New Roman"/>
                      <w:color w:val="auto"/>
                      <w:sz w:val="21"/>
                      <w:szCs w:val="21"/>
                      <w:u w:val="none"/>
                      <w:lang w:val="en-US" w:eastAsia="zh-CN" w:bidi="zh-CN"/>
                    </w:rPr>
                    <w:t>mg/L</w:t>
                  </w:r>
                  <w:r>
                    <w:rPr>
                      <w:rFonts w:hint="eastAsia" w:cs="Times New Roman"/>
                      <w:color w:val="auto"/>
                      <w:sz w:val="21"/>
                      <w:szCs w:val="21"/>
                      <w:u w:val="none"/>
                      <w:lang w:val="en-US" w:eastAsia="zh-CN" w:bidi="zh-CN"/>
                    </w:rPr>
                    <w:t>)</w:t>
                  </w:r>
                </w:p>
              </w:tc>
              <w:tc>
                <w:tcPr>
                  <w:tcW w:w="1736" w:type="dxa"/>
                  <w:noWrap w:val="0"/>
                  <w:vAlign w:val="center"/>
                </w:tcPr>
                <w:p w14:paraId="32C34C07">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活性磷酸盐（μg/L）</w:t>
                  </w:r>
                </w:p>
              </w:tc>
              <w:tc>
                <w:tcPr>
                  <w:tcW w:w="594" w:type="pct"/>
                  <w:noWrap w:val="0"/>
                  <w:vAlign w:val="center"/>
                </w:tcPr>
                <w:p w14:paraId="4F054AD0">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无机氮</w:t>
                  </w:r>
                </w:p>
                <w:p w14:paraId="7561B2EE">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eastAsia" w:cs="Times New Roman"/>
                      <w:color w:val="auto"/>
                      <w:sz w:val="21"/>
                      <w:szCs w:val="21"/>
                      <w:u w:val="none"/>
                      <w:lang w:val="en-US" w:eastAsia="zh-CN" w:bidi="zh-CN"/>
                    </w:rPr>
                    <w:t>(</w:t>
                  </w:r>
                  <w:r>
                    <w:rPr>
                      <w:rFonts w:hint="default" w:ascii="Times New Roman" w:hAnsi="Times New Roman" w:eastAsia="宋体" w:cs="Times New Roman"/>
                      <w:color w:val="auto"/>
                      <w:sz w:val="21"/>
                      <w:szCs w:val="21"/>
                      <w:u w:val="none"/>
                      <w:lang w:val="en-US" w:eastAsia="zh-CN" w:bidi="zh-CN"/>
                    </w:rPr>
                    <w:t>μg/L</w:t>
                  </w:r>
                  <w:r>
                    <w:rPr>
                      <w:rFonts w:hint="eastAsia" w:cs="Times New Roman"/>
                      <w:color w:val="auto"/>
                      <w:sz w:val="21"/>
                      <w:szCs w:val="21"/>
                      <w:u w:val="none"/>
                      <w:lang w:val="en-US" w:eastAsia="zh-CN" w:bidi="zh-CN"/>
                    </w:rPr>
                    <w:t>)</w:t>
                  </w:r>
                </w:p>
              </w:tc>
              <w:tc>
                <w:tcPr>
                  <w:tcW w:w="594" w:type="pct"/>
                  <w:noWrap w:val="0"/>
                  <w:vAlign w:val="center"/>
                </w:tcPr>
                <w:p w14:paraId="06FBD3A9">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石油类</w:t>
                  </w:r>
                </w:p>
                <w:p w14:paraId="540F6996">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eastAsia" w:cs="Times New Roman"/>
                      <w:color w:val="auto"/>
                      <w:sz w:val="21"/>
                      <w:szCs w:val="21"/>
                      <w:u w:val="none"/>
                      <w:lang w:val="en-US" w:eastAsia="zh-CN" w:bidi="zh-CN"/>
                    </w:rPr>
                    <w:t>(</w:t>
                  </w:r>
                  <w:r>
                    <w:rPr>
                      <w:rFonts w:hint="default" w:ascii="Times New Roman" w:hAnsi="Times New Roman" w:eastAsia="宋体" w:cs="Times New Roman"/>
                      <w:color w:val="auto"/>
                      <w:sz w:val="21"/>
                      <w:szCs w:val="21"/>
                      <w:u w:val="none"/>
                      <w:lang w:val="en-US" w:eastAsia="zh-CN" w:bidi="zh-CN"/>
                    </w:rPr>
                    <w:t>μg/L</w:t>
                  </w:r>
                  <w:r>
                    <w:rPr>
                      <w:rFonts w:hint="eastAsia" w:cs="Times New Roman"/>
                      <w:color w:val="auto"/>
                      <w:sz w:val="21"/>
                      <w:szCs w:val="21"/>
                      <w:u w:val="none"/>
                      <w:lang w:val="en-US" w:eastAsia="zh-CN" w:bidi="zh-CN"/>
                    </w:rPr>
                    <w:t>)</w:t>
                  </w:r>
                </w:p>
              </w:tc>
              <w:tc>
                <w:tcPr>
                  <w:tcW w:w="440" w:type="pct"/>
                  <w:noWrap w:val="0"/>
                  <w:vAlign w:val="center"/>
                </w:tcPr>
                <w:p w14:paraId="3C91CEE8">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盐度（‰）</w:t>
                  </w:r>
                </w:p>
              </w:tc>
            </w:tr>
            <w:tr w14:paraId="75D21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 w:type="pct"/>
                  <w:noWrap w:val="0"/>
                  <w:vAlign w:val="center"/>
                </w:tcPr>
                <w:p w14:paraId="5306A573">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1</w:t>
                  </w:r>
                </w:p>
              </w:tc>
              <w:tc>
                <w:tcPr>
                  <w:tcW w:w="1339" w:type="pct"/>
                  <w:noWrap w:val="0"/>
                  <w:vAlign w:val="center"/>
                </w:tcPr>
                <w:p w14:paraId="72DD7A00">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1#A1排污口中心</w:t>
                  </w:r>
                </w:p>
              </w:tc>
              <w:tc>
                <w:tcPr>
                  <w:tcW w:w="249" w:type="pct"/>
                  <w:noWrap w:val="0"/>
                  <w:vAlign w:val="center"/>
                </w:tcPr>
                <w:p w14:paraId="3F9E122A">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表</w:t>
                  </w:r>
                </w:p>
              </w:tc>
              <w:tc>
                <w:tcPr>
                  <w:tcW w:w="419" w:type="pct"/>
                  <w:noWrap w:val="0"/>
                  <w:vAlign w:val="center"/>
                </w:tcPr>
                <w:p w14:paraId="35D7AEC5">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44" w:type="pct"/>
                  <w:noWrap w:val="0"/>
                  <w:vAlign w:val="center"/>
                </w:tcPr>
                <w:p w14:paraId="57558B14">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1736" w:type="dxa"/>
                  <w:noWrap w:val="0"/>
                  <w:vAlign w:val="center"/>
                </w:tcPr>
                <w:p w14:paraId="6E3D9F29">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94" w:type="pct"/>
                  <w:noWrap w:val="0"/>
                  <w:vAlign w:val="center"/>
                </w:tcPr>
                <w:p w14:paraId="4FB14DEE">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94" w:type="pct"/>
                  <w:noWrap w:val="0"/>
                  <w:vAlign w:val="center"/>
                </w:tcPr>
                <w:p w14:paraId="28B25F0A">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440" w:type="pct"/>
                  <w:noWrap w:val="0"/>
                  <w:vAlign w:val="center"/>
                </w:tcPr>
                <w:p w14:paraId="5B2E8273">
                  <w:pPr>
                    <w:adjustRightInd w:val="0"/>
                    <w:snapToGrid w:val="0"/>
                    <w:jc w:val="center"/>
                    <w:rPr>
                      <w:rFonts w:hint="default" w:ascii="Times New Roman" w:hAnsi="Times New Roman" w:eastAsia="宋体" w:cs="Times New Roman"/>
                      <w:color w:val="auto"/>
                      <w:sz w:val="21"/>
                      <w:szCs w:val="21"/>
                      <w:u w:val="none"/>
                      <w:lang w:val="en-US" w:eastAsia="zh-CN" w:bidi="zh-CN"/>
                    </w:rPr>
                  </w:pPr>
                </w:p>
              </w:tc>
            </w:tr>
            <w:tr w14:paraId="1D7A1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 w:type="pct"/>
                  <w:noWrap w:val="0"/>
                  <w:vAlign w:val="center"/>
                </w:tcPr>
                <w:p w14:paraId="7A424FF9">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2</w:t>
                  </w:r>
                </w:p>
              </w:tc>
              <w:tc>
                <w:tcPr>
                  <w:tcW w:w="1339" w:type="pct"/>
                  <w:noWrap w:val="0"/>
                  <w:vAlign w:val="center"/>
                </w:tcPr>
                <w:p w14:paraId="4DB0BA6D">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2#排污口南面1km</w:t>
                  </w:r>
                </w:p>
              </w:tc>
              <w:tc>
                <w:tcPr>
                  <w:tcW w:w="249" w:type="pct"/>
                  <w:noWrap w:val="0"/>
                  <w:vAlign w:val="center"/>
                </w:tcPr>
                <w:p w14:paraId="6149955D">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表</w:t>
                  </w:r>
                </w:p>
              </w:tc>
              <w:tc>
                <w:tcPr>
                  <w:tcW w:w="419" w:type="pct"/>
                  <w:noWrap w:val="0"/>
                  <w:vAlign w:val="center"/>
                </w:tcPr>
                <w:p w14:paraId="197E3CA0">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44" w:type="pct"/>
                  <w:noWrap w:val="0"/>
                  <w:vAlign w:val="center"/>
                </w:tcPr>
                <w:p w14:paraId="06226625">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1736" w:type="dxa"/>
                  <w:noWrap w:val="0"/>
                  <w:vAlign w:val="center"/>
                </w:tcPr>
                <w:p w14:paraId="6535C48B">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94" w:type="pct"/>
                  <w:noWrap w:val="0"/>
                  <w:vAlign w:val="center"/>
                </w:tcPr>
                <w:p w14:paraId="139DFA35">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94" w:type="pct"/>
                  <w:noWrap w:val="0"/>
                  <w:vAlign w:val="center"/>
                </w:tcPr>
                <w:p w14:paraId="12F504AB">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440" w:type="pct"/>
                  <w:noWrap w:val="0"/>
                  <w:vAlign w:val="center"/>
                </w:tcPr>
                <w:p w14:paraId="4EC25EA1">
                  <w:pPr>
                    <w:adjustRightInd w:val="0"/>
                    <w:snapToGrid w:val="0"/>
                    <w:jc w:val="center"/>
                    <w:rPr>
                      <w:rFonts w:hint="default" w:ascii="Times New Roman" w:hAnsi="Times New Roman" w:eastAsia="宋体" w:cs="Times New Roman"/>
                      <w:color w:val="auto"/>
                      <w:sz w:val="21"/>
                      <w:szCs w:val="21"/>
                      <w:u w:val="none"/>
                      <w:lang w:val="en-US" w:eastAsia="zh-CN" w:bidi="zh-CN"/>
                    </w:rPr>
                  </w:pPr>
                </w:p>
              </w:tc>
            </w:tr>
            <w:tr w14:paraId="0D14F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 w:type="pct"/>
                  <w:noWrap w:val="0"/>
                  <w:vAlign w:val="center"/>
                </w:tcPr>
                <w:p w14:paraId="3409895D">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3</w:t>
                  </w:r>
                </w:p>
              </w:tc>
              <w:tc>
                <w:tcPr>
                  <w:tcW w:w="1339" w:type="pct"/>
                  <w:noWrap w:val="0"/>
                  <w:vAlign w:val="center"/>
                </w:tcPr>
                <w:p w14:paraId="103F1924">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3#排污口南面2km</w:t>
                  </w:r>
                </w:p>
              </w:tc>
              <w:tc>
                <w:tcPr>
                  <w:tcW w:w="249" w:type="pct"/>
                  <w:noWrap w:val="0"/>
                  <w:vAlign w:val="center"/>
                </w:tcPr>
                <w:p w14:paraId="46DCD8A6">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表</w:t>
                  </w:r>
                </w:p>
              </w:tc>
              <w:tc>
                <w:tcPr>
                  <w:tcW w:w="419" w:type="pct"/>
                  <w:noWrap w:val="0"/>
                  <w:vAlign w:val="center"/>
                </w:tcPr>
                <w:p w14:paraId="5DF23EB0">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44" w:type="pct"/>
                  <w:noWrap w:val="0"/>
                  <w:vAlign w:val="center"/>
                </w:tcPr>
                <w:p w14:paraId="21DF7760">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1736" w:type="dxa"/>
                  <w:noWrap w:val="0"/>
                  <w:vAlign w:val="center"/>
                </w:tcPr>
                <w:p w14:paraId="6451D46F">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94" w:type="pct"/>
                  <w:noWrap w:val="0"/>
                  <w:vAlign w:val="center"/>
                </w:tcPr>
                <w:p w14:paraId="108E87D8">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94" w:type="pct"/>
                  <w:noWrap w:val="0"/>
                  <w:vAlign w:val="center"/>
                </w:tcPr>
                <w:p w14:paraId="5870A6BF">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440" w:type="pct"/>
                  <w:noWrap w:val="0"/>
                  <w:vAlign w:val="center"/>
                </w:tcPr>
                <w:p w14:paraId="6300055F">
                  <w:pPr>
                    <w:adjustRightInd w:val="0"/>
                    <w:snapToGrid w:val="0"/>
                    <w:jc w:val="center"/>
                    <w:rPr>
                      <w:rFonts w:hint="default" w:ascii="Times New Roman" w:hAnsi="Times New Roman" w:eastAsia="宋体" w:cs="Times New Roman"/>
                      <w:color w:val="auto"/>
                      <w:sz w:val="21"/>
                      <w:szCs w:val="21"/>
                      <w:u w:val="none"/>
                      <w:lang w:val="en-US" w:eastAsia="zh-CN" w:bidi="zh-CN"/>
                    </w:rPr>
                  </w:pPr>
                </w:p>
              </w:tc>
            </w:tr>
            <w:tr w14:paraId="6E1B6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 w:type="pct"/>
                  <w:noWrap w:val="0"/>
                  <w:vAlign w:val="center"/>
                </w:tcPr>
                <w:p w14:paraId="453DB434">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4</w:t>
                  </w:r>
                </w:p>
              </w:tc>
              <w:tc>
                <w:tcPr>
                  <w:tcW w:w="1339" w:type="pct"/>
                  <w:noWrap w:val="0"/>
                  <w:vAlign w:val="center"/>
                </w:tcPr>
                <w:p w14:paraId="17B55909">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4#金鼓江（排污口中心北面1km）</w:t>
                  </w:r>
                </w:p>
              </w:tc>
              <w:tc>
                <w:tcPr>
                  <w:tcW w:w="249" w:type="pct"/>
                  <w:noWrap w:val="0"/>
                  <w:vAlign w:val="center"/>
                </w:tcPr>
                <w:p w14:paraId="2B7B1A86">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表</w:t>
                  </w:r>
                </w:p>
              </w:tc>
              <w:tc>
                <w:tcPr>
                  <w:tcW w:w="419" w:type="pct"/>
                  <w:noWrap w:val="0"/>
                  <w:vAlign w:val="center"/>
                </w:tcPr>
                <w:p w14:paraId="492C2E07">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44" w:type="pct"/>
                  <w:noWrap w:val="0"/>
                  <w:vAlign w:val="center"/>
                </w:tcPr>
                <w:p w14:paraId="1ECE3879">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1736" w:type="dxa"/>
                  <w:noWrap w:val="0"/>
                  <w:vAlign w:val="center"/>
                </w:tcPr>
                <w:p w14:paraId="5DE41FDD">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94" w:type="pct"/>
                  <w:noWrap w:val="0"/>
                  <w:vAlign w:val="center"/>
                </w:tcPr>
                <w:p w14:paraId="40BB4FA9">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94" w:type="pct"/>
                  <w:noWrap w:val="0"/>
                  <w:vAlign w:val="center"/>
                </w:tcPr>
                <w:p w14:paraId="686513E9">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440" w:type="pct"/>
                  <w:noWrap w:val="0"/>
                  <w:vAlign w:val="center"/>
                </w:tcPr>
                <w:p w14:paraId="06D53979">
                  <w:pPr>
                    <w:adjustRightInd w:val="0"/>
                    <w:snapToGrid w:val="0"/>
                    <w:jc w:val="center"/>
                    <w:rPr>
                      <w:rFonts w:hint="default" w:ascii="Times New Roman" w:hAnsi="Times New Roman" w:eastAsia="宋体" w:cs="Times New Roman"/>
                      <w:color w:val="auto"/>
                      <w:sz w:val="21"/>
                      <w:szCs w:val="21"/>
                      <w:u w:val="none"/>
                      <w:lang w:val="en-US" w:eastAsia="zh-CN" w:bidi="zh-CN"/>
                    </w:rPr>
                  </w:pPr>
                </w:p>
              </w:tc>
            </w:tr>
            <w:tr w14:paraId="4FE4E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 w:type="pct"/>
                  <w:noWrap w:val="0"/>
                  <w:vAlign w:val="center"/>
                </w:tcPr>
                <w:p w14:paraId="6E66E0B6">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5</w:t>
                  </w:r>
                </w:p>
              </w:tc>
              <w:tc>
                <w:tcPr>
                  <w:tcW w:w="1339" w:type="pct"/>
                  <w:noWrap w:val="0"/>
                  <w:vAlign w:val="center"/>
                </w:tcPr>
                <w:p w14:paraId="0926EE3C">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5#西面航道（排污口中心西面1km）</w:t>
                  </w:r>
                </w:p>
              </w:tc>
              <w:tc>
                <w:tcPr>
                  <w:tcW w:w="249" w:type="pct"/>
                  <w:noWrap w:val="0"/>
                  <w:vAlign w:val="center"/>
                </w:tcPr>
                <w:p w14:paraId="0667946D">
                  <w:pPr>
                    <w:adjustRightInd w:val="0"/>
                    <w:snapToGrid w:val="0"/>
                    <w:jc w:val="center"/>
                    <w:rPr>
                      <w:rFonts w:hint="default" w:ascii="Times New Roman" w:hAnsi="Times New Roman" w:eastAsia="宋体" w:cs="Times New Roman"/>
                      <w:color w:val="auto"/>
                      <w:sz w:val="21"/>
                      <w:szCs w:val="21"/>
                      <w:u w:val="none"/>
                      <w:lang w:val="en-US" w:eastAsia="zh-CN" w:bidi="zh-CN"/>
                    </w:rPr>
                  </w:pPr>
                  <w:r>
                    <w:rPr>
                      <w:rFonts w:hint="default" w:ascii="Times New Roman" w:hAnsi="Times New Roman" w:eastAsia="宋体" w:cs="Times New Roman"/>
                      <w:color w:val="auto"/>
                      <w:sz w:val="21"/>
                      <w:szCs w:val="21"/>
                      <w:u w:val="none"/>
                      <w:lang w:val="en-US" w:eastAsia="zh-CN" w:bidi="zh-CN"/>
                    </w:rPr>
                    <w:t>表</w:t>
                  </w:r>
                </w:p>
              </w:tc>
              <w:tc>
                <w:tcPr>
                  <w:tcW w:w="419" w:type="pct"/>
                  <w:noWrap w:val="0"/>
                  <w:vAlign w:val="center"/>
                </w:tcPr>
                <w:p w14:paraId="11BF82E6">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44" w:type="pct"/>
                  <w:noWrap w:val="0"/>
                  <w:vAlign w:val="center"/>
                </w:tcPr>
                <w:p w14:paraId="562898DF">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1736" w:type="dxa"/>
                  <w:noWrap w:val="0"/>
                  <w:vAlign w:val="center"/>
                </w:tcPr>
                <w:p w14:paraId="2E57CB9D">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94" w:type="pct"/>
                  <w:noWrap w:val="0"/>
                  <w:vAlign w:val="center"/>
                </w:tcPr>
                <w:p w14:paraId="46171009">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594" w:type="pct"/>
                  <w:noWrap w:val="0"/>
                  <w:vAlign w:val="center"/>
                </w:tcPr>
                <w:p w14:paraId="3FF07A51">
                  <w:pPr>
                    <w:adjustRightInd w:val="0"/>
                    <w:snapToGrid w:val="0"/>
                    <w:jc w:val="center"/>
                    <w:rPr>
                      <w:rFonts w:hint="default" w:ascii="Times New Roman" w:hAnsi="Times New Roman" w:eastAsia="宋体" w:cs="Times New Roman"/>
                      <w:color w:val="auto"/>
                      <w:sz w:val="21"/>
                      <w:szCs w:val="21"/>
                      <w:u w:val="none"/>
                      <w:lang w:val="en-US" w:eastAsia="zh-CN" w:bidi="zh-CN"/>
                    </w:rPr>
                  </w:pPr>
                </w:p>
              </w:tc>
              <w:tc>
                <w:tcPr>
                  <w:tcW w:w="440" w:type="pct"/>
                  <w:noWrap w:val="0"/>
                  <w:vAlign w:val="center"/>
                </w:tcPr>
                <w:p w14:paraId="4C08506D">
                  <w:pPr>
                    <w:adjustRightInd w:val="0"/>
                    <w:snapToGrid w:val="0"/>
                    <w:jc w:val="center"/>
                    <w:rPr>
                      <w:rFonts w:hint="default" w:ascii="Times New Roman" w:hAnsi="Times New Roman" w:eastAsia="宋体" w:cs="Times New Roman"/>
                      <w:color w:val="auto"/>
                      <w:sz w:val="21"/>
                      <w:szCs w:val="21"/>
                      <w:u w:val="none"/>
                      <w:lang w:val="en-US" w:eastAsia="zh-CN" w:bidi="zh-CN"/>
                    </w:rPr>
                  </w:pPr>
                </w:p>
              </w:tc>
            </w:tr>
          </w:tbl>
          <w:p w14:paraId="07F6AD7D">
            <w:pPr>
              <w:pStyle w:val="6"/>
              <w:spacing w:line="500" w:lineRule="exact"/>
              <w:ind w:firstLine="480"/>
              <w:rPr>
                <w:rFonts w:hint="eastAsia" w:ascii="Times New Roman" w:hAnsi="Times New Roman" w:eastAsia="宋体" w:cs="Times New Roman"/>
                <w:kern w:val="0"/>
                <w:sz w:val="24"/>
                <w:lang w:eastAsia="zh-CN"/>
              </w:rPr>
            </w:pPr>
            <w:r>
              <w:rPr>
                <w:rFonts w:hint="eastAsia" w:ascii="Times New Roman" w:hAnsi="Times New Roman" w:eastAsia="宋体" w:cs="Times New Roman"/>
                <w:color w:val="auto"/>
                <w:kern w:val="0"/>
                <w:sz w:val="24"/>
                <w:lang w:val="en-US" w:eastAsia="zh-CN"/>
              </w:rPr>
              <w:t>根据表3-6，钦州港金鼓江排污混合区（GX056DⅣ）各监测因子均符合《海水水质标准》（GB3097-1997）第四类标准。</w:t>
            </w:r>
          </w:p>
          <w:p w14:paraId="1A9E8093">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三、声环境质量状况</w:t>
            </w:r>
          </w:p>
          <w:p w14:paraId="62EBD252">
            <w:pPr>
              <w:pStyle w:val="6"/>
              <w:spacing w:line="500" w:lineRule="exact"/>
              <w:ind w:firstLine="480"/>
              <w:rPr>
                <w:rFonts w:hint="eastAsia" w:ascii="Times New Roman" w:hAnsi="Times New Roman" w:eastAsia="宋体" w:cs="Times New Roman"/>
                <w:color w:val="000000"/>
                <w:kern w:val="0"/>
                <w:sz w:val="24"/>
              </w:rPr>
            </w:pPr>
            <w:r>
              <w:rPr>
                <w:rFonts w:hint="eastAsia" w:ascii="Times New Roman" w:hAnsi="Times New Roman" w:eastAsia="宋体" w:cs="Times New Roman"/>
                <w:color w:val="000000"/>
                <w:kern w:val="0"/>
                <w:sz w:val="24"/>
                <w:u w:val="none"/>
                <w:lang w:val="en-US" w:eastAsia="zh-CN"/>
              </w:rPr>
              <w:t>根据《钦州市中心城区声环境功能区划》（钦政办规〔2023〕11号），项目评价区域声环境质量标准执行《声环境质量标准》（GB3096-2008）3类区标准</w:t>
            </w:r>
            <w:r>
              <w:rPr>
                <w:rFonts w:hint="eastAsia" w:ascii="Times New Roman" w:hAnsi="Times New Roman" w:eastAsia="宋体" w:cs="Times New Roman"/>
                <w:color w:val="000000"/>
                <w:kern w:val="0"/>
                <w:sz w:val="24"/>
                <w:u w:val="none"/>
              </w:rPr>
              <w:t>。</w:t>
            </w:r>
          </w:p>
          <w:p w14:paraId="1B2B5E26">
            <w:pPr>
              <w:pStyle w:val="6"/>
              <w:spacing w:line="500" w:lineRule="exact"/>
              <w:ind w:firstLine="48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000000"/>
                <w:kern w:val="0"/>
                <w:sz w:val="24"/>
                <w:lang w:eastAsia="zh-CN"/>
              </w:rPr>
              <w:t>项目周边</w:t>
            </w:r>
            <w:r>
              <w:rPr>
                <w:rFonts w:hint="eastAsia" w:ascii="Times New Roman" w:hAnsi="Times New Roman" w:eastAsia="宋体" w:cs="Times New Roman"/>
                <w:color w:val="000000"/>
                <w:kern w:val="0"/>
                <w:sz w:val="24"/>
                <w:lang w:val="en-US" w:eastAsia="zh-CN"/>
              </w:rPr>
              <w:t>50m范围内无敏感点，根据建设项目环境影响报告表编制技术指南</w:t>
            </w:r>
            <w:r>
              <w:rPr>
                <w:rFonts w:hint="eastAsia" w:ascii="Times New Roman" w:hAnsi="Times New Roman" w:eastAsia="宋体" w:cs="Times New Roman"/>
                <w:color w:val="auto"/>
                <w:kern w:val="0"/>
                <w:sz w:val="24"/>
                <w:lang w:val="en-US" w:eastAsia="zh-CN"/>
              </w:rPr>
              <w:t>（污染影响类）（试行），项目不再进行声环境质量现状监测。</w:t>
            </w:r>
          </w:p>
          <w:p w14:paraId="1BEF8459">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四、地下水环境质量状况</w:t>
            </w:r>
          </w:p>
          <w:p w14:paraId="544DDFB7">
            <w:pPr>
              <w:pStyle w:val="6"/>
              <w:spacing w:line="500" w:lineRule="exact"/>
              <w:ind w:firstLine="48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项目周边500m范围内无地下水敏感目标，无需开展地下水专项评价。</w:t>
            </w:r>
          </w:p>
          <w:p w14:paraId="22A94D82">
            <w:pPr>
              <w:pStyle w:val="6"/>
              <w:spacing w:line="500" w:lineRule="exact"/>
              <w:ind w:firstLine="48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根据《建设项目环境影响报告表编制技术指南（污染影响类）（试行）》，地下水环境原则上不</w:t>
            </w:r>
            <w:r>
              <w:rPr>
                <w:rFonts w:hint="eastAsia" w:ascii="Times New Roman" w:hAnsi="Times New Roman" w:eastAsia="宋体" w:cs="Times New Roman"/>
                <w:kern w:val="0"/>
                <w:sz w:val="24"/>
                <w:highlight w:val="none"/>
                <w:lang w:val="en-US" w:eastAsia="zh-CN"/>
              </w:rPr>
              <w:t>开展</w:t>
            </w:r>
            <w:r>
              <w:rPr>
                <w:rFonts w:hint="eastAsia" w:ascii="Times New Roman" w:hAnsi="Times New Roman" w:eastAsia="宋体" w:cs="Times New Roman"/>
                <w:kern w:val="0"/>
                <w:sz w:val="24"/>
                <w:lang w:eastAsia="zh-CN"/>
              </w:rPr>
              <w:t>环境质量现状调查，</w:t>
            </w:r>
            <w:r>
              <w:rPr>
                <w:rFonts w:hint="eastAsia" w:ascii="Times New Roman" w:hAnsi="Times New Roman" w:eastAsia="宋体" w:cs="Times New Roman"/>
                <w:kern w:val="0"/>
                <w:sz w:val="24"/>
                <w:lang w:val="en-US" w:eastAsia="zh-CN"/>
              </w:rPr>
              <w:t>项目储存有大量液态危险化学品，存在泄漏垂直入渗，</w:t>
            </w:r>
            <w:r>
              <w:rPr>
                <w:rFonts w:hint="eastAsia" w:ascii="Times New Roman" w:hAnsi="Times New Roman" w:eastAsia="宋体" w:cs="Times New Roman"/>
                <w:kern w:val="0"/>
                <w:sz w:val="24"/>
                <w:lang w:eastAsia="zh-CN"/>
              </w:rPr>
              <w:t>存在地下水环境污染途径。</w:t>
            </w:r>
          </w:p>
          <w:p w14:paraId="3F383269">
            <w:pPr>
              <w:pStyle w:val="6"/>
              <w:spacing w:line="500" w:lineRule="exact"/>
              <w:ind w:firstLine="480"/>
              <w:rPr>
                <w:rFonts w:hint="eastAsia" w:ascii="Times New Roman" w:hAnsi="Times New Roman" w:eastAsia="宋体" w:cs="Times New Roman"/>
                <w:color w:val="0000FF"/>
                <w:kern w:val="0"/>
                <w:sz w:val="24"/>
                <w:lang w:eastAsia="zh-CN"/>
              </w:rPr>
            </w:pPr>
            <w:r>
              <w:rPr>
                <w:rFonts w:hint="eastAsia" w:ascii="Times New Roman" w:hAnsi="Times New Roman" w:eastAsia="宋体" w:cs="Times New Roman"/>
                <w:color w:val="auto"/>
                <w:kern w:val="0"/>
                <w:sz w:val="24"/>
                <w:lang w:val="en-US" w:eastAsia="zh-CN"/>
              </w:rPr>
              <w:t>广西华谊新材料有限公司30万吨/年生物可降解材料PBAT项目</w:t>
            </w:r>
            <w:r>
              <w:rPr>
                <w:rFonts w:hint="eastAsia" w:ascii="Times New Roman" w:hAnsi="Times New Roman" w:eastAsia="宋体" w:cs="Times New Roman"/>
                <w:color w:val="auto"/>
                <w:kern w:val="0"/>
                <w:sz w:val="24"/>
                <w:lang w:eastAsia="zh-CN"/>
              </w:rPr>
              <w:t>位于本项目</w:t>
            </w:r>
            <w:r>
              <w:rPr>
                <w:rFonts w:hint="eastAsia" w:ascii="Times New Roman" w:hAnsi="Times New Roman" w:eastAsia="宋体" w:cs="Times New Roman"/>
                <w:color w:val="auto"/>
                <w:kern w:val="0"/>
                <w:sz w:val="24"/>
                <w:lang w:val="en-US" w:eastAsia="zh-CN"/>
              </w:rPr>
              <w:t>西</w:t>
            </w:r>
            <w:r>
              <w:rPr>
                <w:rFonts w:hint="eastAsia" w:ascii="Times New Roman" w:hAnsi="Times New Roman" w:eastAsia="宋体" w:cs="Times New Roman"/>
                <w:color w:val="auto"/>
                <w:kern w:val="0"/>
                <w:sz w:val="24"/>
                <w:lang w:eastAsia="zh-CN"/>
              </w:rPr>
              <w:t>面</w:t>
            </w:r>
            <w:r>
              <w:rPr>
                <w:rFonts w:hint="eastAsia" w:ascii="Times New Roman" w:hAnsi="Times New Roman" w:eastAsia="宋体" w:cs="Times New Roman"/>
                <w:color w:val="auto"/>
                <w:kern w:val="0"/>
                <w:sz w:val="24"/>
                <w:lang w:val="en-US" w:eastAsia="zh-CN"/>
              </w:rPr>
              <w:t>约1.68k</w:t>
            </w:r>
            <w:r>
              <w:rPr>
                <w:rFonts w:hint="eastAsia" w:ascii="Times New Roman" w:hAnsi="Times New Roman" w:eastAsia="宋体" w:cs="Times New Roman"/>
                <w:color w:val="auto"/>
                <w:kern w:val="0"/>
                <w:sz w:val="24"/>
                <w:lang w:eastAsia="zh-CN"/>
              </w:rPr>
              <w:t>m，与本项目同属一</w:t>
            </w:r>
            <w:r>
              <w:rPr>
                <w:rFonts w:hint="eastAsia" w:ascii="Times New Roman" w:hAnsi="Times New Roman" w:eastAsia="宋体" w:cs="Times New Roman"/>
                <w:color w:val="auto"/>
                <w:kern w:val="0"/>
                <w:sz w:val="24"/>
                <w:highlight w:val="none"/>
                <w:lang w:eastAsia="zh-CN"/>
              </w:rPr>
              <w:t>水文地</w:t>
            </w:r>
            <w:r>
              <w:rPr>
                <w:rFonts w:hint="eastAsia" w:ascii="Times New Roman" w:hAnsi="Times New Roman" w:eastAsia="宋体" w:cs="Times New Roman"/>
                <w:color w:val="auto"/>
                <w:kern w:val="0"/>
                <w:sz w:val="24"/>
                <w:highlight w:val="none"/>
                <w:lang w:val="en-US" w:eastAsia="zh-CN"/>
              </w:rPr>
              <w:t>质</w:t>
            </w:r>
            <w:r>
              <w:rPr>
                <w:rFonts w:hint="eastAsia" w:ascii="Times New Roman" w:hAnsi="Times New Roman" w:eastAsia="宋体" w:cs="Times New Roman"/>
                <w:color w:val="auto"/>
                <w:kern w:val="0"/>
                <w:sz w:val="24"/>
                <w:highlight w:val="none"/>
                <w:lang w:eastAsia="zh-CN"/>
              </w:rPr>
              <w:t>单元</w:t>
            </w:r>
            <w:r>
              <w:rPr>
                <w:rFonts w:hint="eastAsia" w:ascii="Times New Roman" w:hAnsi="Times New Roman" w:eastAsia="宋体" w:cs="Times New Roman"/>
                <w:color w:val="auto"/>
                <w:kern w:val="0"/>
                <w:sz w:val="24"/>
                <w:lang w:val="en-US" w:eastAsia="zh-CN"/>
              </w:rPr>
              <w:t>，均为水井坑水文地质单元</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位于项目地下水上游，</w:t>
            </w:r>
            <w:r>
              <w:rPr>
                <w:rFonts w:hint="eastAsia" w:ascii="Times New Roman" w:hAnsi="Times New Roman" w:eastAsia="宋体" w:cs="Times New Roman"/>
                <w:color w:val="auto"/>
                <w:kern w:val="0"/>
                <w:sz w:val="24"/>
                <w:lang w:eastAsia="zh-CN"/>
              </w:rPr>
              <w:t>场地情况相似。本次地下水水文资料引用《广西华谊新材料有限公司30万吨年生物可降解材料PBAT项目和PBAT配套1,4～丁二醇项目水文地质勘查报告》（2022.05）。</w:t>
            </w:r>
          </w:p>
          <w:p w14:paraId="3D8B920E">
            <w:pPr>
              <w:pStyle w:val="6"/>
              <w:spacing w:line="500" w:lineRule="exact"/>
              <w:ind w:firstLine="48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val="en-US" w:eastAsia="zh-CN"/>
              </w:rPr>
              <w:t>1、</w:t>
            </w:r>
            <w:r>
              <w:rPr>
                <w:rFonts w:hint="eastAsia" w:ascii="Times New Roman" w:hAnsi="Times New Roman" w:eastAsia="宋体" w:cs="Times New Roman"/>
                <w:kern w:val="0"/>
                <w:sz w:val="24"/>
                <w:lang w:eastAsia="zh-CN"/>
              </w:rPr>
              <w:t>包气带防污性能</w:t>
            </w:r>
          </w:p>
          <w:p w14:paraId="521FC045">
            <w:pPr>
              <w:pStyle w:val="6"/>
              <w:spacing w:line="500" w:lineRule="exact"/>
              <w:ind w:firstLine="480"/>
              <w:rPr>
                <w:rFonts w:hint="eastAsia" w:ascii="Times New Roman" w:hAnsi="Times New Roman" w:eastAsia="宋体" w:cs="Times New Roman"/>
                <w:color w:val="0000FF"/>
                <w:kern w:val="0"/>
                <w:sz w:val="24"/>
                <w:lang w:eastAsia="zh-CN"/>
              </w:rPr>
            </w:pPr>
            <w:r>
              <w:rPr>
                <w:rFonts w:hint="eastAsia" w:ascii="Times New Roman" w:hAnsi="Times New Roman" w:eastAsia="宋体" w:cs="Times New Roman"/>
                <w:color w:val="auto"/>
                <w:kern w:val="0"/>
                <w:sz w:val="24"/>
                <w:lang w:eastAsia="zh-CN"/>
              </w:rPr>
              <w:t>场区的包气带由素填土、</w:t>
            </w:r>
            <w:r>
              <w:rPr>
                <w:rFonts w:hint="eastAsia" w:cs="Times New Roman"/>
                <w:color w:val="auto"/>
                <w:kern w:val="0"/>
                <w:sz w:val="24"/>
                <w:lang w:eastAsia="zh-CN"/>
              </w:rPr>
              <w:t>粉质粘土</w:t>
            </w:r>
            <w:r>
              <w:rPr>
                <w:rFonts w:hint="eastAsia" w:ascii="Times New Roman" w:hAnsi="Times New Roman" w:eastAsia="宋体" w:cs="Times New Roman"/>
                <w:color w:val="auto"/>
                <w:kern w:val="0"/>
                <w:sz w:val="24"/>
                <w:lang w:eastAsia="zh-CN"/>
              </w:rPr>
              <w:t>和泥质粉砂岩组成，泥质粉砂岩既是包气带又是含水层。包气带以素填土及</w:t>
            </w:r>
            <w:r>
              <w:rPr>
                <w:rFonts w:hint="eastAsia" w:cs="Times New Roman"/>
                <w:color w:val="auto"/>
                <w:kern w:val="0"/>
                <w:sz w:val="24"/>
                <w:lang w:eastAsia="zh-CN"/>
              </w:rPr>
              <w:t>粉质粘土</w:t>
            </w:r>
            <w:r>
              <w:rPr>
                <w:rFonts w:hint="eastAsia" w:ascii="Times New Roman" w:hAnsi="Times New Roman" w:eastAsia="宋体" w:cs="Times New Roman"/>
                <w:color w:val="auto"/>
                <w:kern w:val="0"/>
                <w:sz w:val="24"/>
                <w:lang w:eastAsia="zh-CN"/>
              </w:rPr>
              <w:t>为主。场区地下水类型主要为碎屑岩构造裂隙水，属于潜水含水层。根据渗水、注水试验，项目区及周围包气带填土渗透</w:t>
            </w:r>
            <w:r>
              <w:rPr>
                <w:rFonts w:hint="eastAsia" w:ascii="Times New Roman" w:hAnsi="Times New Roman" w:eastAsia="宋体" w:cs="Times New Roman"/>
                <w:color w:val="auto"/>
                <w:kern w:val="0"/>
                <w:sz w:val="24"/>
                <w:lang w:val="en-US" w:eastAsia="zh-CN"/>
              </w:rPr>
              <w:t>为中等透水性；</w:t>
            </w:r>
            <w:r>
              <w:rPr>
                <w:rFonts w:hint="eastAsia" w:cs="Times New Roman"/>
                <w:color w:val="auto"/>
                <w:kern w:val="0"/>
                <w:sz w:val="24"/>
                <w:lang w:val="en-US" w:eastAsia="zh-CN"/>
              </w:rPr>
              <w:t>粉质粘土</w:t>
            </w:r>
            <w:r>
              <w:rPr>
                <w:rFonts w:hint="eastAsia" w:ascii="Times New Roman" w:hAnsi="Times New Roman" w:eastAsia="宋体" w:cs="Times New Roman"/>
                <w:color w:val="auto"/>
                <w:kern w:val="0"/>
                <w:sz w:val="24"/>
                <w:lang w:eastAsia="zh-CN"/>
              </w:rPr>
              <w:t>渗透为</w:t>
            </w:r>
            <w:r>
              <w:rPr>
                <w:rFonts w:hint="eastAsia" w:ascii="Times New Roman" w:hAnsi="Times New Roman" w:eastAsia="宋体" w:cs="Times New Roman"/>
                <w:color w:val="auto"/>
                <w:kern w:val="0"/>
                <w:sz w:val="24"/>
                <w:lang w:val="en-US" w:eastAsia="zh-CN"/>
              </w:rPr>
              <w:t>弱</w:t>
            </w:r>
            <w:r>
              <w:rPr>
                <w:rFonts w:hint="eastAsia" w:ascii="Times New Roman" w:hAnsi="Times New Roman" w:eastAsia="宋体" w:cs="Times New Roman"/>
                <w:color w:val="auto"/>
                <w:kern w:val="0"/>
                <w:sz w:val="24"/>
                <w:lang w:eastAsia="zh-CN"/>
              </w:rPr>
              <w:t>透水性；泥质粉砂岩平均渗透为弱透水性。</w:t>
            </w:r>
          </w:p>
          <w:p w14:paraId="38DE6B71">
            <w:pPr>
              <w:pStyle w:val="6"/>
              <w:spacing w:line="500" w:lineRule="exact"/>
              <w:ind w:firstLine="48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说明项目区防污性能较差，若发生渗漏，污染因子会</w:t>
            </w:r>
            <w:r>
              <w:rPr>
                <w:rFonts w:hint="eastAsia" w:cs="Times New Roman"/>
                <w:kern w:val="0"/>
                <w:sz w:val="24"/>
                <w:lang w:eastAsia="zh-CN"/>
              </w:rPr>
              <w:t>渗入</w:t>
            </w:r>
            <w:r>
              <w:rPr>
                <w:rFonts w:hint="eastAsia" w:ascii="Times New Roman" w:hAnsi="Times New Roman" w:eastAsia="宋体" w:cs="Times New Roman"/>
                <w:kern w:val="0"/>
                <w:sz w:val="24"/>
                <w:lang w:eastAsia="zh-CN"/>
              </w:rPr>
              <w:t>地下水，对场地及下游的地下水造成一定的污染。</w:t>
            </w:r>
          </w:p>
          <w:p w14:paraId="176DAAAE">
            <w:pPr>
              <w:pStyle w:val="6"/>
              <w:spacing w:line="500" w:lineRule="exact"/>
              <w:ind w:firstLine="48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val="en-US" w:eastAsia="zh-CN"/>
              </w:rPr>
              <w:t>2、</w:t>
            </w:r>
            <w:r>
              <w:rPr>
                <w:rFonts w:hint="eastAsia" w:ascii="Times New Roman" w:hAnsi="Times New Roman" w:eastAsia="宋体" w:cs="Times New Roman"/>
                <w:kern w:val="0"/>
                <w:sz w:val="24"/>
                <w:lang w:eastAsia="zh-CN"/>
              </w:rPr>
              <w:t>场区含水层</w:t>
            </w:r>
          </w:p>
          <w:p w14:paraId="6E03BEA4">
            <w:pPr>
              <w:pStyle w:val="6"/>
              <w:spacing w:line="500" w:lineRule="exact"/>
              <w:ind w:firstLine="48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⑴碎屑岩构造裂隙水含水层</w:t>
            </w:r>
          </w:p>
          <w:p w14:paraId="1E68E5D7">
            <w:pPr>
              <w:pStyle w:val="6"/>
              <w:spacing w:line="500" w:lineRule="exact"/>
              <w:ind w:firstLine="480"/>
              <w:rPr>
                <w:rFonts w:hint="eastAsia" w:ascii="Times New Roman" w:hAnsi="Times New Roman" w:eastAsia="宋体" w:cs="Times New Roman"/>
                <w:color w:val="0000FF"/>
                <w:kern w:val="0"/>
                <w:sz w:val="24"/>
                <w:lang w:eastAsia="zh-CN"/>
              </w:rPr>
            </w:pPr>
            <w:r>
              <w:rPr>
                <w:rFonts w:hint="eastAsia" w:ascii="Times New Roman" w:hAnsi="Times New Roman" w:eastAsia="宋体" w:cs="Times New Roman"/>
                <w:color w:val="auto"/>
                <w:kern w:val="0"/>
                <w:sz w:val="24"/>
                <w:lang w:eastAsia="zh-CN"/>
              </w:rPr>
              <w:t>含水岩组为志留系下统连滩群第五组（S</w:t>
            </w:r>
            <w:r>
              <w:rPr>
                <w:rFonts w:hint="eastAsia" w:ascii="Times New Roman" w:hAnsi="Times New Roman" w:eastAsia="宋体" w:cs="Times New Roman"/>
                <w:color w:val="auto"/>
                <w:kern w:val="0"/>
                <w:sz w:val="24"/>
                <w:vertAlign w:val="subscript"/>
                <w:lang w:eastAsia="zh-CN"/>
              </w:rPr>
              <w:t>1</w:t>
            </w:r>
            <w:r>
              <w:rPr>
                <w:rFonts w:hint="eastAsia" w:ascii="Times New Roman" w:hAnsi="Times New Roman" w:eastAsia="宋体" w:cs="Times New Roman"/>
                <w:color w:val="auto"/>
                <w:kern w:val="0"/>
                <w:sz w:val="24"/>
                <w:lang w:eastAsia="zh-CN"/>
              </w:rPr>
              <w:t>ln</w:t>
            </w:r>
            <w:r>
              <w:rPr>
                <w:rFonts w:hint="eastAsia" w:ascii="Times New Roman" w:hAnsi="Times New Roman" w:eastAsia="宋体" w:cs="Times New Roman"/>
                <w:color w:val="auto"/>
                <w:kern w:val="0"/>
                <w:sz w:val="24"/>
                <w:vertAlign w:val="superscript"/>
                <w:lang w:eastAsia="zh-CN"/>
              </w:rPr>
              <w:t>e</w:t>
            </w:r>
            <w:r>
              <w:rPr>
                <w:rFonts w:hint="eastAsia" w:ascii="Times New Roman" w:hAnsi="Times New Roman" w:eastAsia="宋体" w:cs="Times New Roman"/>
                <w:color w:val="auto"/>
                <w:kern w:val="0"/>
                <w:sz w:val="24"/>
                <w:lang w:eastAsia="zh-CN"/>
              </w:rPr>
              <w:t>）泥质粉砂岩，地下水主要赋存于志留系下统连滩群第五组（S</w:t>
            </w:r>
            <w:r>
              <w:rPr>
                <w:rFonts w:hint="eastAsia" w:ascii="Times New Roman" w:hAnsi="Times New Roman" w:eastAsia="宋体" w:cs="Times New Roman"/>
                <w:color w:val="auto"/>
                <w:kern w:val="0"/>
                <w:sz w:val="24"/>
                <w:vertAlign w:val="subscript"/>
                <w:lang w:eastAsia="zh-CN"/>
              </w:rPr>
              <w:t>1</w:t>
            </w:r>
            <w:r>
              <w:rPr>
                <w:rFonts w:hint="eastAsia" w:ascii="Times New Roman" w:hAnsi="Times New Roman" w:eastAsia="宋体" w:cs="Times New Roman"/>
                <w:color w:val="auto"/>
                <w:kern w:val="0"/>
                <w:sz w:val="24"/>
                <w:lang w:eastAsia="zh-CN"/>
              </w:rPr>
              <w:t>ln</w:t>
            </w:r>
            <w:r>
              <w:rPr>
                <w:rFonts w:hint="eastAsia" w:ascii="Times New Roman" w:hAnsi="Times New Roman" w:eastAsia="宋体" w:cs="Times New Roman"/>
                <w:color w:val="auto"/>
                <w:kern w:val="0"/>
                <w:sz w:val="24"/>
                <w:vertAlign w:val="superscript"/>
                <w:lang w:eastAsia="zh-CN"/>
              </w:rPr>
              <w:t>e</w:t>
            </w:r>
            <w:r>
              <w:rPr>
                <w:rFonts w:hint="eastAsia" w:ascii="Times New Roman" w:hAnsi="Times New Roman" w:eastAsia="宋体" w:cs="Times New Roman"/>
                <w:color w:val="auto"/>
                <w:kern w:val="0"/>
                <w:sz w:val="24"/>
                <w:lang w:eastAsia="zh-CN"/>
              </w:rPr>
              <w:t>）泥质粉砂岩的构造裂隙中，主要分布于整个项目区，为项目区主要含水层。</w:t>
            </w:r>
          </w:p>
          <w:p w14:paraId="135DF7C7">
            <w:pPr>
              <w:pStyle w:val="6"/>
              <w:spacing w:line="500" w:lineRule="exact"/>
              <w:ind w:firstLine="480"/>
              <w:rPr>
                <w:rFonts w:hint="eastAsia" w:ascii="Times New Roman" w:hAnsi="Times New Roman" w:eastAsia="宋体" w:cs="Times New Roman"/>
                <w:color w:val="auto"/>
                <w:kern w:val="0"/>
                <w:sz w:val="24"/>
                <w:lang w:eastAsia="zh-CN"/>
              </w:rPr>
            </w:pPr>
            <w:r>
              <w:rPr>
                <w:rFonts w:hint="eastAsia" w:ascii="Times New Roman" w:hAnsi="Times New Roman" w:eastAsia="宋体" w:cs="Times New Roman"/>
                <w:color w:val="auto"/>
                <w:kern w:val="0"/>
                <w:sz w:val="24"/>
                <w:lang w:eastAsia="zh-CN"/>
              </w:rPr>
              <w:t>⑵松散岩类孔隙水含水层</w:t>
            </w:r>
          </w:p>
          <w:p w14:paraId="5E9AA6C8">
            <w:pPr>
              <w:pStyle w:val="6"/>
              <w:spacing w:line="500" w:lineRule="exact"/>
              <w:ind w:firstLine="480"/>
              <w:rPr>
                <w:rFonts w:hint="eastAsia" w:ascii="Times New Roman" w:hAnsi="Times New Roman" w:eastAsia="宋体" w:cs="Times New Roman"/>
                <w:color w:val="auto"/>
                <w:kern w:val="0"/>
                <w:sz w:val="24"/>
                <w:lang w:eastAsia="zh-CN"/>
              </w:rPr>
            </w:pPr>
            <w:r>
              <w:rPr>
                <w:rFonts w:hint="eastAsia" w:ascii="Times New Roman" w:hAnsi="Times New Roman" w:eastAsia="宋体" w:cs="Times New Roman"/>
                <w:color w:val="auto"/>
                <w:kern w:val="0"/>
                <w:sz w:val="24"/>
                <w:lang w:eastAsia="zh-CN"/>
              </w:rPr>
              <w:t>地下水主要赋存在素填土、粉质黏土等松散土层孔隙中，由于粉质黏土透水性能相对较差，可视为相对隔水层。</w:t>
            </w:r>
          </w:p>
          <w:p w14:paraId="7E95BD54">
            <w:pPr>
              <w:pStyle w:val="6"/>
              <w:spacing w:line="500" w:lineRule="exact"/>
              <w:ind w:firstLine="480"/>
              <w:rPr>
                <w:rFonts w:hint="eastAsia" w:ascii="Times New Roman" w:hAnsi="Times New Roman" w:eastAsia="宋体" w:cs="Times New Roman"/>
                <w:color w:val="auto"/>
                <w:kern w:val="0"/>
                <w:sz w:val="24"/>
                <w:lang w:eastAsia="zh-CN"/>
              </w:rPr>
            </w:pPr>
            <w:r>
              <w:rPr>
                <w:rFonts w:hint="eastAsia" w:ascii="Times New Roman" w:hAnsi="Times New Roman" w:eastAsia="宋体" w:cs="Times New Roman"/>
                <w:color w:val="auto"/>
                <w:kern w:val="0"/>
                <w:sz w:val="24"/>
                <w:lang w:val="en-US" w:eastAsia="zh-CN"/>
              </w:rPr>
              <w:t>3、</w:t>
            </w:r>
            <w:r>
              <w:rPr>
                <w:rFonts w:hint="eastAsia" w:ascii="Times New Roman" w:hAnsi="Times New Roman" w:eastAsia="宋体" w:cs="Times New Roman"/>
                <w:color w:val="auto"/>
                <w:kern w:val="0"/>
                <w:sz w:val="24"/>
                <w:lang w:eastAsia="zh-CN"/>
              </w:rPr>
              <w:t>地下水污染途径及范围</w:t>
            </w:r>
          </w:p>
          <w:p w14:paraId="5CA78F7A">
            <w:pPr>
              <w:pStyle w:val="6"/>
              <w:spacing w:line="500" w:lineRule="exact"/>
              <w:ind w:firstLine="480"/>
              <w:rPr>
                <w:rFonts w:hint="eastAsia" w:ascii="Times New Roman" w:hAnsi="Times New Roman" w:eastAsia="宋体" w:cs="Times New Roman"/>
                <w:color w:val="auto"/>
                <w:kern w:val="0"/>
                <w:sz w:val="24"/>
                <w:lang w:eastAsia="zh-CN"/>
              </w:rPr>
            </w:pPr>
            <w:r>
              <w:rPr>
                <w:rFonts w:hint="eastAsia" w:ascii="Times New Roman" w:hAnsi="Times New Roman" w:eastAsia="宋体" w:cs="Times New Roman"/>
                <w:color w:val="auto"/>
                <w:kern w:val="0"/>
                <w:sz w:val="24"/>
                <w:lang w:eastAsia="zh-CN"/>
              </w:rPr>
              <w:t>项目投产运行后，地下水的污染途径主要为：</w:t>
            </w:r>
            <w:r>
              <w:rPr>
                <w:rFonts w:hint="eastAsia" w:ascii="Times New Roman" w:hAnsi="Times New Roman" w:eastAsia="宋体" w:cs="Times New Roman"/>
                <w:color w:val="auto"/>
                <w:kern w:val="0"/>
                <w:sz w:val="24"/>
                <w:lang w:val="en-US" w:eastAsia="zh-CN"/>
              </w:rPr>
              <w:t>事故状态下液态危险化学品泄漏</w:t>
            </w:r>
            <w:r>
              <w:rPr>
                <w:rFonts w:hint="eastAsia" w:cs="Times New Roman"/>
                <w:color w:val="auto"/>
                <w:kern w:val="0"/>
                <w:sz w:val="24"/>
                <w:lang w:val="en-US" w:eastAsia="zh-CN"/>
              </w:rPr>
              <w:t>渗入</w:t>
            </w:r>
            <w:r>
              <w:rPr>
                <w:rFonts w:hint="eastAsia" w:ascii="Times New Roman" w:hAnsi="Times New Roman" w:eastAsia="宋体" w:cs="Times New Roman"/>
                <w:color w:val="auto"/>
                <w:kern w:val="0"/>
                <w:sz w:val="24"/>
                <w:lang w:val="en-US" w:eastAsia="zh-CN"/>
              </w:rPr>
              <w:t>地下水</w:t>
            </w:r>
            <w:r>
              <w:rPr>
                <w:rFonts w:hint="eastAsia" w:ascii="Times New Roman" w:hAnsi="Times New Roman" w:eastAsia="宋体" w:cs="Times New Roman"/>
                <w:color w:val="auto"/>
                <w:kern w:val="0"/>
                <w:sz w:val="24"/>
                <w:lang w:eastAsia="zh-CN"/>
              </w:rPr>
              <w:t>，污染主要是沿浅部土岩层孔隙裂隙渗流向</w:t>
            </w:r>
            <w:r>
              <w:rPr>
                <w:rFonts w:hint="eastAsia" w:ascii="Times New Roman" w:hAnsi="Times New Roman" w:eastAsia="宋体" w:cs="Times New Roman"/>
                <w:color w:val="auto"/>
                <w:kern w:val="0"/>
                <w:sz w:val="24"/>
                <w:lang w:val="en-US" w:eastAsia="zh-CN"/>
              </w:rPr>
              <w:t>金鼓江进入</w:t>
            </w:r>
            <w:r>
              <w:rPr>
                <w:rFonts w:hint="eastAsia" w:ascii="Times New Roman" w:hAnsi="Times New Roman" w:eastAsia="宋体" w:cs="Times New Roman"/>
                <w:color w:val="auto"/>
                <w:kern w:val="0"/>
                <w:sz w:val="24"/>
                <w:lang w:eastAsia="zh-CN"/>
              </w:rPr>
              <w:t>钦州湾海域一带，其范围为场区至下游钦州湾海域沿岸一带。</w:t>
            </w:r>
          </w:p>
          <w:p w14:paraId="73DD31C0">
            <w:pPr>
              <w:pStyle w:val="6"/>
              <w:spacing w:line="500" w:lineRule="exact"/>
              <w:ind w:firstLine="48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4、地下水水质调查</w:t>
            </w:r>
          </w:p>
          <w:p w14:paraId="716CF290">
            <w:pPr>
              <w:pStyle w:val="6"/>
              <w:spacing w:line="500" w:lineRule="exact"/>
              <w:ind w:firstLine="480"/>
              <w:rPr>
                <w:rFonts w:hint="eastAsia" w:ascii="Times New Roman" w:hAnsi="Times New Roman" w:eastAsia="宋体" w:cs="Times New Roman"/>
                <w:color w:val="auto"/>
                <w:kern w:val="0"/>
                <w:sz w:val="24"/>
                <w:lang w:eastAsia="zh-CN"/>
              </w:rPr>
            </w:pPr>
            <w:r>
              <w:rPr>
                <w:rFonts w:hint="eastAsia" w:ascii="Times New Roman" w:hAnsi="Times New Roman" w:eastAsia="宋体" w:cs="Times New Roman"/>
                <w:color w:val="auto"/>
                <w:kern w:val="0"/>
                <w:sz w:val="24"/>
                <w:lang w:eastAsia="zh-CN"/>
              </w:rPr>
              <w:t>为了解项目区域的地下水环境质量现状，本次</w:t>
            </w:r>
            <w:r>
              <w:rPr>
                <w:rFonts w:hint="eastAsia" w:ascii="Times New Roman" w:hAnsi="Times New Roman" w:eastAsia="宋体" w:cs="Times New Roman"/>
                <w:color w:val="auto"/>
                <w:kern w:val="0"/>
                <w:sz w:val="24"/>
                <w:lang w:val="en-US" w:eastAsia="zh-CN"/>
              </w:rPr>
              <w:t>评价引用广西正信检测技术有限公司</w:t>
            </w:r>
            <w:r>
              <w:rPr>
                <w:rFonts w:hint="eastAsia" w:ascii="Times New Roman" w:hAnsi="Times New Roman" w:eastAsia="宋体" w:cs="Times New Roman"/>
                <w:color w:val="auto"/>
                <w:kern w:val="0"/>
                <w:sz w:val="24"/>
                <w:lang w:eastAsia="zh-CN"/>
              </w:rPr>
              <w:t>于202</w:t>
            </w:r>
            <w:r>
              <w:rPr>
                <w:rFonts w:hint="eastAsia" w:cs="Times New Roman"/>
                <w:color w:val="auto"/>
                <w:kern w:val="0"/>
                <w:sz w:val="24"/>
                <w:lang w:val="en-US" w:eastAsia="zh-CN"/>
              </w:rPr>
              <w:t>4</w:t>
            </w:r>
            <w:r>
              <w:rPr>
                <w:rFonts w:hint="eastAsia" w:ascii="Times New Roman" w:hAnsi="Times New Roman" w:eastAsia="宋体" w:cs="Times New Roman"/>
                <w:color w:val="auto"/>
                <w:kern w:val="0"/>
                <w:sz w:val="24"/>
                <w:lang w:eastAsia="zh-CN"/>
              </w:rPr>
              <w:t>年</w:t>
            </w:r>
            <w:r>
              <w:rPr>
                <w:rFonts w:hint="eastAsia" w:cs="Times New Roman"/>
                <w:color w:val="auto"/>
                <w:kern w:val="0"/>
                <w:sz w:val="24"/>
                <w:lang w:val="en-US" w:eastAsia="zh-CN"/>
              </w:rPr>
              <w:t>7</w:t>
            </w:r>
            <w:r>
              <w:rPr>
                <w:rFonts w:hint="eastAsia" w:ascii="Times New Roman" w:hAnsi="Times New Roman" w:eastAsia="宋体" w:cs="Times New Roman"/>
                <w:color w:val="auto"/>
                <w:kern w:val="0"/>
                <w:sz w:val="24"/>
                <w:lang w:eastAsia="zh-CN"/>
              </w:rPr>
              <w:t>月</w:t>
            </w:r>
            <w:r>
              <w:rPr>
                <w:rFonts w:hint="eastAsia" w:cs="Times New Roman"/>
                <w:color w:val="auto"/>
                <w:kern w:val="0"/>
                <w:sz w:val="24"/>
                <w:lang w:val="en-US" w:eastAsia="zh-CN"/>
              </w:rPr>
              <w:t>30</w:t>
            </w:r>
            <w:r>
              <w:rPr>
                <w:rFonts w:hint="eastAsia" w:ascii="Times New Roman" w:hAnsi="Times New Roman" w:eastAsia="宋体" w:cs="Times New Roman"/>
                <w:color w:val="auto"/>
                <w:kern w:val="0"/>
                <w:sz w:val="24"/>
                <w:lang w:eastAsia="zh-CN"/>
              </w:rPr>
              <w:t>日对区域地下水的</w:t>
            </w:r>
            <w:r>
              <w:rPr>
                <w:rFonts w:hint="eastAsia" w:ascii="Times New Roman" w:hAnsi="Times New Roman" w:eastAsia="宋体" w:cs="Times New Roman"/>
                <w:color w:val="auto"/>
                <w:kern w:val="0"/>
                <w:sz w:val="24"/>
                <w:lang w:val="en-US" w:eastAsia="zh-CN"/>
              </w:rPr>
              <w:t>监测结果（</w:t>
            </w:r>
            <w:r>
              <w:rPr>
                <w:rFonts w:hint="eastAsia" w:cs="Times New Roman"/>
                <w:color w:val="auto"/>
                <w:kern w:val="0"/>
                <w:sz w:val="24"/>
                <w:lang w:val="en-US" w:eastAsia="zh-CN"/>
              </w:rPr>
              <w:t>检测</w:t>
            </w:r>
            <w:r>
              <w:rPr>
                <w:rFonts w:hint="eastAsia" w:ascii="Times New Roman" w:hAnsi="Times New Roman" w:eastAsia="宋体" w:cs="Times New Roman"/>
                <w:color w:val="auto"/>
                <w:kern w:val="0"/>
                <w:sz w:val="24"/>
                <w:lang w:val="en-US" w:eastAsia="zh-CN"/>
              </w:rPr>
              <w:t>报告编号：ZX-202</w:t>
            </w:r>
            <w:r>
              <w:rPr>
                <w:rFonts w:hint="eastAsia" w:cs="Times New Roman"/>
                <w:color w:val="auto"/>
                <w:kern w:val="0"/>
                <w:sz w:val="24"/>
                <w:lang w:val="en-US" w:eastAsia="zh-CN"/>
              </w:rPr>
              <w:t>4</w:t>
            </w:r>
            <w:r>
              <w:rPr>
                <w:rFonts w:hint="eastAsia" w:ascii="Times New Roman" w:hAnsi="Times New Roman" w:eastAsia="宋体" w:cs="Times New Roman"/>
                <w:color w:val="auto"/>
                <w:kern w:val="0"/>
                <w:sz w:val="24"/>
                <w:lang w:val="en-US" w:eastAsia="zh-CN"/>
              </w:rPr>
              <w:t>-0</w:t>
            </w:r>
            <w:r>
              <w:rPr>
                <w:rFonts w:hint="eastAsia" w:cs="Times New Roman"/>
                <w:color w:val="auto"/>
                <w:kern w:val="0"/>
                <w:sz w:val="24"/>
                <w:lang w:val="en-US" w:eastAsia="zh-CN"/>
              </w:rPr>
              <w:t>723</w:t>
            </w:r>
            <w:r>
              <w:rPr>
                <w:rFonts w:hint="eastAsia" w:ascii="Times New Roman" w:hAnsi="Times New Roman" w:eastAsia="宋体" w:cs="Times New Roman"/>
                <w:color w:val="auto"/>
                <w:kern w:val="0"/>
                <w:sz w:val="24"/>
                <w:lang w:val="en-US" w:eastAsia="zh-CN"/>
              </w:rPr>
              <w:t>-</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0002</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-0</w:t>
            </w:r>
            <w:r>
              <w:rPr>
                <w:rFonts w:hint="eastAsia" w:cs="Times New Roman"/>
                <w:color w:val="auto"/>
                <w:kern w:val="0"/>
                <w:sz w:val="24"/>
                <w:lang w:val="en-US" w:eastAsia="zh-CN"/>
              </w:rPr>
              <w:t>3</w:t>
            </w:r>
            <w:r>
              <w:rPr>
                <w:rFonts w:hint="eastAsia" w:ascii="Times New Roman" w:hAnsi="Times New Roman" w:eastAsia="宋体" w:cs="Times New Roman"/>
                <w:color w:val="auto"/>
                <w:kern w:val="0"/>
                <w:sz w:val="24"/>
                <w:lang w:val="en-US" w:eastAsia="zh-CN"/>
              </w:rPr>
              <w:t>）</w:t>
            </w:r>
            <w:r>
              <w:rPr>
                <w:rFonts w:hint="eastAsia" w:ascii="Times New Roman" w:hAnsi="Times New Roman" w:eastAsia="宋体" w:cs="Times New Roman"/>
                <w:color w:val="auto"/>
                <w:kern w:val="0"/>
                <w:sz w:val="24"/>
                <w:lang w:eastAsia="zh-CN"/>
              </w:rPr>
              <w:t>。</w:t>
            </w:r>
          </w:p>
          <w:p w14:paraId="6C915E66">
            <w:pPr>
              <w:pStyle w:val="6"/>
              <w:spacing w:line="500" w:lineRule="exact"/>
              <w:ind w:firstLine="480"/>
              <w:rPr>
                <w:rFonts w:hint="eastAsia" w:ascii="Times New Roman" w:hAnsi="Times New Roman" w:eastAsia="宋体" w:cs="Times New Roman"/>
                <w:color w:val="auto"/>
                <w:kern w:val="0"/>
                <w:sz w:val="24"/>
                <w:lang w:eastAsia="zh-CN"/>
              </w:rPr>
            </w:pPr>
            <w:r>
              <w:rPr>
                <w:rFonts w:hint="eastAsia" w:ascii="Times New Roman" w:hAnsi="Times New Roman" w:eastAsia="宋体" w:cs="Times New Roman"/>
                <w:color w:val="auto"/>
                <w:kern w:val="0"/>
                <w:sz w:val="24"/>
                <w:lang w:eastAsia="zh-CN"/>
              </w:rPr>
              <w:t>⑴</w:t>
            </w:r>
            <w:r>
              <w:rPr>
                <w:rFonts w:hint="eastAsia" w:ascii="Times New Roman" w:hAnsi="Times New Roman" w:eastAsia="宋体" w:cs="Times New Roman"/>
                <w:color w:val="auto"/>
                <w:kern w:val="0"/>
                <w:sz w:val="24"/>
                <w:lang w:val="en-US" w:eastAsia="zh-CN"/>
              </w:rPr>
              <w:t xml:space="preserve"> </w:t>
            </w:r>
            <w:r>
              <w:rPr>
                <w:rFonts w:hint="eastAsia" w:ascii="Times New Roman" w:hAnsi="Times New Roman" w:eastAsia="宋体" w:cs="Times New Roman"/>
                <w:color w:val="auto"/>
                <w:kern w:val="0"/>
                <w:sz w:val="24"/>
                <w:lang w:eastAsia="zh-CN"/>
              </w:rPr>
              <w:t>监测时段、监测布点和监测因子</w:t>
            </w:r>
          </w:p>
          <w:p w14:paraId="62CC77BA">
            <w:pPr>
              <w:numPr>
                <w:ilvl w:val="0"/>
                <w:numId w:val="0"/>
              </w:numPr>
              <w:spacing w:line="500" w:lineRule="exact"/>
              <w:ind w:firstLine="480" w:firstLineChars="200"/>
              <w:rPr>
                <w:rFonts w:hint="default" w:eastAsia="宋体"/>
                <w:color w:val="auto"/>
                <w:kern w:val="0"/>
                <w:sz w:val="24"/>
                <w:lang w:val="en-US" w:eastAsia="zh-CN"/>
              </w:rPr>
            </w:pPr>
            <w:r>
              <w:rPr>
                <w:rFonts w:hint="eastAsia"/>
                <w:color w:val="auto"/>
                <w:kern w:val="0"/>
                <w:sz w:val="24"/>
              </w:rPr>
              <w:t>①</w:t>
            </w:r>
            <w:r>
              <w:rPr>
                <w:rFonts w:hint="eastAsia"/>
                <w:color w:val="auto"/>
                <w:kern w:val="0"/>
                <w:sz w:val="24"/>
                <w:lang w:val="en-US" w:eastAsia="zh-CN"/>
              </w:rPr>
              <w:t xml:space="preserve"> </w:t>
            </w:r>
            <w:r>
              <w:rPr>
                <w:rFonts w:hint="eastAsia"/>
                <w:color w:val="auto"/>
                <w:kern w:val="0"/>
                <w:sz w:val="24"/>
              </w:rPr>
              <w:t>监测点位：D1</w:t>
            </w:r>
            <w:r>
              <w:rPr>
                <w:rFonts w:hint="eastAsia"/>
                <w:color w:val="auto"/>
                <w:kern w:val="0"/>
                <w:sz w:val="24"/>
                <w:lang w:val="en-US" w:eastAsia="zh-CN"/>
              </w:rPr>
              <w:t>水井（坐标E108.630640，N21.753751）</w:t>
            </w:r>
            <w:r>
              <w:rPr>
                <w:rFonts w:hint="eastAsia"/>
                <w:color w:val="auto"/>
                <w:kern w:val="0"/>
                <w:sz w:val="24"/>
              </w:rPr>
              <w:t>，</w:t>
            </w:r>
            <w:r>
              <w:rPr>
                <w:rFonts w:hint="eastAsia"/>
                <w:color w:val="auto"/>
                <w:kern w:val="0"/>
                <w:sz w:val="24"/>
                <w:lang w:val="en-US" w:eastAsia="zh-CN"/>
              </w:rPr>
              <w:t>监测</w:t>
            </w:r>
            <w:r>
              <w:rPr>
                <w:rFonts w:hint="eastAsia"/>
                <w:color w:val="auto"/>
                <w:kern w:val="0"/>
                <w:sz w:val="24"/>
              </w:rPr>
              <w:t>点</w:t>
            </w:r>
            <w:r>
              <w:rPr>
                <w:rFonts w:hint="eastAsia"/>
                <w:color w:val="auto"/>
                <w:kern w:val="0"/>
                <w:sz w:val="24"/>
                <w:lang w:val="en-US" w:eastAsia="zh-CN"/>
              </w:rPr>
              <w:t>位于项目</w:t>
            </w:r>
            <w:r>
              <w:rPr>
                <w:rFonts w:hint="eastAsia"/>
                <w:color w:val="auto"/>
                <w:kern w:val="0"/>
                <w:sz w:val="24"/>
              </w:rPr>
              <w:t>地下水</w:t>
            </w:r>
            <w:r>
              <w:rPr>
                <w:rFonts w:hint="eastAsia"/>
                <w:color w:val="auto"/>
                <w:kern w:val="0"/>
                <w:sz w:val="24"/>
                <w:lang w:val="en-US" w:eastAsia="zh-CN"/>
              </w:rPr>
              <w:t>上</w:t>
            </w:r>
            <w:r>
              <w:rPr>
                <w:rFonts w:hint="eastAsia"/>
                <w:color w:val="auto"/>
                <w:kern w:val="0"/>
                <w:sz w:val="24"/>
              </w:rPr>
              <w:t>游</w:t>
            </w:r>
            <w:r>
              <w:rPr>
                <w:rFonts w:hint="eastAsia"/>
                <w:color w:val="auto"/>
                <w:kern w:val="0"/>
                <w:sz w:val="24"/>
                <w:lang w:eastAsia="zh-CN"/>
              </w:rPr>
              <w:t>，</w:t>
            </w:r>
            <w:r>
              <w:rPr>
                <w:rFonts w:hint="eastAsia"/>
                <w:color w:val="auto"/>
                <w:kern w:val="0"/>
                <w:sz w:val="24"/>
                <w:lang w:val="en-US" w:eastAsia="zh-CN"/>
              </w:rPr>
              <w:t>距本项目约1050m。</w:t>
            </w:r>
          </w:p>
          <w:p w14:paraId="27DEE23B">
            <w:pPr>
              <w:numPr>
                <w:ilvl w:val="0"/>
                <w:numId w:val="0"/>
              </w:numPr>
              <w:spacing w:line="500" w:lineRule="exact"/>
              <w:ind w:firstLine="480" w:firstLineChars="200"/>
              <w:rPr>
                <w:rFonts w:hint="eastAsia"/>
                <w:color w:val="auto"/>
                <w:sz w:val="24"/>
                <w:lang w:val="en-GB"/>
              </w:rPr>
            </w:pPr>
            <w:r>
              <w:rPr>
                <w:rFonts w:hint="eastAsia"/>
                <w:color w:val="auto"/>
                <w:sz w:val="24"/>
                <w:lang w:val="en-GB"/>
              </w:rPr>
              <w:t>⑵</w:t>
            </w:r>
            <w:r>
              <w:rPr>
                <w:rFonts w:hint="eastAsia"/>
                <w:color w:val="auto"/>
                <w:sz w:val="24"/>
                <w:lang w:val="en-US" w:eastAsia="zh-CN"/>
              </w:rPr>
              <w:t xml:space="preserve"> </w:t>
            </w:r>
            <w:r>
              <w:rPr>
                <w:rFonts w:hint="eastAsia"/>
                <w:color w:val="auto"/>
                <w:sz w:val="24"/>
                <w:lang w:val="en-GB"/>
              </w:rPr>
              <w:t>监测时间及频次：202</w:t>
            </w:r>
            <w:r>
              <w:rPr>
                <w:rFonts w:hint="eastAsia"/>
                <w:color w:val="auto"/>
                <w:sz w:val="24"/>
                <w:lang w:val="en-US" w:eastAsia="zh-CN"/>
              </w:rPr>
              <w:t>4</w:t>
            </w:r>
            <w:r>
              <w:rPr>
                <w:rFonts w:hint="eastAsia"/>
                <w:color w:val="auto"/>
                <w:sz w:val="24"/>
                <w:lang w:val="en-GB"/>
              </w:rPr>
              <w:t>年</w:t>
            </w:r>
            <w:r>
              <w:rPr>
                <w:rFonts w:hint="eastAsia"/>
                <w:color w:val="auto"/>
                <w:sz w:val="24"/>
                <w:lang w:val="en-US" w:eastAsia="zh-CN"/>
              </w:rPr>
              <w:t>7</w:t>
            </w:r>
            <w:r>
              <w:rPr>
                <w:rFonts w:hint="eastAsia"/>
                <w:color w:val="auto"/>
                <w:sz w:val="24"/>
                <w:lang w:val="en-GB"/>
              </w:rPr>
              <w:t>月</w:t>
            </w:r>
            <w:r>
              <w:rPr>
                <w:rFonts w:hint="eastAsia"/>
                <w:color w:val="auto"/>
                <w:sz w:val="24"/>
                <w:lang w:val="en-US" w:eastAsia="zh-CN"/>
              </w:rPr>
              <w:t>30</w:t>
            </w:r>
            <w:r>
              <w:rPr>
                <w:rFonts w:hint="eastAsia"/>
                <w:color w:val="auto"/>
                <w:sz w:val="24"/>
                <w:lang w:val="en-GB"/>
              </w:rPr>
              <w:t>日，监测</w:t>
            </w:r>
            <w:r>
              <w:rPr>
                <w:rFonts w:hint="eastAsia"/>
                <w:color w:val="auto"/>
                <w:sz w:val="24"/>
              </w:rPr>
              <w:t>1</w:t>
            </w:r>
            <w:r>
              <w:rPr>
                <w:rFonts w:hint="eastAsia"/>
                <w:color w:val="auto"/>
                <w:sz w:val="24"/>
                <w:lang w:val="en-GB"/>
              </w:rPr>
              <w:t>天，每天监测一次。</w:t>
            </w:r>
          </w:p>
          <w:p w14:paraId="67127800">
            <w:pPr>
              <w:numPr>
                <w:ilvl w:val="0"/>
                <w:numId w:val="0"/>
              </w:numPr>
              <w:spacing w:line="500" w:lineRule="exact"/>
              <w:ind w:firstLine="480" w:firstLineChars="200"/>
              <w:rPr>
                <w:rFonts w:hint="default" w:eastAsia="宋体"/>
                <w:color w:val="auto"/>
                <w:sz w:val="24"/>
                <w:highlight w:val="none"/>
                <w:lang w:val="en-US" w:eastAsia="zh-CN"/>
              </w:rPr>
            </w:pPr>
            <w:r>
              <w:rPr>
                <w:rFonts w:hint="eastAsia"/>
                <w:color w:val="auto"/>
                <w:sz w:val="24"/>
                <w:lang w:val="en-GB"/>
              </w:rPr>
              <w:t>⑶</w:t>
            </w:r>
            <w:r>
              <w:rPr>
                <w:rFonts w:hint="eastAsia"/>
                <w:color w:val="auto"/>
                <w:sz w:val="24"/>
                <w:lang w:val="en-US" w:eastAsia="zh-CN"/>
              </w:rPr>
              <w:t xml:space="preserve"> </w:t>
            </w:r>
            <w:r>
              <w:rPr>
                <w:rFonts w:hint="eastAsia"/>
                <w:color w:val="auto"/>
                <w:sz w:val="24"/>
                <w:lang w:val="en-GB"/>
              </w:rPr>
              <w:t>监测项目：</w:t>
            </w:r>
            <w:r>
              <w:rPr>
                <w:rFonts w:hint="eastAsia"/>
                <w:color w:val="auto"/>
                <w:sz w:val="24"/>
                <w:highlight w:val="none"/>
                <w:lang w:val="en-GB"/>
              </w:rPr>
              <w:t>K</w:t>
            </w:r>
            <w:r>
              <w:rPr>
                <w:rFonts w:hint="eastAsia"/>
                <w:color w:val="auto"/>
                <w:sz w:val="24"/>
                <w:highlight w:val="none"/>
                <w:vertAlign w:val="superscript"/>
                <w:lang w:val="en-GB"/>
              </w:rPr>
              <w:t>+</w:t>
            </w:r>
            <w:r>
              <w:rPr>
                <w:rFonts w:hint="eastAsia"/>
                <w:color w:val="auto"/>
                <w:sz w:val="24"/>
                <w:highlight w:val="none"/>
                <w:lang w:val="en-GB"/>
              </w:rPr>
              <w:t>、Na</w:t>
            </w:r>
            <w:r>
              <w:rPr>
                <w:rFonts w:hint="eastAsia"/>
                <w:color w:val="auto"/>
                <w:sz w:val="24"/>
                <w:highlight w:val="none"/>
                <w:vertAlign w:val="superscript"/>
                <w:lang w:val="en-GB"/>
              </w:rPr>
              <w:t>+</w:t>
            </w:r>
            <w:r>
              <w:rPr>
                <w:rFonts w:hint="eastAsia"/>
                <w:color w:val="auto"/>
                <w:sz w:val="24"/>
                <w:highlight w:val="none"/>
                <w:lang w:val="en-GB"/>
              </w:rPr>
              <w:t>、Ca</w:t>
            </w:r>
            <w:r>
              <w:rPr>
                <w:rFonts w:hint="eastAsia"/>
                <w:color w:val="auto"/>
                <w:sz w:val="24"/>
                <w:highlight w:val="none"/>
                <w:vertAlign w:val="superscript"/>
                <w:lang w:val="en-GB"/>
              </w:rPr>
              <w:t>2+</w:t>
            </w:r>
            <w:r>
              <w:rPr>
                <w:rFonts w:hint="eastAsia"/>
                <w:color w:val="auto"/>
                <w:sz w:val="24"/>
                <w:highlight w:val="none"/>
                <w:lang w:val="en-GB"/>
              </w:rPr>
              <w:t>、Mg</w:t>
            </w:r>
            <w:r>
              <w:rPr>
                <w:rFonts w:hint="eastAsia"/>
                <w:color w:val="auto"/>
                <w:sz w:val="24"/>
                <w:highlight w:val="none"/>
                <w:vertAlign w:val="superscript"/>
                <w:lang w:val="en-GB"/>
              </w:rPr>
              <w:t>2+</w:t>
            </w:r>
            <w:r>
              <w:rPr>
                <w:rFonts w:hint="eastAsia"/>
                <w:color w:val="auto"/>
                <w:sz w:val="24"/>
                <w:highlight w:val="none"/>
                <w:lang w:val="en-GB"/>
              </w:rPr>
              <w:t>、CO</w:t>
            </w:r>
            <w:r>
              <w:rPr>
                <w:rFonts w:hint="eastAsia"/>
                <w:color w:val="auto"/>
                <w:sz w:val="24"/>
                <w:highlight w:val="none"/>
                <w:vertAlign w:val="subscript"/>
                <w:lang w:val="en-GB"/>
              </w:rPr>
              <w:t>3</w:t>
            </w:r>
            <w:r>
              <w:rPr>
                <w:rFonts w:hint="eastAsia"/>
                <w:color w:val="auto"/>
                <w:sz w:val="24"/>
                <w:highlight w:val="none"/>
                <w:vertAlign w:val="superscript"/>
                <w:lang w:val="en-GB"/>
              </w:rPr>
              <w:t>2-</w:t>
            </w:r>
            <w:r>
              <w:rPr>
                <w:rFonts w:hint="eastAsia"/>
                <w:color w:val="auto"/>
                <w:sz w:val="24"/>
                <w:highlight w:val="none"/>
                <w:lang w:val="en-GB"/>
              </w:rPr>
              <w:t>、HCO</w:t>
            </w:r>
            <w:r>
              <w:rPr>
                <w:rFonts w:hint="eastAsia"/>
                <w:color w:val="auto"/>
                <w:sz w:val="24"/>
                <w:highlight w:val="none"/>
                <w:vertAlign w:val="superscript"/>
                <w:lang w:val="en-GB"/>
              </w:rPr>
              <w:t>3-</w:t>
            </w:r>
            <w:r>
              <w:rPr>
                <w:rFonts w:hint="eastAsia"/>
                <w:color w:val="auto"/>
                <w:sz w:val="24"/>
                <w:highlight w:val="none"/>
                <w:lang w:val="en-GB"/>
              </w:rPr>
              <w:t>、Cl</w:t>
            </w:r>
            <w:r>
              <w:rPr>
                <w:rFonts w:hint="eastAsia"/>
                <w:color w:val="auto"/>
                <w:sz w:val="24"/>
                <w:highlight w:val="none"/>
                <w:vertAlign w:val="superscript"/>
                <w:lang w:val="en-GB"/>
              </w:rPr>
              <w:t>-</w:t>
            </w:r>
            <w:r>
              <w:rPr>
                <w:rFonts w:hint="eastAsia"/>
                <w:color w:val="auto"/>
                <w:sz w:val="24"/>
                <w:highlight w:val="none"/>
                <w:lang w:val="en-GB"/>
              </w:rPr>
              <w:t>、SO</w:t>
            </w:r>
            <w:r>
              <w:rPr>
                <w:rFonts w:hint="eastAsia"/>
                <w:color w:val="auto"/>
                <w:sz w:val="24"/>
                <w:highlight w:val="none"/>
                <w:vertAlign w:val="subscript"/>
                <w:lang w:val="en-GB"/>
              </w:rPr>
              <w:t>4</w:t>
            </w:r>
            <w:r>
              <w:rPr>
                <w:rFonts w:hint="eastAsia"/>
                <w:color w:val="auto"/>
                <w:sz w:val="24"/>
                <w:highlight w:val="none"/>
                <w:vertAlign w:val="superscript"/>
                <w:lang w:val="en-GB"/>
              </w:rPr>
              <w:t>2-</w:t>
            </w:r>
            <w:r>
              <w:rPr>
                <w:rFonts w:hint="eastAsia"/>
                <w:color w:val="auto"/>
                <w:sz w:val="24"/>
                <w:highlight w:val="none"/>
                <w:lang w:val="en-GB"/>
              </w:rPr>
              <w:t>、pH值、水温、pH、总硬度、溶解性总固体、硫酸盐、氯化物、铁、锰、挥发性酚类、耗氧量、氨氮、硫化物、硝酸盐、亚硝酸盐、汞、铅、砷、镉、六价铬、石油类、苯、甲苯、二甲苯、氟化物、氰化物</w:t>
            </w:r>
            <w:r>
              <w:rPr>
                <w:rFonts w:hint="eastAsia"/>
                <w:color w:val="auto"/>
                <w:sz w:val="24"/>
                <w:highlight w:val="none"/>
                <w:lang w:val="en-US" w:eastAsia="zh-CN"/>
              </w:rPr>
              <w:t>。</w:t>
            </w:r>
          </w:p>
          <w:p w14:paraId="7066290F">
            <w:pPr>
              <w:pStyle w:val="6"/>
              <w:spacing w:line="500" w:lineRule="exact"/>
              <w:ind w:firstLine="48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 xml:space="preserve">⑷ </w:t>
            </w:r>
            <w:r>
              <w:rPr>
                <w:rFonts w:hint="eastAsia" w:ascii="Times New Roman" w:hAnsi="Times New Roman" w:eastAsia="宋体" w:cs="Times New Roman"/>
                <w:color w:val="auto"/>
                <w:kern w:val="0"/>
                <w:sz w:val="24"/>
                <w:lang w:eastAsia="zh-CN"/>
              </w:rPr>
              <w:t>监测方法</w:t>
            </w:r>
            <w:r>
              <w:rPr>
                <w:rFonts w:hint="eastAsia" w:ascii="Times New Roman" w:hAnsi="Times New Roman" w:eastAsia="宋体" w:cs="Times New Roman"/>
                <w:color w:val="auto"/>
                <w:kern w:val="0"/>
                <w:sz w:val="24"/>
              </w:rPr>
              <w:t>。</w:t>
            </w:r>
          </w:p>
          <w:p w14:paraId="4B2326B4">
            <w:pPr>
              <w:spacing w:line="520" w:lineRule="exact"/>
              <w:jc w:val="center"/>
              <w:rPr>
                <w:rFonts w:hint="eastAsia" w:ascii="Times New Roman" w:hAnsi="Times New Roman" w:eastAsia="宋体" w:cs="Times New Roman"/>
                <w:b/>
                <w:bCs/>
                <w:color w:val="auto"/>
                <w:sz w:val="24"/>
                <w:lang w:val="en-US" w:eastAsia="zh-CN"/>
              </w:rPr>
            </w:pPr>
            <w:bookmarkStart w:id="18" w:name="_Ref55459703"/>
            <w:r>
              <w:rPr>
                <w:rFonts w:hint="eastAsia" w:cs="Times New Roman"/>
                <w:b/>
                <w:bCs/>
                <w:color w:val="auto"/>
                <w:sz w:val="24"/>
                <w:lang w:val="en-US" w:eastAsia="zh-CN"/>
              </w:rPr>
              <w:t>表</w:t>
            </w:r>
            <w:r>
              <w:rPr>
                <w:rFonts w:hint="eastAsia" w:ascii="Times New Roman" w:hAnsi="Times New Roman" w:eastAsia="宋体" w:cs="Times New Roman"/>
                <w:b/>
                <w:bCs/>
                <w:color w:val="auto"/>
                <w:sz w:val="24"/>
                <w:lang w:val="en-US" w:eastAsia="zh-CN"/>
              </w:rPr>
              <w:t>3-7地下水监测分析方法和最低检出限一览表</w:t>
            </w:r>
            <w:bookmarkEnd w:id="18"/>
          </w:p>
          <w:tbl>
            <w:tblPr>
              <w:tblStyle w:val="1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7"/>
              <w:gridCol w:w="567"/>
              <w:gridCol w:w="770"/>
              <w:gridCol w:w="4844"/>
              <w:gridCol w:w="1611"/>
            </w:tblGrid>
            <w:tr w14:paraId="15582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350" w:type="pct"/>
                  <w:tcBorders>
                    <w:left w:val="single" w:color="auto" w:sz="4" w:space="0"/>
                  </w:tcBorders>
                  <w:vAlign w:val="center"/>
                </w:tcPr>
                <w:p w14:paraId="337BA040">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序号</w:t>
                  </w:r>
                </w:p>
              </w:tc>
              <w:tc>
                <w:tcPr>
                  <w:tcW w:w="797" w:type="pct"/>
                  <w:gridSpan w:val="2"/>
                  <w:tcBorders>
                    <w:left w:val="single" w:color="auto" w:sz="4" w:space="0"/>
                  </w:tcBorders>
                  <w:vAlign w:val="center"/>
                </w:tcPr>
                <w:p w14:paraId="49CF2E99">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项目</w:t>
                  </w:r>
                </w:p>
              </w:tc>
              <w:tc>
                <w:tcPr>
                  <w:tcW w:w="2889" w:type="pct"/>
                  <w:vAlign w:val="center"/>
                </w:tcPr>
                <w:p w14:paraId="2C8ACC8E">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检测标准（方法）</w:t>
                  </w:r>
                </w:p>
              </w:tc>
              <w:tc>
                <w:tcPr>
                  <w:tcW w:w="961" w:type="pct"/>
                  <w:vAlign w:val="center"/>
                </w:tcPr>
                <w:p w14:paraId="533D7525">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检出限/检出下限</w:t>
                  </w:r>
                </w:p>
              </w:tc>
            </w:tr>
            <w:tr w14:paraId="710B3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0" w:type="pct"/>
                  <w:tcBorders>
                    <w:left w:val="single" w:color="auto" w:sz="4" w:space="0"/>
                  </w:tcBorders>
                  <w:vAlign w:val="center"/>
                </w:tcPr>
                <w:p w14:paraId="2FAF9E3F">
                  <w:pPr>
                    <w:snapToGrid w:val="0"/>
                    <w:spacing w:line="300" w:lineRule="exact"/>
                    <w:jc w:val="center"/>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1</w:t>
                  </w:r>
                </w:p>
              </w:tc>
              <w:tc>
                <w:tcPr>
                  <w:tcW w:w="797" w:type="pct"/>
                  <w:gridSpan w:val="2"/>
                  <w:tcBorders>
                    <w:left w:val="single" w:color="auto" w:sz="4" w:space="0"/>
                  </w:tcBorders>
                  <w:vAlign w:val="center"/>
                </w:tcPr>
                <w:p w14:paraId="3FD4CAA7">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pH值</w:t>
                  </w:r>
                </w:p>
              </w:tc>
              <w:tc>
                <w:tcPr>
                  <w:tcW w:w="2889" w:type="pct"/>
                  <w:vAlign w:val="center"/>
                </w:tcPr>
                <w:p w14:paraId="7AA4D4EA">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pH 值的测定 电极法HJ 1147-2020</w:t>
                  </w:r>
                </w:p>
              </w:tc>
              <w:tc>
                <w:tcPr>
                  <w:tcW w:w="961" w:type="pct"/>
                  <w:vAlign w:val="center"/>
                </w:tcPr>
                <w:p w14:paraId="34024CC7">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w:t>
                  </w:r>
                </w:p>
              </w:tc>
            </w:tr>
            <w:tr w14:paraId="6B7CB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7" w:type="dxa"/>
                  <w:tcBorders>
                    <w:left w:val="single" w:color="auto" w:sz="4" w:space="0"/>
                  </w:tcBorders>
                  <w:vAlign w:val="center"/>
                </w:tcPr>
                <w:p w14:paraId="54DFCF0B">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2</w:t>
                  </w:r>
                </w:p>
              </w:tc>
              <w:tc>
                <w:tcPr>
                  <w:tcW w:w="797" w:type="pct"/>
                  <w:gridSpan w:val="2"/>
                  <w:tcBorders>
                    <w:left w:val="single" w:color="auto" w:sz="4" w:space="0"/>
                  </w:tcBorders>
                  <w:vAlign w:val="center"/>
                </w:tcPr>
                <w:p w14:paraId="4D6A2A60">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总硬度</w:t>
                  </w:r>
                </w:p>
              </w:tc>
              <w:tc>
                <w:tcPr>
                  <w:tcW w:w="2889" w:type="pct"/>
                  <w:vAlign w:val="center"/>
                </w:tcPr>
                <w:p w14:paraId="4F5BE187">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钙和镁总量的测定 EDTA 滴定法GB 7477-1987</w:t>
                  </w:r>
                </w:p>
              </w:tc>
              <w:tc>
                <w:tcPr>
                  <w:tcW w:w="961" w:type="pct"/>
                  <w:vAlign w:val="center"/>
                </w:tcPr>
                <w:p w14:paraId="25B5021D">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0.05mmol/L（5mg/L）</w:t>
                  </w:r>
                </w:p>
              </w:tc>
            </w:tr>
            <w:tr w14:paraId="3C099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7" w:type="dxa"/>
                  <w:tcBorders>
                    <w:left w:val="single" w:color="auto" w:sz="4" w:space="0"/>
                  </w:tcBorders>
                  <w:vAlign w:val="center"/>
                </w:tcPr>
                <w:p w14:paraId="2F428440">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3</w:t>
                  </w:r>
                </w:p>
              </w:tc>
              <w:tc>
                <w:tcPr>
                  <w:tcW w:w="797" w:type="pct"/>
                  <w:gridSpan w:val="2"/>
                  <w:tcBorders>
                    <w:left w:val="single" w:color="auto" w:sz="4" w:space="0"/>
                  </w:tcBorders>
                  <w:vAlign w:val="center"/>
                </w:tcPr>
                <w:p w14:paraId="7A3B8A9D">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溶解性总固体</w:t>
                  </w:r>
                </w:p>
              </w:tc>
              <w:tc>
                <w:tcPr>
                  <w:tcW w:w="2889" w:type="pct"/>
                  <w:vAlign w:val="center"/>
                </w:tcPr>
                <w:p w14:paraId="66246CC7">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生活饮用水标准检验方法第4部分</w:t>
                  </w:r>
                  <w:r>
                    <w:rPr>
                      <w:rFonts w:hint="eastAsia" w:ascii="Times New Roman" w:hAnsi="Times New Roman" w:eastAsia="宋体" w:cs="Times New Roman"/>
                      <w:color w:val="auto"/>
                      <w:sz w:val="21"/>
                    </w:rPr>
                    <w:t>：</w:t>
                  </w:r>
                  <w:r>
                    <w:rPr>
                      <w:rFonts w:ascii="Times New Roman" w:hAnsi="Times New Roman" w:eastAsia="宋体" w:cs="Times New Roman"/>
                      <w:color w:val="auto"/>
                      <w:sz w:val="21"/>
                    </w:rPr>
                    <w:t>感官性状和物理指标</w:t>
                  </w:r>
                  <w:r>
                    <w:rPr>
                      <w:rFonts w:hint="eastAsia" w:ascii="Times New Roman" w:hAnsi="Times New Roman" w:eastAsia="宋体" w:cs="Times New Roman"/>
                      <w:color w:val="auto"/>
                      <w:sz w:val="21"/>
                    </w:rPr>
                    <w:t>（</w:t>
                  </w:r>
                  <w:r>
                    <w:rPr>
                      <w:rFonts w:ascii="Times New Roman" w:hAnsi="Times New Roman" w:eastAsia="宋体" w:cs="Times New Roman"/>
                      <w:color w:val="auto"/>
                      <w:sz w:val="21"/>
                    </w:rPr>
                    <w:t>11.1溶解性总固体称重法</w:t>
                  </w:r>
                  <w:r>
                    <w:rPr>
                      <w:rFonts w:hint="eastAsia" w:ascii="Times New Roman" w:hAnsi="Times New Roman" w:eastAsia="宋体" w:cs="Times New Roman"/>
                      <w:color w:val="auto"/>
                      <w:sz w:val="21"/>
                    </w:rPr>
                    <w:t>）</w:t>
                  </w:r>
                  <w:r>
                    <w:rPr>
                      <w:rFonts w:ascii="Times New Roman" w:hAnsi="Times New Roman" w:eastAsia="宋体" w:cs="Times New Roman"/>
                      <w:color w:val="auto"/>
                      <w:sz w:val="21"/>
                    </w:rPr>
                    <w:t xml:space="preserve"> GB/T5750.4-2023</w:t>
                  </w:r>
                </w:p>
              </w:tc>
              <w:tc>
                <w:tcPr>
                  <w:tcW w:w="961" w:type="pct"/>
                  <w:vAlign w:val="center"/>
                </w:tcPr>
                <w:p w14:paraId="7D29B3E1">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w:t>
                  </w:r>
                </w:p>
              </w:tc>
            </w:tr>
            <w:tr w14:paraId="27079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7" w:type="dxa"/>
                  <w:tcBorders>
                    <w:left w:val="single" w:color="auto" w:sz="4" w:space="0"/>
                  </w:tcBorders>
                  <w:vAlign w:val="center"/>
                </w:tcPr>
                <w:p w14:paraId="64FC095A">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4</w:t>
                  </w:r>
                </w:p>
              </w:tc>
              <w:tc>
                <w:tcPr>
                  <w:tcW w:w="797" w:type="pct"/>
                  <w:gridSpan w:val="2"/>
                  <w:tcBorders>
                    <w:left w:val="single" w:color="auto" w:sz="4" w:space="0"/>
                  </w:tcBorders>
                  <w:vAlign w:val="center"/>
                </w:tcPr>
                <w:p w14:paraId="2E3FD9D4">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硫酸盐</w:t>
                  </w:r>
                </w:p>
              </w:tc>
              <w:tc>
                <w:tcPr>
                  <w:tcW w:w="2889" w:type="pct"/>
                  <w:vAlign w:val="center"/>
                </w:tcPr>
                <w:p w14:paraId="46235FE1">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硫酸盐的测定 铬酸钡分光光度法（试行）HJ/T 342-2007</w:t>
                  </w:r>
                </w:p>
              </w:tc>
              <w:tc>
                <w:tcPr>
                  <w:tcW w:w="961" w:type="pct"/>
                  <w:vAlign w:val="center"/>
                </w:tcPr>
                <w:p w14:paraId="788BC73B">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8mg/L</w:t>
                  </w:r>
                </w:p>
              </w:tc>
            </w:tr>
            <w:tr w14:paraId="70F77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7" w:type="dxa"/>
                  <w:tcBorders>
                    <w:left w:val="single" w:color="auto" w:sz="4" w:space="0"/>
                  </w:tcBorders>
                  <w:vAlign w:val="center"/>
                </w:tcPr>
                <w:p w14:paraId="0491E33B">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5</w:t>
                  </w:r>
                </w:p>
              </w:tc>
              <w:tc>
                <w:tcPr>
                  <w:tcW w:w="797" w:type="pct"/>
                  <w:gridSpan w:val="2"/>
                  <w:tcBorders>
                    <w:left w:val="single" w:color="auto" w:sz="4" w:space="0"/>
                  </w:tcBorders>
                  <w:vAlign w:val="center"/>
                </w:tcPr>
                <w:p w14:paraId="1234B55B">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氯化物</w:t>
                  </w:r>
                </w:p>
              </w:tc>
              <w:tc>
                <w:tcPr>
                  <w:tcW w:w="2889" w:type="pct"/>
                  <w:vAlign w:val="center"/>
                </w:tcPr>
                <w:p w14:paraId="3614EC6E">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氯化物的测定 硝酸银滴定法</w:t>
                  </w:r>
                  <w:r>
                    <w:rPr>
                      <w:rFonts w:hint="eastAsia" w:ascii="Times New Roman" w:hAnsi="Times New Roman" w:eastAsia="宋体" w:cs="Times New Roman"/>
                      <w:color w:val="auto"/>
                      <w:sz w:val="21"/>
                    </w:rPr>
                    <w:t xml:space="preserve">  </w:t>
                  </w:r>
                  <w:r>
                    <w:rPr>
                      <w:rFonts w:ascii="Times New Roman" w:hAnsi="Times New Roman" w:eastAsia="宋体" w:cs="Times New Roman"/>
                      <w:color w:val="auto"/>
                      <w:sz w:val="21"/>
                    </w:rPr>
                    <w:t>GB/T 11896-1989</w:t>
                  </w:r>
                </w:p>
              </w:tc>
              <w:tc>
                <w:tcPr>
                  <w:tcW w:w="961" w:type="pct"/>
                  <w:vAlign w:val="center"/>
                </w:tcPr>
                <w:p w14:paraId="1218C976">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10mg/L</w:t>
                  </w:r>
                </w:p>
              </w:tc>
            </w:tr>
            <w:tr w14:paraId="3C12D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297910D0">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6</w:t>
                  </w:r>
                </w:p>
              </w:tc>
              <w:tc>
                <w:tcPr>
                  <w:tcW w:w="797" w:type="pct"/>
                  <w:gridSpan w:val="2"/>
                  <w:tcBorders>
                    <w:left w:val="single" w:color="auto" w:sz="4" w:space="0"/>
                  </w:tcBorders>
                  <w:vAlign w:val="center"/>
                </w:tcPr>
                <w:p w14:paraId="62C80F53">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耗氧量</w:t>
                  </w:r>
                </w:p>
              </w:tc>
              <w:tc>
                <w:tcPr>
                  <w:tcW w:w="2889" w:type="pct"/>
                  <w:vAlign w:val="center"/>
                </w:tcPr>
                <w:p w14:paraId="7B51F417">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生活饮用水标准检验方法第7部分:：有机物综合指标</w:t>
                  </w:r>
                  <w:r>
                    <w:rPr>
                      <w:rFonts w:hint="eastAsia" w:ascii="Times New Roman" w:hAnsi="Times New Roman" w:eastAsia="宋体" w:cs="Times New Roman"/>
                      <w:color w:val="auto"/>
                      <w:sz w:val="21"/>
                    </w:rPr>
                    <w:t>（</w:t>
                  </w:r>
                  <w:r>
                    <w:rPr>
                      <w:rFonts w:ascii="Times New Roman" w:hAnsi="Times New Roman" w:eastAsia="宋体" w:cs="Times New Roman"/>
                      <w:color w:val="auto"/>
                      <w:sz w:val="21"/>
                    </w:rPr>
                    <w:t>4.1酸性高锰酸钾滴定法</w:t>
                  </w:r>
                  <w:r>
                    <w:rPr>
                      <w:rFonts w:hint="eastAsia" w:ascii="Times New Roman" w:hAnsi="Times New Roman" w:eastAsia="宋体" w:cs="Times New Roman"/>
                      <w:color w:val="auto"/>
                      <w:sz w:val="21"/>
                    </w:rPr>
                    <w:t>）</w:t>
                  </w:r>
                  <w:r>
                    <w:rPr>
                      <w:rFonts w:ascii="Times New Roman" w:hAnsi="Times New Roman" w:eastAsia="宋体" w:cs="Times New Roman"/>
                      <w:color w:val="auto"/>
                      <w:sz w:val="21"/>
                    </w:rPr>
                    <w:t>GB/T 5750.7-2023</w:t>
                  </w:r>
                </w:p>
              </w:tc>
              <w:tc>
                <w:tcPr>
                  <w:tcW w:w="961" w:type="pct"/>
                  <w:vAlign w:val="center"/>
                </w:tcPr>
                <w:p w14:paraId="20EE9D14">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w:t>
                  </w:r>
                  <w:r>
                    <w:rPr>
                      <w:rFonts w:hint="eastAsia" w:ascii="Times New Roman" w:hAnsi="Times New Roman" w:eastAsia="宋体" w:cs="Times New Roman"/>
                      <w:color w:val="auto"/>
                      <w:sz w:val="21"/>
                    </w:rPr>
                    <w:t>0</w:t>
                  </w:r>
                  <w:r>
                    <w:rPr>
                      <w:rFonts w:ascii="Times New Roman" w:hAnsi="Times New Roman" w:eastAsia="宋体" w:cs="Times New Roman"/>
                      <w:color w:val="auto"/>
                      <w:sz w:val="21"/>
                    </w:rPr>
                    <w:t>5mg/L</w:t>
                  </w:r>
                </w:p>
              </w:tc>
            </w:tr>
            <w:tr w14:paraId="5B1B4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26D2A5FE">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7</w:t>
                  </w:r>
                </w:p>
              </w:tc>
              <w:tc>
                <w:tcPr>
                  <w:tcW w:w="797" w:type="pct"/>
                  <w:gridSpan w:val="2"/>
                  <w:tcBorders>
                    <w:left w:val="single" w:color="auto" w:sz="4" w:space="0"/>
                  </w:tcBorders>
                  <w:vAlign w:val="center"/>
                </w:tcPr>
                <w:p w14:paraId="3BC30746">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氨氮</w:t>
                  </w:r>
                </w:p>
              </w:tc>
              <w:tc>
                <w:tcPr>
                  <w:tcW w:w="2889" w:type="pct"/>
                  <w:vAlign w:val="center"/>
                </w:tcPr>
                <w:p w14:paraId="2B01BDDE">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氨氮的测定 纳氏试剂分光光度法HJ 535-2009</w:t>
                  </w:r>
                </w:p>
              </w:tc>
              <w:tc>
                <w:tcPr>
                  <w:tcW w:w="961" w:type="pct"/>
                  <w:vAlign w:val="center"/>
                </w:tcPr>
                <w:p w14:paraId="559393EC">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0.025mg/L</w:t>
                  </w:r>
                </w:p>
              </w:tc>
            </w:tr>
            <w:tr w14:paraId="2F246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6706E637">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8</w:t>
                  </w:r>
                </w:p>
              </w:tc>
              <w:tc>
                <w:tcPr>
                  <w:tcW w:w="797" w:type="pct"/>
                  <w:gridSpan w:val="2"/>
                  <w:tcBorders>
                    <w:left w:val="single" w:color="auto" w:sz="4" w:space="0"/>
                  </w:tcBorders>
                  <w:vAlign w:val="center"/>
                </w:tcPr>
                <w:p w14:paraId="50890F52">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硫化物</w:t>
                  </w:r>
                </w:p>
              </w:tc>
              <w:tc>
                <w:tcPr>
                  <w:tcW w:w="2889" w:type="pct"/>
                  <w:vAlign w:val="center"/>
                </w:tcPr>
                <w:p w14:paraId="22AE8024">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硫化物的测定 亚甲基蓝分光光度法HJ 1226-2021</w:t>
                  </w:r>
                </w:p>
              </w:tc>
              <w:tc>
                <w:tcPr>
                  <w:tcW w:w="961" w:type="pct"/>
                  <w:vAlign w:val="center"/>
                </w:tcPr>
                <w:p w14:paraId="2B8C13E6">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w:t>
                  </w:r>
                  <w:r>
                    <w:rPr>
                      <w:rFonts w:hint="eastAsia" w:ascii="Times New Roman" w:hAnsi="Times New Roman" w:eastAsia="宋体" w:cs="Times New Roman"/>
                      <w:color w:val="auto"/>
                      <w:sz w:val="21"/>
                    </w:rPr>
                    <w:t>1</w:t>
                  </w:r>
                  <w:r>
                    <w:rPr>
                      <w:rFonts w:ascii="Times New Roman" w:hAnsi="Times New Roman" w:eastAsia="宋体" w:cs="Times New Roman"/>
                      <w:color w:val="auto"/>
                      <w:sz w:val="21"/>
                    </w:rPr>
                    <w:t>mg/L</w:t>
                  </w:r>
                </w:p>
              </w:tc>
            </w:tr>
            <w:tr w14:paraId="7E8DF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1C96E265">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9</w:t>
                  </w:r>
                </w:p>
              </w:tc>
              <w:tc>
                <w:tcPr>
                  <w:tcW w:w="797" w:type="pct"/>
                  <w:gridSpan w:val="2"/>
                  <w:tcBorders>
                    <w:left w:val="single" w:color="auto" w:sz="4" w:space="0"/>
                  </w:tcBorders>
                  <w:vAlign w:val="center"/>
                </w:tcPr>
                <w:p w14:paraId="097FFEA4">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硝酸盐</w:t>
                  </w:r>
                </w:p>
              </w:tc>
              <w:tc>
                <w:tcPr>
                  <w:tcW w:w="2889" w:type="pct"/>
                  <w:vAlign w:val="center"/>
                </w:tcPr>
                <w:p w14:paraId="1E3AB6A6">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硝酸盐氮的测定 紫外分光光度法（试行）HJ/T 346-2007</w:t>
                  </w:r>
                </w:p>
              </w:tc>
              <w:tc>
                <w:tcPr>
                  <w:tcW w:w="961" w:type="pct"/>
                  <w:vAlign w:val="center"/>
                </w:tcPr>
                <w:p w14:paraId="0B3851FC">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0.08mg/L</w:t>
                  </w:r>
                </w:p>
              </w:tc>
            </w:tr>
            <w:tr w14:paraId="47679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38987A7A">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1</w:t>
                  </w:r>
                  <w:r>
                    <w:rPr>
                      <w:rFonts w:ascii="Times New Roman" w:hAnsi="Times New Roman" w:eastAsia="宋体" w:cs="Times New Roman"/>
                      <w:color w:val="auto"/>
                      <w:sz w:val="21"/>
                    </w:rPr>
                    <w:t>0</w:t>
                  </w:r>
                </w:p>
              </w:tc>
              <w:tc>
                <w:tcPr>
                  <w:tcW w:w="797" w:type="pct"/>
                  <w:gridSpan w:val="2"/>
                  <w:tcBorders>
                    <w:left w:val="single" w:color="auto" w:sz="4" w:space="0"/>
                  </w:tcBorders>
                  <w:vAlign w:val="center"/>
                </w:tcPr>
                <w:p w14:paraId="23C1099E">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亚硝酸盐</w:t>
                  </w:r>
                </w:p>
              </w:tc>
              <w:tc>
                <w:tcPr>
                  <w:tcW w:w="2889" w:type="pct"/>
                  <w:vAlign w:val="center"/>
                </w:tcPr>
                <w:p w14:paraId="5297C0FD">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亚硝酸盐氮的测定 分光光度法GB 7493-1987</w:t>
                  </w:r>
                </w:p>
              </w:tc>
              <w:tc>
                <w:tcPr>
                  <w:tcW w:w="961" w:type="pct"/>
                  <w:vAlign w:val="center"/>
                </w:tcPr>
                <w:p w14:paraId="1CA83EDF">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0.003mg/L</w:t>
                  </w:r>
                </w:p>
              </w:tc>
            </w:tr>
            <w:tr w14:paraId="0FBE1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6A1654BE">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1</w:t>
                  </w:r>
                  <w:r>
                    <w:rPr>
                      <w:rFonts w:ascii="Times New Roman" w:hAnsi="Times New Roman" w:eastAsia="宋体" w:cs="Times New Roman"/>
                      <w:color w:val="auto"/>
                      <w:sz w:val="21"/>
                    </w:rPr>
                    <w:t>1</w:t>
                  </w:r>
                </w:p>
              </w:tc>
              <w:tc>
                <w:tcPr>
                  <w:tcW w:w="797" w:type="pct"/>
                  <w:gridSpan w:val="2"/>
                  <w:tcBorders>
                    <w:left w:val="single" w:color="auto" w:sz="4" w:space="0"/>
                  </w:tcBorders>
                  <w:vAlign w:val="center"/>
                </w:tcPr>
                <w:p w14:paraId="266C774F">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挥发酚</w:t>
                  </w:r>
                </w:p>
              </w:tc>
              <w:tc>
                <w:tcPr>
                  <w:tcW w:w="2889" w:type="pct"/>
                  <w:vAlign w:val="center"/>
                </w:tcPr>
                <w:p w14:paraId="54842246">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挥发酚的测定 4-氨基安替比林分光光度法HJ503-2009</w:t>
                  </w:r>
                </w:p>
              </w:tc>
              <w:tc>
                <w:tcPr>
                  <w:tcW w:w="961" w:type="pct"/>
                  <w:vAlign w:val="center"/>
                </w:tcPr>
                <w:p w14:paraId="337556DB">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0.0003mg/L</w:t>
                  </w:r>
                </w:p>
              </w:tc>
            </w:tr>
            <w:tr w14:paraId="64148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09262DF1">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1</w:t>
                  </w:r>
                  <w:r>
                    <w:rPr>
                      <w:rFonts w:ascii="Times New Roman" w:hAnsi="Times New Roman" w:eastAsia="宋体" w:cs="Times New Roman"/>
                      <w:color w:val="auto"/>
                      <w:sz w:val="21"/>
                    </w:rPr>
                    <w:t>2</w:t>
                  </w:r>
                </w:p>
              </w:tc>
              <w:tc>
                <w:tcPr>
                  <w:tcW w:w="797" w:type="pct"/>
                  <w:gridSpan w:val="2"/>
                  <w:tcBorders>
                    <w:left w:val="single" w:color="auto" w:sz="4" w:space="0"/>
                  </w:tcBorders>
                  <w:vAlign w:val="center"/>
                </w:tcPr>
                <w:p w14:paraId="45E2D820">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石油类</w:t>
                  </w:r>
                </w:p>
              </w:tc>
              <w:tc>
                <w:tcPr>
                  <w:tcW w:w="2889" w:type="pct"/>
                  <w:vAlign w:val="center"/>
                </w:tcPr>
                <w:p w14:paraId="53A2AA44">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石油类的测定 紫外分光光度法（试行）HJ 970 -2018</w:t>
                  </w:r>
                </w:p>
              </w:tc>
              <w:tc>
                <w:tcPr>
                  <w:tcW w:w="961" w:type="pct"/>
                  <w:vAlign w:val="center"/>
                </w:tcPr>
                <w:p w14:paraId="2303C7E4">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0.01mg/L</w:t>
                  </w:r>
                </w:p>
              </w:tc>
            </w:tr>
            <w:tr w14:paraId="0CD89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059426AE">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1</w:t>
                  </w:r>
                  <w:r>
                    <w:rPr>
                      <w:rFonts w:ascii="Times New Roman" w:hAnsi="Times New Roman" w:eastAsia="宋体" w:cs="Times New Roman"/>
                      <w:color w:val="auto"/>
                      <w:sz w:val="21"/>
                    </w:rPr>
                    <w:t>3</w:t>
                  </w:r>
                </w:p>
              </w:tc>
              <w:tc>
                <w:tcPr>
                  <w:tcW w:w="797" w:type="pct"/>
                  <w:gridSpan w:val="2"/>
                  <w:tcBorders>
                    <w:left w:val="single" w:color="auto" w:sz="4" w:space="0"/>
                  </w:tcBorders>
                  <w:vAlign w:val="center"/>
                </w:tcPr>
                <w:p w14:paraId="71E31570">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铁</w:t>
                  </w:r>
                </w:p>
              </w:tc>
              <w:tc>
                <w:tcPr>
                  <w:tcW w:w="2889" w:type="pct"/>
                  <w:vMerge w:val="restart"/>
                  <w:vAlign w:val="center"/>
                </w:tcPr>
                <w:p w14:paraId="13130615">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生活饮用水标准检验方法第6部分：金属和类金属指标</w:t>
                  </w:r>
                  <w:r>
                    <w:rPr>
                      <w:rFonts w:hint="eastAsia" w:ascii="Times New Roman" w:hAnsi="Times New Roman" w:eastAsia="宋体" w:cs="Times New Roman"/>
                      <w:color w:val="auto"/>
                      <w:sz w:val="21"/>
                    </w:rPr>
                    <w:t>（</w:t>
                  </w:r>
                  <w:r>
                    <w:rPr>
                      <w:rFonts w:ascii="Times New Roman" w:hAnsi="Times New Roman" w:eastAsia="宋体" w:cs="Times New Roman"/>
                      <w:color w:val="auto"/>
                      <w:sz w:val="21"/>
                    </w:rPr>
                    <w:t>4.4电感耦合等离子体发射光谱法</w:t>
                  </w:r>
                  <w:r>
                    <w:rPr>
                      <w:rFonts w:hint="eastAsia" w:ascii="Times New Roman" w:hAnsi="Times New Roman" w:eastAsia="宋体" w:cs="Times New Roman"/>
                      <w:color w:val="auto"/>
                      <w:sz w:val="21"/>
                    </w:rPr>
                    <w:t>）</w:t>
                  </w:r>
                  <w:r>
                    <w:rPr>
                      <w:rFonts w:ascii="Times New Roman" w:hAnsi="Times New Roman" w:eastAsia="宋体" w:cs="Times New Roman"/>
                      <w:color w:val="auto"/>
                      <w:sz w:val="21"/>
                    </w:rPr>
                    <w:t>GB/T 5750.6-2023</w:t>
                  </w:r>
                </w:p>
              </w:tc>
              <w:tc>
                <w:tcPr>
                  <w:tcW w:w="961" w:type="pct"/>
                  <w:vAlign w:val="center"/>
                </w:tcPr>
                <w:p w14:paraId="02D85F92">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0.0045mg/L</w:t>
                  </w:r>
                </w:p>
              </w:tc>
            </w:tr>
            <w:tr w14:paraId="70461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7F8D3189">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1</w:t>
                  </w:r>
                  <w:r>
                    <w:rPr>
                      <w:rFonts w:ascii="Times New Roman" w:hAnsi="Times New Roman" w:eastAsia="宋体" w:cs="Times New Roman"/>
                      <w:color w:val="auto"/>
                      <w:sz w:val="21"/>
                    </w:rPr>
                    <w:t>4</w:t>
                  </w:r>
                </w:p>
              </w:tc>
              <w:tc>
                <w:tcPr>
                  <w:tcW w:w="797" w:type="pct"/>
                  <w:gridSpan w:val="2"/>
                  <w:tcBorders>
                    <w:left w:val="single" w:color="auto" w:sz="4" w:space="0"/>
                  </w:tcBorders>
                  <w:vAlign w:val="center"/>
                </w:tcPr>
                <w:p w14:paraId="6E470347">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锰</w:t>
                  </w:r>
                </w:p>
              </w:tc>
              <w:tc>
                <w:tcPr>
                  <w:tcW w:w="2889" w:type="pct"/>
                  <w:vMerge w:val="continue"/>
                  <w:vAlign w:val="center"/>
                </w:tcPr>
                <w:p w14:paraId="1455400B">
                  <w:pPr>
                    <w:snapToGrid w:val="0"/>
                    <w:spacing w:line="300" w:lineRule="exact"/>
                    <w:jc w:val="center"/>
                    <w:rPr>
                      <w:rFonts w:ascii="Times New Roman" w:hAnsi="Times New Roman" w:eastAsia="宋体" w:cs="Times New Roman"/>
                      <w:color w:val="auto"/>
                      <w:sz w:val="21"/>
                    </w:rPr>
                  </w:pPr>
                </w:p>
              </w:tc>
              <w:tc>
                <w:tcPr>
                  <w:tcW w:w="961" w:type="pct"/>
                  <w:vAlign w:val="center"/>
                </w:tcPr>
                <w:p w14:paraId="6A096D64">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0.0005mg/L</w:t>
                  </w:r>
                </w:p>
              </w:tc>
            </w:tr>
            <w:tr w14:paraId="4150E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0B3BF0F6">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1</w:t>
                  </w:r>
                  <w:r>
                    <w:rPr>
                      <w:rFonts w:ascii="Times New Roman" w:hAnsi="Times New Roman" w:eastAsia="宋体" w:cs="Times New Roman"/>
                      <w:color w:val="auto"/>
                      <w:sz w:val="21"/>
                    </w:rPr>
                    <w:t>5</w:t>
                  </w:r>
                </w:p>
              </w:tc>
              <w:tc>
                <w:tcPr>
                  <w:tcW w:w="797" w:type="pct"/>
                  <w:gridSpan w:val="2"/>
                  <w:tcBorders>
                    <w:left w:val="single" w:color="auto" w:sz="4" w:space="0"/>
                  </w:tcBorders>
                  <w:vAlign w:val="center"/>
                </w:tcPr>
                <w:p w14:paraId="01CC0B9B">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汞</w:t>
                  </w:r>
                </w:p>
              </w:tc>
              <w:tc>
                <w:tcPr>
                  <w:tcW w:w="2889" w:type="pct"/>
                  <w:vAlign w:val="center"/>
                </w:tcPr>
                <w:p w14:paraId="0CAC4748">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汞、砷、硒、铋和锑的测定 原子荧光法HJ 694-2014</w:t>
                  </w:r>
                </w:p>
              </w:tc>
              <w:tc>
                <w:tcPr>
                  <w:tcW w:w="961" w:type="pct"/>
                  <w:vAlign w:val="center"/>
                </w:tcPr>
                <w:p w14:paraId="3AE92C25">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0.00004</w:t>
                  </w:r>
                  <w:r>
                    <w:rPr>
                      <w:rFonts w:ascii="Times New Roman" w:hAnsi="Times New Roman" w:eastAsia="宋体" w:cs="Times New Roman"/>
                      <w:color w:val="auto"/>
                      <w:sz w:val="21"/>
                    </w:rPr>
                    <w:t>mg/L</w:t>
                  </w:r>
                </w:p>
              </w:tc>
            </w:tr>
            <w:tr w14:paraId="2DFCD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1A06592D">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1</w:t>
                  </w:r>
                  <w:r>
                    <w:rPr>
                      <w:rFonts w:ascii="Times New Roman" w:hAnsi="Times New Roman" w:eastAsia="宋体" w:cs="Times New Roman"/>
                      <w:color w:val="auto"/>
                      <w:sz w:val="21"/>
                    </w:rPr>
                    <w:t>6</w:t>
                  </w:r>
                </w:p>
              </w:tc>
              <w:tc>
                <w:tcPr>
                  <w:tcW w:w="797" w:type="pct"/>
                  <w:gridSpan w:val="2"/>
                  <w:tcBorders>
                    <w:left w:val="single" w:color="auto" w:sz="4" w:space="0"/>
                  </w:tcBorders>
                  <w:vAlign w:val="center"/>
                </w:tcPr>
                <w:p w14:paraId="0C04B010">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铅</w:t>
                  </w:r>
                </w:p>
              </w:tc>
              <w:tc>
                <w:tcPr>
                  <w:tcW w:w="2889" w:type="pct"/>
                  <w:vAlign w:val="center"/>
                </w:tcPr>
                <w:p w14:paraId="2831EC2A">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生活饮用水标准检验方法第6部分:：金属和类金属指标》</w:t>
                  </w:r>
                  <w:r>
                    <w:rPr>
                      <w:rFonts w:hint="eastAsia" w:ascii="Times New Roman" w:hAnsi="Times New Roman" w:eastAsia="宋体" w:cs="Times New Roman"/>
                      <w:color w:val="auto"/>
                      <w:sz w:val="21"/>
                    </w:rPr>
                    <w:t>（</w:t>
                  </w:r>
                  <w:r>
                    <w:rPr>
                      <w:rFonts w:ascii="Times New Roman" w:hAnsi="Times New Roman" w:eastAsia="宋体" w:cs="Times New Roman"/>
                      <w:color w:val="auto"/>
                      <w:sz w:val="21"/>
                    </w:rPr>
                    <w:t>14.1无火焰原子吸收分光光度法</w:t>
                  </w:r>
                  <w:r>
                    <w:rPr>
                      <w:rFonts w:hint="eastAsia" w:ascii="Times New Roman" w:hAnsi="Times New Roman" w:eastAsia="宋体" w:cs="Times New Roman"/>
                      <w:color w:val="auto"/>
                      <w:sz w:val="21"/>
                    </w:rPr>
                    <w:t>）</w:t>
                  </w:r>
                  <w:r>
                    <w:rPr>
                      <w:rFonts w:ascii="Times New Roman" w:hAnsi="Times New Roman" w:eastAsia="宋体" w:cs="Times New Roman"/>
                      <w:color w:val="auto"/>
                      <w:sz w:val="21"/>
                    </w:rPr>
                    <w:t>GB/T 5750.6-2023</w:t>
                  </w:r>
                </w:p>
              </w:tc>
              <w:tc>
                <w:tcPr>
                  <w:tcW w:w="961" w:type="pct"/>
                  <w:vAlign w:val="center"/>
                </w:tcPr>
                <w:p w14:paraId="40DD173A">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0.0025mg/L</w:t>
                  </w:r>
                </w:p>
              </w:tc>
            </w:tr>
            <w:tr w14:paraId="7C3AA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01B1CD18">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1</w:t>
                  </w:r>
                  <w:r>
                    <w:rPr>
                      <w:rFonts w:ascii="Times New Roman" w:hAnsi="Times New Roman" w:eastAsia="宋体" w:cs="Times New Roman"/>
                      <w:color w:val="auto"/>
                      <w:sz w:val="21"/>
                    </w:rPr>
                    <w:t>7</w:t>
                  </w:r>
                </w:p>
              </w:tc>
              <w:tc>
                <w:tcPr>
                  <w:tcW w:w="797" w:type="pct"/>
                  <w:gridSpan w:val="2"/>
                  <w:tcBorders>
                    <w:left w:val="single" w:color="auto" w:sz="4" w:space="0"/>
                  </w:tcBorders>
                  <w:vAlign w:val="center"/>
                </w:tcPr>
                <w:p w14:paraId="3B33B302">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砷</w:t>
                  </w:r>
                </w:p>
              </w:tc>
              <w:tc>
                <w:tcPr>
                  <w:tcW w:w="2889" w:type="pct"/>
                  <w:vAlign w:val="center"/>
                </w:tcPr>
                <w:p w14:paraId="110A4192">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汞、砷、硒、铋和锑的测定 原子荧光法HJ 694-2014</w:t>
                  </w:r>
                </w:p>
              </w:tc>
              <w:tc>
                <w:tcPr>
                  <w:tcW w:w="961" w:type="pct"/>
                  <w:vAlign w:val="center"/>
                </w:tcPr>
                <w:p w14:paraId="5C51F254">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w:t>
                  </w:r>
                  <w:r>
                    <w:rPr>
                      <w:rFonts w:hint="eastAsia" w:ascii="Times New Roman" w:hAnsi="Times New Roman" w:eastAsia="宋体" w:cs="Times New Roman"/>
                      <w:color w:val="auto"/>
                      <w:sz w:val="21"/>
                    </w:rPr>
                    <w:t>000</w:t>
                  </w:r>
                  <w:r>
                    <w:rPr>
                      <w:rFonts w:ascii="Times New Roman" w:hAnsi="Times New Roman" w:eastAsia="宋体" w:cs="Times New Roman"/>
                      <w:color w:val="auto"/>
                      <w:sz w:val="21"/>
                    </w:rPr>
                    <w:t>3mg/L</w:t>
                  </w:r>
                </w:p>
              </w:tc>
            </w:tr>
            <w:tr w14:paraId="470DF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7EEE4741">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1</w:t>
                  </w:r>
                  <w:r>
                    <w:rPr>
                      <w:rFonts w:ascii="Times New Roman" w:hAnsi="Times New Roman" w:eastAsia="宋体" w:cs="Times New Roman"/>
                      <w:color w:val="auto"/>
                      <w:sz w:val="21"/>
                    </w:rPr>
                    <w:t>8</w:t>
                  </w:r>
                </w:p>
              </w:tc>
              <w:tc>
                <w:tcPr>
                  <w:tcW w:w="797" w:type="pct"/>
                  <w:gridSpan w:val="2"/>
                  <w:tcBorders>
                    <w:left w:val="single" w:color="auto" w:sz="4" w:space="0"/>
                  </w:tcBorders>
                  <w:vAlign w:val="center"/>
                </w:tcPr>
                <w:p w14:paraId="22E0BC3C">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镉</w:t>
                  </w:r>
                </w:p>
              </w:tc>
              <w:tc>
                <w:tcPr>
                  <w:tcW w:w="2889" w:type="pct"/>
                  <w:vAlign w:val="center"/>
                </w:tcPr>
                <w:p w14:paraId="180576AB">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铜、铅、镉 石墨炉原子吸收分光光度法《水和废水监测分析方法》（第四版）国家环境保护总局 （2002年）</w:t>
                  </w:r>
                </w:p>
              </w:tc>
              <w:tc>
                <w:tcPr>
                  <w:tcW w:w="961" w:type="pct"/>
                  <w:vAlign w:val="center"/>
                </w:tcPr>
                <w:p w14:paraId="62402EDB">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0.0001mg/L</w:t>
                  </w:r>
                </w:p>
              </w:tc>
            </w:tr>
            <w:tr w14:paraId="66CF6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35C30E9E">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1</w:t>
                  </w:r>
                  <w:r>
                    <w:rPr>
                      <w:rFonts w:ascii="Times New Roman" w:hAnsi="Times New Roman" w:eastAsia="宋体" w:cs="Times New Roman"/>
                      <w:color w:val="auto"/>
                      <w:sz w:val="21"/>
                    </w:rPr>
                    <w:t>9</w:t>
                  </w:r>
                </w:p>
              </w:tc>
              <w:tc>
                <w:tcPr>
                  <w:tcW w:w="797" w:type="pct"/>
                  <w:gridSpan w:val="2"/>
                  <w:tcBorders>
                    <w:left w:val="single" w:color="auto" w:sz="4" w:space="0"/>
                  </w:tcBorders>
                  <w:vAlign w:val="center"/>
                </w:tcPr>
                <w:p w14:paraId="10B4F913">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六价铬</w:t>
                  </w:r>
                </w:p>
              </w:tc>
              <w:tc>
                <w:tcPr>
                  <w:tcW w:w="2889" w:type="pct"/>
                  <w:vAlign w:val="center"/>
                </w:tcPr>
                <w:p w14:paraId="17F5ACE5">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六价铬的测定 二苯碳酰二肼分光光度法</w:t>
                  </w:r>
                  <w:r>
                    <w:rPr>
                      <w:rFonts w:hint="eastAsia" w:ascii="Times New Roman" w:hAnsi="Times New Roman" w:eastAsia="宋体" w:cs="Times New Roman"/>
                      <w:color w:val="auto"/>
                      <w:sz w:val="21"/>
                    </w:rPr>
                    <w:t xml:space="preserve"> </w:t>
                  </w:r>
                  <w:r>
                    <w:rPr>
                      <w:rFonts w:ascii="Times New Roman" w:hAnsi="Times New Roman" w:eastAsia="宋体" w:cs="Times New Roman"/>
                      <w:color w:val="auto"/>
                      <w:sz w:val="21"/>
                    </w:rPr>
                    <w:t>GB7467-1987</w:t>
                  </w:r>
                </w:p>
              </w:tc>
              <w:tc>
                <w:tcPr>
                  <w:tcW w:w="961" w:type="pct"/>
                  <w:vAlign w:val="center"/>
                </w:tcPr>
                <w:p w14:paraId="0D180DF1">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0.004mg/L</w:t>
                  </w:r>
                </w:p>
              </w:tc>
            </w:tr>
            <w:tr w14:paraId="5A211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78588A0D">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2</w:t>
                  </w:r>
                  <w:r>
                    <w:rPr>
                      <w:rFonts w:ascii="Times New Roman" w:hAnsi="Times New Roman" w:eastAsia="宋体" w:cs="Times New Roman"/>
                      <w:color w:val="auto"/>
                      <w:sz w:val="21"/>
                    </w:rPr>
                    <w:t>0</w:t>
                  </w:r>
                </w:p>
              </w:tc>
              <w:tc>
                <w:tcPr>
                  <w:tcW w:w="797" w:type="pct"/>
                  <w:gridSpan w:val="2"/>
                  <w:tcBorders>
                    <w:left w:val="single" w:color="auto" w:sz="4" w:space="0"/>
                  </w:tcBorders>
                  <w:vAlign w:val="center"/>
                </w:tcPr>
                <w:p w14:paraId="00342B16">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K+</w:t>
                  </w:r>
                </w:p>
              </w:tc>
              <w:tc>
                <w:tcPr>
                  <w:tcW w:w="2889" w:type="pct"/>
                  <w:vMerge w:val="restart"/>
                  <w:vAlign w:val="center"/>
                </w:tcPr>
                <w:p w14:paraId="35483887">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钾和钠的测定 火焰原子吸收分光光度法GB 11904-1989</w:t>
                  </w:r>
                </w:p>
              </w:tc>
              <w:tc>
                <w:tcPr>
                  <w:tcW w:w="961" w:type="pct"/>
                  <w:vAlign w:val="center"/>
                </w:tcPr>
                <w:p w14:paraId="15869D85">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0.05mg/L</w:t>
                  </w:r>
                </w:p>
              </w:tc>
            </w:tr>
            <w:tr w14:paraId="17CC5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3111BBE6">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2</w:t>
                  </w:r>
                  <w:r>
                    <w:rPr>
                      <w:rFonts w:ascii="Times New Roman" w:hAnsi="Times New Roman" w:eastAsia="宋体" w:cs="Times New Roman"/>
                      <w:color w:val="auto"/>
                      <w:sz w:val="21"/>
                    </w:rPr>
                    <w:t>1</w:t>
                  </w:r>
                </w:p>
              </w:tc>
              <w:tc>
                <w:tcPr>
                  <w:tcW w:w="797" w:type="pct"/>
                  <w:gridSpan w:val="2"/>
                  <w:tcBorders>
                    <w:left w:val="single" w:color="auto" w:sz="4" w:space="0"/>
                  </w:tcBorders>
                  <w:vAlign w:val="center"/>
                </w:tcPr>
                <w:p w14:paraId="25F5E73F">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Na+</w:t>
                  </w:r>
                </w:p>
              </w:tc>
              <w:tc>
                <w:tcPr>
                  <w:tcW w:w="2889" w:type="pct"/>
                  <w:vMerge w:val="continue"/>
                  <w:vAlign w:val="center"/>
                </w:tcPr>
                <w:p w14:paraId="0D59BE84">
                  <w:pPr>
                    <w:snapToGrid w:val="0"/>
                    <w:spacing w:line="300" w:lineRule="exact"/>
                    <w:jc w:val="center"/>
                    <w:rPr>
                      <w:rFonts w:ascii="Times New Roman" w:hAnsi="Times New Roman" w:eastAsia="宋体" w:cs="Times New Roman"/>
                      <w:color w:val="auto"/>
                      <w:sz w:val="21"/>
                    </w:rPr>
                  </w:pPr>
                </w:p>
              </w:tc>
              <w:tc>
                <w:tcPr>
                  <w:tcW w:w="961" w:type="pct"/>
                  <w:vAlign w:val="center"/>
                </w:tcPr>
                <w:p w14:paraId="1CC31E8F">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0.01mg/L</w:t>
                  </w:r>
                </w:p>
              </w:tc>
            </w:tr>
            <w:tr w14:paraId="3D250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2A24193A">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2</w:t>
                  </w:r>
                  <w:r>
                    <w:rPr>
                      <w:rFonts w:ascii="Times New Roman" w:hAnsi="Times New Roman" w:eastAsia="宋体" w:cs="Times New Roman"/>
                      <w:color w:val="auto"/>
                      <w:sz w:val="21"/>
                    </w:rPr>
                    <w:t>2</w:t>
                  </w:r>
                </w:p>
              </w:tc>
              <w:tc>
                <w:tcPr>
                  <w:tcW w:w="797" w:type="pct"/>
                  <w:gridSpan w:val="2"/>
                  <w:tcBorders>
                    <w:left w:val="single" w:color="auto" w:sz="4" w:space="0"/>
                  </w:tcBorders>
                  <w:vAlign w:val="center"/>
                </w:tcPr>
                <w:p w14:paraId="0F65205E">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Ca2+</w:t>
                  </w:r>
                </w:p>
              </w:tc>
              <w:tc>
                <w:tcPr>
                  <w:tcW w:w="2889" w:type="pct"/>
                  <w:vMerge w:val="restart"/>
                  <w:vAlign w:val="center"/>
                </w:tcPr>
                <w:p w14:paraId="3B928A21">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钙和镁的测定 原子吸收分光光度法GB 11905-1989</w:t>
                  </w:r>
                </w:p>
              </w:tc>
              <w:tc>
                <w:tcPr>
                  <w:tcW w:w="961" w:type="pct"/>
                  <w:vAlign w:val="center"/>
                </w:tcPr>
                <w:p w14:paraId="730CE0E3">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0.02mg/L</w:t>
                  </w:r>
                </w:p>
              </w:tc>
            </w:tr>
            <w:tr w14:paraId="7D653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35FE461A">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2</w:t>
                  </w:r>
                  <w:r>
                    <w:rPr>
                      <w:rFonts w:ascii="Times New Roman" w:hAnsi="Times New Roman" w:eastAsia="宋体" w:cs="Times New Roman"/>
                      <w:color w:val="auto"/>
                      <w:sz w:val="21"/>
                    </w:rPr>
                    <w:t>3</w:t>
                  </w:r>
                </w:p>
              </w:tc>
              <w:tc>
                <w:tcPr>
                  <w:tcW w:w="797" w:type="pct"/>
                  <w:gridSpan w:val="2"/>
                  <w:tcBorders>
                    <w:left w:val="single" w:color="auto" w:sz="4" w:space="0"/>
                  </w:tcBorders>
                  <w:vAlign w:val="center"/>
                </w:tcPr>
                <w:p w14:paraId="3D65A6B5">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Mg2+</w:t>
                  </w:r>
                </w:p>
              </w:tc>
              <w:tc>
                <w:tcPr>
                  <w:tcW w:w="2889" w:type="pct"/>
                  <w:vMerge w:val="continue"/>
                  <w:vAlign w:val="center"/>
                </w:tcPr>
                <w:p w14:paraId="7E597721">
                  <w:pPr>
                    <w:snapToGrid w:val="0"/>
                    <w:spacing w:line="300" w:lineRule="exact"/>
                    <w:jc w:val="center"/>
                    <w:rPr>
                      <w:rFonts w:ascii="Times New Roman" w:hAnsi="Times New Roman" w:eastAsia="宋体" w:cs="Times New Roman"/>
                      <w:color w:val="auto"/>
                      <w:sz w:val="21"/>
                    </w:rPr>
                  </w:pPr>
                </w:p>
              </w:tc>
              <w:tc>
                <w:tcPr>
                  <w:tcW w:w="961" w:type="pct"/>
                  <w:vAlign w:val="center"/>
                </w:tcPr>
                <w:p w14:paraId="0EBE236B">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0.002mg/L</w:t>
                  </w:r>
                </w:p>
              </w:tc>
            </w:tr>
            <w:tr w14:paraId="190FF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56D3B0B5">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2</w:t>
                  </w:r>
                  <w:r>
                    <w:rPr>
                      <w:rFonts w:ascii="Times New Roman" w:hAnsi="Times New Roman" w:eastAsia="宋体" w:cs="Times New Roman"/>
                      <w:color w:val="auto"/>
                      <w:sz w:val="21"/>
                    </w:rPr>
                    <w:t>4</w:t>
                  </w:r>
                </w:p>
              </w:tc>
              <w:tc>
                <w:tcPr>
                  <w:tcW w:w="797" w:type="pct"/>
                  <w:gridSpan w:val="2"/>
                  <w:tcBorders>
                    <w:left w:val="single" w:color="auto" w:sz="4" w:space="0"/>
                  </w:tcBorders>
                  <w:vAlign w:val="center"/>
                </w:tcPr>
                <w:p w14:paraId="73942861">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CO32-</w:t>
                  </w:r>
                </w:p>
              </w:tc>
              <w:tc>
                <w:tcPr>
                  <w:tcW w:w="2889" w:type="pct"/>
                  <w:vMerge w:val="restart"/>
                  <w:vAlign w:val="center"/>
                </w:tcPr>
                <w:p w14:paraId="2B4366F3">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碱度 酸碱指示剂滴定法《水和废水监测分析方法》（第四版）国家环境保护总局（2002 年）</w:t>
                  </w:r>
                </w:p>
              </w:tc>
              <w:tc>
                <w:tcPr>
                  <w:tcW w:w="961" w:type="pct"/>
                  <w:vAlign w:val="center"/>
                </w:tcPr>
                <w:p w14:paraId="186E2A32">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w:t>
                  </w:r>
                </w:p>
              </w:tc>
            </w:tr>
            <w:tr w14:paraId="7813E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exact"/>
                <w:jc w:val="center"/>
              </w:trPr>
              <w:tc>
                <w:tcPr>
                  <w:tcW w:w="587" w:type="dxa"/>
                  <w:tcBorders>
                    <w:left w:val="single" w:color="auto" w:sz="4" w:space="0"/>
                  </w:tcBorders>
                  <w:vAlign w:val="center"/>
                </w:tcPr>
                <w:p w14:paraId="138444F6">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2</w:t>
                  </w:r>
                  <w:r>
                    <w:rPr>
                      <w:rFonts w:ascii="Times New Roman" w:hAnsi="Times New Roman" w:eastAsia="宋体" w:cs="Times New Roman"/>
                      <w:color w:val="auto"/>
                      <w:sz w:val="21"/>
                    </w:rPr>
                    <w:t>5</w:t>
                  </w:r>
                </w:p>
              </w:tc>
              <w:tc>
                <w:tcPr>
                  <w:tcW w:w="797" w:type="pct"/>
                  <w:gridSpan w:val="2"/>
                  <w:tcBorders>
                    <w:left w:val="single" w:color="auto" w:sz="4" w:space="0"/>
                  </w:tcBorders>
                  <w:vAlign w:val="center"/>
                </w:tcPr>
                <w:p w14:paraId="6B6DEB89">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HCO3-</w:t>
                  </w:r>
                </w:p>
              </w:tc>
              <w:tc>
                <w:tcPr>
                  <w:tcW w:w="2889" w:type="pct"/>
                  <w:vMerge w:val="continue"/>
                  <w:vAlign w:val="center"/>
                </w:tcPr>
                <w:p w14:paraId="01D57165">
                  <w:pPr>
                    <w:snapToGrid w:val="0"/>
                    <w:spacing w:line="300" w:lineRule="exact"/>
                    <w:jc w:val="center"/>
                    <w:rPr>
                      <w:rFonts w:ascii="Times New Roman" w:hAnsi="Times New Roman" w:eastAsia="宋体" w:cs="Times New Roman"/>
                      <w:color w:val="auto"/>
                      <w:sz w:val="21"/>
                    </w:rPr>
                  </w:pPr>
                </w:p>
              </w:tc>
              <w:tc>
                <w:tcPr>
                  <w:tcW w:w="961" w:type="pct"/>
                  <w:vAlign w:val="center"/>
                </w:tcPr>
                <w:p w14:paraId="5607B23B">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w:t>
                  </w:r>
                </w:p>
              </w:tc>
            </w:tr>
            <w:tr w14:paraId="144ED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1BC3ABAF">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2</w:t>
                  </w:r>
                  <w:r>
                    <w:rPr>
                      <w:rFonts w:ascii="Times New Roman" w:hAnsi="Times New Roman" w:eastAsia="宋体" w:cs="Times New Roman"/>
                      <w:color w:val="auto"/>
                      <w:sz w:val="21"/>
                    </w:rPr>
                    <w:t>6</w:t>
                  </w:r>
                </w:p>
              </w:tc>
              <w:tc>
                <w:tcPr>
                  <w:tcW w:w="797" w:type="pct"/>
                  <w:gridSpan w:val="2"/>
                  <w:tcBorders>
                    <w:left w:val="single" w:color="auto" w:sz="4" w:space="0"/>
                  </w:tcBorders>
                  <w:vAlign w:val="center"/>
                </w:tcPr>
                <w:p w14:paraId="6074A83E">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氟化物</w:t>
                  </w:r>
                </w:p>
              </w:tc>
              <w:tc>
                <w:tcPr>
                  <w:tcW w:w="2889" w:type="pct"/>
                  <w:vAlign w:val="center"/>
                </w:tcPr>
                <w:p w14:paraId="580337ED">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氟化物的测定 离子选择电极法</w:t>
                  </w:r>
                  <w:r>
                    <w:rPr>
                      <w:rFonts w:hint="eastAsia" w:ascii="Times New Roman" w:hAnsi="Times New Roman" w:eastAsia="宋体" w:cs="Times New Roman"/>
                      <w:color w:val="auto"/>
                      <w:sz w:val="21"/>
                    </w:rPr>
                    <w:t xml:space="preserve"> </w:t>
                  </w:r>
                  <w:r>
                    <w:rPr>
                      <w:rFonts w:ascii="Times New Roman" w:hAnsi="Times New Roman" w:eastAsia="宋体" w:cs="Times New Roman"/>
                      <w:color w:val="auto"/>
                      <w:sz w:val="21"/>
                    </w:rPr>
                    <w:t>GB/T 7484-198</w:t>
                  </w:r>
                </w:p>
              </w:tc>
              <w:tc>
                <w:tcPr>
                  <w:tcW w:w="961" w:type="pct"/>
                  <w:vAlign w:val="center"/>
                </w:tcPr>
                <w:p w14:paraId="78A766A6">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0.05mg/L</w:t>
                  </w:r>
                </w:p>
              </w:tc>
            </w:tr>
            <w:tr w14:paraId="54170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7C0637DC">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2</w:t>
                  </w:r>
                  <w:r>
                    <w:rPr>
                      <w:rFonts w:ascii="Times New Roman" w:hAnsi="Times New Roman" w:eastAsia="宋体" w:cs="Times New Roman"/>
                      <w:color w:val="auto"/>
                      <w:sz w:val="21"/>
                    </w:rPr>
                    <w:t>7</w:t>
                  </w:r>
                </w:p>
              </w:tc>
              <w:tc>
                <w:tcPr>
                  <w:tcW w:w="797" w:type="pct"/>
                  <w:gridSpan w:val="2"/>
                  <w:tcBorders>
                    <w:left w:val="single" w:color="auto" w:sz="4" w:space="0"/>
                  </w:tcBorders>
                  <w:vAlign w:val="center"/>
                </w:tcPr>
                <w:p w14:paraId="2DA05D22">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苯</w:t>
                  </w:r>
                </w:p>
              </w:tc>
              <w:tc>
                <w:tcPr>
                  <w:tcW w:w="2889" w:type="pct"/>
                  <w:vMerge w:val="restart"/>
                  <w:vAlign w:val="center"/>
                </w:tcPr>
                <w:p w14:paraId="7E6BD186">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水质 苯系物的测定 顶空/气相色谱法HJ 1067-2019</w:t>
                  </w:r>
                </w:p>
              </w:tc>
              <w:tc>
                <w:tcPr>
                  <w:tcW w:w="961" w:type="pct"/>
                  <w:vAlign w:val="center"/>
                </w:tcPr>
                <w:p w14:paraId="18F5A14B">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0.002</w:t>
                  </w:r>
                  <w:r>
                    <w:rPr>
                      <w:rFonts w:ascii="Times New Roman" w:hAnsi="Times New Roman" w:eastAsia="宋体" w:cs="Times New Roman"/>
                      <w:color w:val="auto"/>
                      <w:sz w:val="21"/>
                    </w:rPr>
                    <w:t>mg/L</w:t>
                  </w:r>
                </w:p>
              </w:tc>
            </w:tr>
            <w:tr w14:paraId="01326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4CD57AAB">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2</w:t>
                  </w:r>
                  <w:r>
                    <w:rPr>
                      <w:rFonts w:ascii="Times New Roman" w:hAnsi="Times New Roman" w:eastAsia="宋体" w:cs="Times New Roman"/>
                      <w:color w:val="auto"/>
                      <w:sz w:val="21"/>
                    </w:rPr>
                    <w:t>8</w:t>
                  </w:r>
                </w:p>
              </w:tc>
              <w:tc>
                <w:tcPr>
                  <w:tcW w:w="797" w:type="pct"/>
                  <w:gridSpan w:val="2"/>
                  <w:tcBorders>
                    <w:left w:val="single" w:color="auto" w:sz="4" w:space="0"/>
                  </w:tcBorders>
                  <w:vAlign w:val="center"/>
                </w:tcPr>
                <w:p w14:paraId="3062D6DC">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甲苯</w:t>
                  </w:r>
                </w:p>
              </w:tc>
              <w:tc>
                <w:tcPr>
                  <w:tcW w:w="2889" w:type="pct"/>
                  <w:vMerge w:val="continue"/>
                  <w:vAlign w:val="center"/>
                </w:tcPr>
                <w:p w14:paraId="19371304">
                  <w:pPr>
                    <w:snapToGrid w:val="0"/>
                    <w:spacing w:line="300" w:lineRule="exact"/>
                    <w:jc w:val="center"/>
                    <w:rPr>
                      <w:rFonts w:ascii="Times New Roman" w:hAnsi="Times New Roman" w:eastAsia="宋体" w:cs="Times New Roman"/>
                      <w:color w:val="auto"/>
                      <w:sz w:val="21"/>
                    </w:rPr>
                  </w:pPr>
                </w:p>
              </w:tc>
              <w:tc>
                <w:tcPr>
                  <w:tcW w:w="961" w:type="pct"/>
                  <w:vAlign w:val="center"/>
                </w:tcPr>
                <w:p w14:paraId="1EC688DC">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0.002</w:t>
                  </w:r>
                  <w:r>
                    <w:rPr>
                      <w:rFonts w:ascii="Times New Roman" w:hAnsi="Times New Roman" w:eastAsia="宋体" w:cs="Times New Roman"/>
                      <w:color w:val="auto"/>
                      <w:sz w:val="21"/>
                    </w:rPr>
                    <w:t>mg/L</w:t>
                  </w:r>
                </w:p>
              </w:tc>
            </w:tr>
            <w:tr w14:paraId="6C6E9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74409890">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2</w:t>
                  </w:r>
                  <w:r>
                    <w:rPr>
                      <w:rFonts w:ascii="Times New Roman" w:hAnsi="Times New Roman" w:eastAsia="宋体" w:cs="Times New Roman"/>
                      <w:color w:val="auto"/>
                      <w:sz w:val="21"/>
                    </w:rPr>
                    <w:t>9</w:t>
                  </w:r>
                </w:p>
              </w:tc>
              <w:tc>
                <w:tcPr>
                  <w:tcW w:w="338" w:type="pct"/>
                  <w:vMerge w:val="restart"/>
                  <w:tcBorders>
                    <w:left w:val="single" w:color="auto" w:sz="4" w:space="0"/>
                  </w:tcBorders>
                  <w:vAlign w:val="center"/>
                </w:tcPr>
                <w:p w14:paraId="196B11D4">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二甲苯</w:t>
                  </w:r>
                </w:p>
              </w:tc>
              <w:tc>
                <w:tcPr>
                  <w:tcW w:w="458" w:type="pct"/>
                  <w:tcBorders>
                    <w:left w:val="single" w:color="auto" w:sz="4" w:space="0"/>
                  </w:tcBorders>
                  <w:vAlign w:val="center"/>
                </w:tcPr>
                <w:p w14:paraId="42B3A7DE">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间，对-二甲苯</w:t>
                  </w:r>
                </w:p>
              </w:tc>
              <w:tc>
                <w:tcPr>
                  <w:tcW w:w="2889" w:type="pct"/>
                  <w:vMerge w:val="restart"/>
                  <w:vAlign w:val="center"/>
                </w:tcPr>
                <w:p w14:paraId="6809A2C8">
                  <w:pPr>
                    <w:snapToGrid w:val="0"/>
                    <w:spacing w:line="300" w:lineRule="exact"/>
                    <w:jc w:val="center"/>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水质 挥发性有机物的测定 吹扫捕集 气相色谱－质谱法</w:t>
                  </w:r>
                </w:p>
                <w:p w14:paraId="43D4FF54">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HJ 639-2012</w:t>
                  </w:r>
                </w:p>
              </w:tc>
              <w:tc>
                <w:tcPr>
                  <w:tcW w:w="961" w:type="pct"/>
                  <w:vAlign w:val="center"/>
                </w:tcPr>
                <w:p w14:paraId="335B9126">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0.0022mg/L</w:t>
                  </w:r>
                </w:p>
              </w:tc>
            </w:tr>
            <w:tr w14:paraId="2BB2C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2A87DBC9">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3</w:t>
                  </w:r>
                  <w:r>
                    <w:rPr>
                      <w:rFonts w:ascii="Times New Roman" w:hAnsi="Times New Roman" w:eastAsia="宋体" w:cs="Times New Roman"/>
                      <w:color w:val="auto"/>
                      <w:sz w:val="21"/>
                    </w:rPr>
                    <w:t>0</w:t>
                  </w:r>
                </w:p>
              </w:tc>
              <w:tc>
                <w:tcPr>
                  <w:tcW w:w="338" w:type="pct"/>
                  <w:vMerge w:val="continue"/>
                  <w:tcBorders>
                    <w:left w:val="single" w:color="auto" w:sz="4" w:space="0"/>
                  </w:tcBorders>
                  <w:vAlign w:val="center"/>
                </w:tcPr>
                <w:p w14:paraId="2F7C5E0A">
                  <w:pPr>
                    <w:snapToGrid w:val="0"/>
                    <w:spacing w:line="300" w:lineRule="exact"/>
                    <w:jc w:val="center"/>
                    <w:rPr>
                      <w:rFonts w:ascii="Times New Roman" w:hAnsi="Times New Roman" w:eastAsia="宋体" w:cs="Times New Roman"/>
                      <w:color w:val="auto"/>
                      <w:sz w:val="21"/>
                    </w:rPr>
                  </w:pPr>
                </w:p>
              </w:tc>
              <w:tc>
                <w:tcPr>
                  <w:tcW w:w="458" w:type="pct"/>
                  <w:tcBorders>
                    <w:left w:val="single" w:color="auto" w:sz="4" w:space="0"/>
                  </w:tcBorders>
                  <w:vAlign w:val="center"/>
                </w:tcPr>
                <w:p w14:paraId="31ECAD80">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邻-二甲苯</w:t>
                  </w:r>
                </w:p>
              </w:tc>
              <w:tc>
                <w:tcPr>
                  <w:tcW w:w="2889" w:type="pct"/>
                  <w:vMerge w:val="continue"/>
                  <w:vAlign w:val="center"/>
                </w:tcPr>
                <w:p w14:paraId="5FF99CFB">
                  <w:pPr>
                    <w:snapToGrid w:val="0"/>
                    <w:spacing w:line="300" w:lineRule="exact"/>
                    <w:jc w:val="center"/>
                    <w:rPr>
                      <w:rFonts w:ascii="Times New Roman" w:hAnsi="Times New Roman" w:eastAsia="宋体" w:cs="Times New Roman"/>
                      <w:color w:val="auto"/>
                      <w:sz w:val="21"/>
                    </w:rPr>
                  </w:pPr>
                </w:p>
              </w:tc>
              <w:tc>
                <w:tcPr>
                  <w:tcW w:w="961" w:type="pct"/>
                  <w:vAlign w:val="center"/>
                </w:tcPr>
                <w:p w14:paraId="0DDFAA51">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0.0014mg/L</w:t>
                  </w:r>
                </w:p>
              </w:tc>
            </w:tr>
            <w:tr w14:paraId="59BA5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87" w:type="dxa"/>
                  <w:tcBorders>
                    <w:left w:val="single" w:color="auto" w:sz="4" w:space="0"/>
                  </w:tcBorders>
                  <w:vAlign w:val="center"/>
                </w:tcPr>
                <w:p w14:paraId="2962B143">
                  <w:pPr>
                    <w:snapToGrid w:val="0"/>
                    <w:spacing w:line="300" w:lineRule="exact"/>
                    <w:jc w:val="center"/>
                    <w:rPr>
                      <w:rFonts w:ascii="Times New Roman" w:hAnsi="Times New Roman" w:eastAsia="宋体" w:cs="Times New Roman"/>
                      <w:color w:val="auto"/>
                      <w:sz w:val="21"/>
                    </w:rPr>
                  </w:pPr>
                  <w:r>
                    <w:rPr>
                      <w:rFonts w:hint="eastAsia" w:ascii="Times New Roman" w:hAnsi="Times New Roman" w:eastAsia="宋体" w:cs="Times New Roman"/>
                      <w:color w:val="auto"/>
                      <w:sz w:val="21"/>
                    </w:rPr>
                    <w:t>3</w:t>
                  </w:r>
                  <w:r>
                    <w:rPr>
                      <w:rFonts w:ascii="Times New Roman" w:hAnsi="Times New Roman" w:eastAsia="宋体" w:cs="Times New Roman"/>
                      <w:color w:val="auto"/>
                      <w:sz w:val="21"/>
                    </w:rPr>
                    <w:t>1</w:t>
                  </w:r>
                </w:p>
              </w:tc>
              <w:tc>
                <w:tcPr>
                  <w:tcW w:w="797" w:type="pct"/>
                  <w:gridSpan w:val="2"/>
                  <w:tcBorders>
                    <w:left w:val="single" w:color="auto" w:sz="4" w:space="0"/>
                  </w:tcBorders>
                  <w:vAlign w:val="center"/>
                </w:tcPr>
                <w:p w14:paraId="128D199D">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氰化物</w:t>
                  </w:r>
                </w:p>
              </w:tc>
              <w:tc>
                <w:tcPr>
                  <w:tcW w:w="2889" w:type="pct"/>
                  <w:vAlign w:val="center"/>
                </w:tcPr>
                <w:p w14:paraId="3CB87328">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地下水质分析方法第52部分：氰化物的测定吡啶-吡唑啉酮分光光度法  DZ/T 0064.52-2021</w:t>
                  </w:r>
                </w:p>
              </w:tc>
              <w:tc>
                <w:tcPr>
                  <w:tcW w:w="961" w:type="pct"/>
                  <w:vAlign w:val="center"/>
                </w:tcPr>
                <w:p w14:paraId="2B1BCA06">
                  <w:pPr>
                    <w:snapToGrid w:val="0"/>
                    <w:spacing w:line="300" w:lineRule="exact"/>
                    <w:jc w:val="center"/>
                    <w:rPr>
                      <w:rFonts w:ascii="Times New Roman" w:hAnsi="Times New Roman" w:eastAsia="宋体" w:cs="Times New Roman"/>
                      <w:color w:val="auto"/>
                      <w:sz w:val="21"/>
                    </w:rPr>
                  </w:pPr>
                  <w:r>
                    <w:rPr>
                      <w:rFonts w:ascii="Times New Roman" w:hAnsi="Times New Roman" w:eastAsia="宋体" w:cs="Times New Roman"/>
                      <w:color w:val="auto"/>
                      <w:sz w:val="21"/>
                    </w:rPr>
                    <w:t>0.002mg/L</w:t>
                  </w:r>
                </w:p>
              </w:tc>
            </w:tr>
          </w:tbl>
          <w:p w14:paraId="3A3ADFDC">
            <w:pPr>
              <w:pStyle w:val="6"/>
              <w:spacing w:line="500" w:lineRule="exact"/>
              <w:ind w:firstLine="48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 xml:space="preserve">⑸ </w:t>
            </w:r>
            <w:r>
              <w:rPr>
                <w:rFonts w:hint="eastAsia" w:ascii="Times New Roman" w:hAnsi="Times New Roman" w:eastAsia="宋体" w:cs="Times New Roman"/>
                <w:color w:val="auto"/>
                <w:kern w:val="0"/>
                <w:sz w:val="24"/>
              </w:rPr>
              <w:t>评价标准</w:t>
            </w:r>
          </w:p>
          <w:p w14:paraId="0A70A05D">
            <w:pPr>
              <w:pStyle w:val="6"/>
              <w:spacing w:line="500" w:lineRule="exact"/>
              <w:ind w:firstLine="480"/>
              <w:rPr>
                <w:rFonts w:hint="eastAsia" w:ascii="Times New Roman" w:hAnsi="Times New Roman" w:eastAsia="宋体" w:cs="Times New Roman"/>
                <w:color w:val="auto"/>
                <w:kern w:val="0"/>
                <w:sz w:val="24"/>
                <w:u w:val="none"/>
                <w:lang w:eastAsia="zh-CN"/>
              </w:rPr>
            </w:pPr>
            <w:r>
              <w:rPr>
                <w:rFonts w:hint="default" w:ascii="Times New Roman" w:hAnsi="Times New Roman" w:eastAsia="宋体" w:cs="Times New Roman"/>
                <w:color w:val="auto"/>
                <w:kern w:val="0"/>
                <w:sz w:val="24"/>
                <w:u w:val="none"/>
              </w:rPr>
              <w:t>《地下水质量标准》（GB/T14848-2017）</w:t>
            </w:r>
            <w:r>
              <w:rPr>
                <w:rFonts w:hint="eastAsia" w:ascii="Times New Roman" w:hAnsi="Times New Roman" w:eastAsia="宋体" w:cs="Times New Roman"/>
                <w:color w:val="auto"/>
                <w:kern w:val="0"/>
                <w:sz w:val="24"/>
                <w:u w:val="none"/>
                <w:lang w:val="en-US" w:eastAsia="zh-CN"/>
              </w:rPr>
              <w:t>中石油类无环境质量标准，本次评价石油类仅作为背景值，其余监测因子执行</w:t>
            </w:r>
            <w:r>
              <w:rPr>
                <w:rFonts w:hint="default" w:ascii="Times New Roman" w:hAnsi="Times New Roman" w:eastAsia="宋体" w:cs="Times New Roman"/>
                <w:color w:val="auto"/>
                <w:kern w:val="0"/>
                <w:sz w:val="24"/>
                <w:u w:val="none"/>
              </w:rPr>
              <w:t>《地下水质量标准》（GB/T14848-2017）Ⅲ类标准</w:t>
            </w:r>
            <w:r>
              <w:rPr>
                <w:rFonts w:hint="eastAsia" w:ascii="Times New Roman" w:hAnsi="Times New Roman" w:eastAsia="宋体" w:cs="Times New Roman"/>
                <w:color w:val="auto"/>
                <w:kern w:val="0"/>
                <w:sz w:val="24"/>
                <w:u w:val="none"/>
                <w:lang w:eastAsia="zh-CN"/>
              </w:rPr>
              <w:t>。</w:t>
            </w:r>
          </w:p>
          <w:p w14:paraId="179DEBA2">
            <w:pPr>
              <w:pStyle w:val="6"/>
              <w:spacing w:line="500" w:lineRule="exact"/>
              <w:ind w:firstLine="480"/>
              <w:rPr>
                <w:rFonts w:hint="eastAsia" w:ascii="Times New Roman" w:hAnsi="Times New Roman" w:eastAsia="宋体" w:cs="Times New Roman"/>
                <w:color w:val="auto"/>
                <w:kern w:val="0"/>
                <w:sz w:val="24"/>
                <w:u w:val="none"/>
              </w:rPr>
            </w:pPr>
            <w:r>
              <w:rPr>
                <w:rFonts w:hint="eastAsia" w:ascii="Times New Roman" w:hAnsi="Times New Roman" w:eastAsia="宋体" w:cs="Times New Roman"/>
                <w:color w:val="auto"/>
                <w:kern w:val="0"/>
                <w:sz w:val="24"/>
                <w:u w:val="none"/>
                <w:lang w:val="en-US" w:eastAsia="zh-CN"/>
              </w:rPr>
              <w:t xml:space="preserve">⑹ </w:t>
            </w:r>
            <w:r>
              <w:rPr>
                <w:rFonts w:hint="eastAsia" w:ascii="Times New Roman" w:hAnsi="Times New Roman" w:eastAsia="宋体" w:cs="Times New Roman"/>
                <w:color w:val="auto"/>
                <w:kern w:val="0"/>
                <w:sz w:val="24"/>
                <w:u w:val="none"/>
              </w:rPr>
              <w:t>监测结果</w:t>
            </w:r>
          </w:p>
          <w:p w14:paraId="0155D513">
            <w:pPr>
              <w:pStyle w:val="6"/>
              <w:spacing w:line="500" w:lineRule="exact"/>
              <w:ind w:firstLine="480"/>
              <w:rPr>
                <w:rFonts w:hint="eastAsia" w:ascii="Times New Roman" w:hAnsi="Times New Roman" w:eastAsia="宋体" w:cs="Times New Roman"/>
                <w:color w:val="auto"/>
                <w:kern w:val="0"/>
                <w:sz w:val="24"/>
                <w:u w:val="none"/>
              </w:rPr>
            </w:pPr>
            <w:r>
              <w:rPr>
                <w:rFonts w:hint="eastAsia" w:ascii="Times New Roman" w:hAnsi="Times New Roman" w:eastAsia="宋体" w:cs="Times New Roman"/>
                <w:color w:val="auto"/>
                <w:kern w:val="0"/>
                <w:sz w:val="24"/>
                <w:u w:val="none"/>
              </w:rPr>
              <w:t>监测及评价结果见表3-</w:t>
            </w:r>
            <w:r>
              <w:rPr>
                <w:rFonts w:hint="eastAsia" w:cs="Times New Roman"/>
                <w:color w:val="auto"/>
                <w:kern w:val="0"/>
                <w:sz w:val="24"/>
                <w:u w:val="none"/>
                <w:lang w:val="en-US" w:eastAsia="zh-CN"/>
              </w:rPr>
              <w:t>8</w:t>
            </w:r>
            <w:r>
              <w:rPr>
                <w:rFonts w:hint="eastAsia" w:ascii="Times New Roman" w:hAnsi="Times New Roman" w:eastAsia="宋体" w:cs="Times New Roman"/>
                <w:color w:val="auto"/>
                <w:kern w:val="0"/>
                <w:sz w:val="24"/>
                <w:u w:val="none"/>
              </w:rPr>
              <w:t>。</w:t>
            </w:r>
          </w:p>
          <w:p w14:paraId="3C03F0F4">
            <w:pPr>
              <w:pStyle w:val="6"/>
              <w:spacing w:line="500" w:lineRule="exact"/>
              <w:ind w:firstLine="482"/>
              <w:jc w:val="center"/>
              <w:rPr>
                <w:rFonts w:hint="default" w:ascii="Times New Roman" w:hAnsi="Times New Roman" w:eastAsia="宋体" w:cs="Times New Roman"/>
                <w:b/>
                <w:bCs/>
                <w:color w:val="auto"/>
                <w:kern w:val="0"/>
                <w:sz w:val="24"/>
                <w:u w:val="single"/>
                <w:lang w:val="zh-CN"/>
              </w:rPr>
            </w:pPr>
            <w:r>
              <w:rPr>
                <w:rFonts w:hint="default" w:ascii="Times New Roman" w:hAnsi="Times New Roman" w:eastAsia="宋体" w:cs="Times New Roman"/>
                <w:b/>
                <w:bCs/>
                <w:color w:val="auto"/>
                <w:kern w:val="0"/>
                <w:sz w:val="24"/>
                <w:u w:val="single"/>
                <w:lang w:val="zh-CN"/>
              </w:rPr>
              <w:t>表</w:t>
            </w:r>
            <w:r>
              <w:rPr>
                <w:rFonts w:hint="eastAsia" w:ascii="Times New Roman" w:hAnsi="Times New Roman" w:eastAsia="宋体" w:cs="Times New Roman"/>
                <w:b/>
                <w:bCs/>
                <w:color w:val="auto"/>
                <w:kern w:val="0"/>
                <w:sz w:val="24"/>
                <w:u w:val="single"/>
                <w:lang w:val="en-US" w:eastAsia="zh-CN"/>
              </w:rPr>
              <w:t>3</w:t>
            </w:r>
            <w:r>
              <w:rPr>
                <w:rFonts w:hint="default" w:ascii="Times New Roman" w:hAnsi="Times New Roman" w:eastAsia="宋体" w:cs="Times New Roman"/>
                <w:b/>
                <w:bCs/>
                <w:color w:val="auto"/>
                <w:kern w:val="0"/>
                <w:sz w:val="24"/>
                <w:u w:val="single"/>
                <w:lang w:val="zh-CN"/>
              </w:rPr>
              <w:t>-</w:t>
            </w:r>
            <w:r>
              <w:rPr>
                <w:rFonts w:hint="eastAsia" w:cs="Times New Roman"/>
                <w:b/>
                <w:bCs/>
                <w:color w:val="auto"/>
                <w:kern w:val="0"/>
                <w:sz w:val="24"/>
                <w:u w:val="single"/>
                <w:lang w:val="en-US" w:eastAsia="zh-CN"/>
              </w:rPr>
              <w:t>8</w:t>
            </w:r>
            <w:r>
              <w:rPr>
                <w:rFonts w:hint="default" w:ascii="Times New Roman" w:hAnsi="Times New Roman" w:eastAsia="宋体" w:cs="Times New Roman"/>
                <w:b/>
                <w:bCs/>
                <w:color w:val="auto"/>
                <w:kern w:val="0"/>
                <w:sz w:val="24"/>
                <w:u w:val="single"/>
                <w:lang w:val="zh-CN"/>
              </w:rPr>
              <w:t xml:space="preserve"> 地下水监测结果统计及评价一览表  mg/L（pH值无量纲）</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2014"/>
              <w:gridCol w:w="1673"/>
              <w:gridCol w:w="1786"/>
              <w:gridCol w:w="1361"/>
            </w:tblGrid>
            <w:tr w14:paraId="3302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blHeader/>
                <w:jc w:val="center"/>
              </w:trPr>
              <w:tc>
                <w:tcPr>
                  <w:tcW w:w="3559" w:type="dxa"/>
                  <w:gridSpan w:val="2"/>
                  <w:tcBorders>
                    <w:tl2br w:val="nil"/>
                    <w:tr2bl w:val="nil"/>
                  </w:tcBorders>
                  <w:noWrap w:val="0"/>
                  <w:vAlign w:val="center"/>
                </w:tcPr>
                <w:p w14:paraId="3A296EA3">
                  <w:pPr>
                    <w:widowControl/>
                    <w:jc w:val="center"/>
                    <w:rPr>
                      <w:rFonts w:hint="default" w:ascii="Times New Roman" w:hAnsi="Times New Roman" w:cs="Times New Roman"/>
                      <w:b/>
                      <w:color w:val="auto"/>
                      <w:kern w:val="0"/>
                      <w:szCs w:val="21"/>
                      <w:highlight w:val="none"/>
                      <w:u w:val="single"/>
                    </w:rPr>
                  </w:pPr>
                  <w:r>
                    <w:rPr>
                      <w:rFonts w:hint="default" w:ascii="Times New Roman" w:hAnsi="Times New Roman" w:cs="Times New Roman"/>
                      <w:b/>
                      <w:color w:val="auto"/>
                      <w:kern w:val="0"/>
                      <w:szCs w:val="21"/>
                      <w:highlight w:val="none"/>
                      <w:u w:val="single"/>
                    </w:rPr>
                    <mc:AlternateContent>
                      <mc:Choice Requires="wps">
                        <w:drawing>
                          <wp:anchor distT="0" distB="0" distL="114300" distR="114300" simplePos="0" relativeHeight="251660288" behindDoc="0" locked="0" layoutInCell="1" allowOverlap="1">
                            <wp:simplePos x="0" y="0"/>
                            <wp:positionH relativeFrom="column">
                              <wp:posOffset>925195</wp:posOffset>
                            </wp:positionH>
                            <wp:positionV relativeFrom="paragraph">
                              <wp:posOffset>46990</wp:posOffset>
                            </wp:positionV>
                            <wp:extent cx="530860" cy="297180"/>
                            <wp:effectExtent l="0" t="0" r="0" b="0"/>
                            <wp:wrapNone/>
                            <wp:docPr id="19" name="矩形 19"/>
                            <wp:cNvGraphicFramePr/>
                            <a:graphic xmlns:a="http://schemas.openxmlformats.org/drawingml/2006/main">
                              <a:graphicData uri="http://schemas.microsoft.com/office/word/2010/wordprocessingShape">
                                <wps:wsp>
                                  <wps:cNvSpPr>
                                    <a:spLocks noChangeArrowheads="1"/>
                                  </wps:cNvSpPr>
                                  <wps:spPr bwMode="auto">
                                    <a:xfrm>
                                      <a:off x="0" y="0"/>
                                      <a:ext cx="530860" cy="297180"/>
                                    </a:xfrm>
                                    <a:prstGeom prst="rect">
                                      <a:avLst/>
                                    </a:prstGeom>
                                    <a:noFill/>
                                    <a:ln>
                                      <a:noFill/>
                                    </a:ln>
                                    <a:effectLst/>
                                  </wps:spPr>
                                  <wps:txbx>
                                    <w:txbxContent>
                                      <w:p w14:paraId="79E17300">
                                        <w:pPr>
                                          <w:spacing w:line="24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rPr>
                                          <w:t>测点</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72.85pt;margin-top:3.7pt;height:23.4pt;width:41.8pt;z-index:251660288;mso-width-relative:page;mso-height-relative:page;" filled="f" stroked="f" coordsize="21600,21600" o:gfxdata="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YvYoPZAAAACAEAAA8AAAAAAAAAAQAgAAAAIgAA&#10;AGRycy9kb3ducmV2LnhtbFBLAQIUABQAAAAIAIdO4kDWsK6wBwIAAAcEAAAOAAAAAAAAAAEAIAAA&#10;ACgBAABkcnMvZTJvRG9jLnhtbFBLBQYAAAAABgAGAFkBAAChBQAAAAA=&#10;">
                            <v:fill on="f" focussize="0,0"/>
                            <v:stroke on="f"/>
                            <v:imagedata o:title=""/>
                            <o:lock v:ext="edit" aspectratio="f"/>
                            <v:textbox inset="0mm,0mm,0mm,0mm">
                              <w:txbxContent>
                                <w:p w14:paraId="79E17300">
                                  <w:pPr>
                                    <w:spacing w:line="24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rPr>
                                    <w:t>测点</w:t>
                                  </w:r>
                                </w:p>
                              </w:txbxContent>
                            </v:textbox>
                          </v:rect>
                        </w:pict>
                      </mc:Fallback>
                    </mc:AlternateContent>
                  </w:r>
                  <w:r>
                    <w:rPr>
                      <w:rFonts w:hint="default" w:ascii="Times New Roman" w:hAnsi="Times New Roman" w:cs="Times New Roman"/>
                      <w:color w:val="auto"/>
                      <w:highlight w:val="none"/>
                      <w:u w:val="single"/>
                    </w:rPr>
                    <mc:AlternateContent>
                      <mc:Choice Requires="wps">
                        <w:drawing>
                          <wp:anchor distT="0" distB="0" distL="114300" distR="114300" simplePos="0" relativeHeight="251661312" behindDoc="0" locked="0" layoutInCell="1" allowOverlap="1">
                            <wp:simplePos x="0" y="0"/>
                            <wp:positionH relativeFrom="column">
                              <wp:posOffset>-50800</wp:posOffset>
                            </wp:positionH>
                            <wp:positionV relativeFrom="paragraph">
                              <wp:posOffset>19050</wp:posOffset>
                            </wp:positionV>
                            <wp:extent cx="2219960" cy="501015"/>
                            <wp:effectExtent l="1270" t="4445" r="7620" b="8890"/>
                            <wp:wrapNone/>
                            <wp:docPr id="13" name="直接连接符 13"/>
                            <wp:cNvGraphicFramePr/>
                            <a:graphic xmlns:a="http://schemas.openxmlformats.org/drawingml/2006/main">
                              <a:graphicData uri="http://schemas.microsoft.com/office/word/2010/wordprocessingShape">
                                <wps:wsp>
                                  <wps:cNvCnPr/>
                                  <wps:spPr>
                                    <a:xfrm flipH="1" flipV="1">
                                      <a:off x="0" y="0"/>
                                      <a:ext cx="2219960" cy="5010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4pt;margin-top:1.5pt;height:39.45pt;width:174.8pt;z-index:251661312;mso-width-relative:page;mso-height-relative:page;" filled="f" stroked="t" coordsize="21600,21600" o:gfxdata="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ouZAHUAAAABwEAAA8AAAAAAAAAAQAgAAAAIgAAAGRycy9kb3du&#10;cmV2LnhtbFBLAQIUABQAAAAIAIdO4kC0Ab/5AwIAAP8DAAAOAAAAAAAAAAEAIAAAACMBAABkcnMv&#10;ZTJvRG9jLnhtbFBLBQYAAAAABgAGAFkBAACYBQAAAAA=&#10;">
                            <v:fill on="f" focussize="0,0"/>
                            <v:stroke color="#000000" joinstyle="round"/>
                            <v:imagedata o:title=""/>
                            <o:lock v:ext="edit" aspectratio="f"/>
                          </v:line>
                        </w:pict>
                      </mc:Fallback>
                    </mc:AlternateContent>
                  </w:r>
                  <w:r>
                    <w:rPr>
                      <w:rFonts w:hint="default" w:ascii="Times New Roman" w:hAnsi="Times New Roman" w:cs="Times New Roman"/>
                      <w:b/>
                      <w:color w:val="auto"/>
                      <w:kern w:val="0"/>
                      <w:szCs w:val="21"/>
                      <w:highlight w:val="none"/>
                      <w:u w:val="single"/>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281305</wp:posOffset>
                            </wp:positionV>
                            <wp:extent cx="435610" cy="240665"/>
                            <wp:effectExtent l="0" t="0" r="0" b="0"/>
                            <wp:wrapNone/>
                            <wp:docPr id="23" name="矩形 23"/>
                            <wp:cNvGraphicFramePr/>
                            <a:graphic xmlns:a="http://schemas.openxmlformats.org/drawingml/2006/main">
                              <a:graphicData uri="http://schemas.microsoft.com/office/word/2010/wordprocessingShape">
                                <wps:wsp>
                                  <wps:cNvSpPr>
                                    <a:spLocks noChangeArrowheads="1"/>
                                  </wps:cNvSpPr>
                                  <wps:spPr bwMode="auto">
                                    <a:xfrm>
                                      <a:off x="0" y="0"/>
                                      <a:ext cx="435610" cy="240665"/>
                                    </a:xfrm>
                                    <a:prstGeom prst="rect">
                                      <a:avLst/>
                                    </a:prstGeom>
                                    <a:noFill/>
                                    <a:ln>
                                      <a:noFill/>
                                    </a:ln>
                                    <a:effectLst/>
                                  </wps:spPr>
                                  <wps:txbx>
                                    <w:txbxContent>
                                      <w:p w14:paraId="57C7497C">
                                        <w:pPr>
                                          <w:snapToGrid w:val="0"/>
                                          <w:rPr>
                                            <w:b w:val="0"/>
                                            <w:bCs/>
                                            <w:szCs w:val="21"/>
                                          </w:rPr>
                                        </w:pPr>
                                        <w:r>
                                          <w:rPr>
                                            <w:rFonts w:hint="eastAsia"/>
                                            <w:b w:val="0"/>
                                            <w:bCs/>
                                            <w:szCs w:val="21"/>
                                          </w:rPr>
                                          <w:t>项目</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pt;margin-top:22.15pt;height:18.95pt;width:34.3pt;z-index:251659264;mso-width-relative:page;mso-height-relative:page;" filled="f" stroked="f" coordsize="21600,21600" o:gfxdata="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ZmIFnZAAAABwEAAA8AAAAAAAAAAQAgAAAAIgAA&#10;AGRycy9kb3ducmV2LnhtbFBLAQIUABQAAAAIAIdO4kD7hclbBwIAAAcEAAAOAAAAAAAAAAEAIAAA&#10;ACgBAABkcnMvZTJvRG9jLnhtbFBLBQYAAAAABgAGAFkBAAChBQAAAAA=&#10;">
                            <v:fill on="f" focussize="0,0"/>
                            <v:stroke on="f"/>
                            <v:imagedata o:title=""/>
                            <o:lock v:ext="edit" aspectratio="f"/>
                            <v:textbox inset="0mm,0mm,0mm,0mm">
                              <w:txbxContent>
                                <w:p w14:paraId="57C7497C">
                                  <w:pPr>
                                    <w:snapToGrid w:val="0"/>
                                    <w:rPr>
                                      <w:b w:val="0"/>
                                      <w:bCs/>
                                      <w:szCs w:val="21"/>
                                    </w:rPr>
                                  </w:pPr>
                                  <w:r>
                                    <w:rPr>
                                      <w:rFonts w:hint="eastAsia"/>
                                      <w:b w:val="0"/>
                                      <w:bCs/>
                                      <w:szCs w:val="21"/>
                                    </w:rPr>
                                    <w:t>项目</w:t>
                                  </w:r>
                                </w:p>
                              </w:txbxContent>
                            </v:textbox>
                          </v:rect>
                        </w:pict>
                      </mc:Fallback>
                    </mc:AlternateContent>
                  </w:r>
                </w:p>
              </w:tc>
              <w:tc>
                <w:tcPr>
                  <w:tcW w:w="1673" w:type="dxa"/>
                  <w:tcBorders>
                    <w:tl2br w:val="nil"/>
                    <w:tr2bl w:val="nil"/>
                  </w:tcBorders>
                  <w:noWrap w:val="0"/>
                  <w:vAlign w:val="center"/>
                </w:tcPr>
                <w:p w14:paraId="23702229">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D1水井</w:t>
                  </w:r>
                </w:p>
              </w:tc>
              <w:tc>
                <w:tcPr>
                  <w:tcW w:w="1786" w:type="dxa"/>
                  <w:tcBorders>
                    <w:tl2br w:val="nil"/>
                    <w:tr2bl w:val="nil"/>
                  </w:tcBorders>
                  <w:noWrap w:val="0"/>
                  <w:vAlign w:val="center"/>
                </w:tcPr>
                <w:p w14:paraId="3A2D78AE">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标准</w:t>
                  </w:r>
                </w:p>
              </w:tc>
              <w:tc>
                <w:tcPr>
                  <w:tcW w:w="1361" w:type="dxa"/>
                  <w:tcBorders>
                    <w:tl2br w:val="nil"/>
                    <w:tr2bl w:val="nil"/>
                  </w:tcBorders>
                  <w:noWrap w:val="0"/>
                  <w:vAlign w:val="center"/>
                </w:tcPr>
                <w:p w14:paraId="17AD6445">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评价</w:t>
                  </w:r>
                </w:p>
              </w:tc>
            </w:tr>
            <w:tr w14:paraId="0FEC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0EBB0899">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1</w:t>
                  </w:r>
                </w:p>
              </w:tc>
              <w:tc>
                <w:tcPr>
                  <w:tcW w:w="2014" w:type="dxa"/>
                  <w:tcBorders>
                    <w:tl2br w:val="nil"/>
                    <w:tr2bl w:val="nil"/>
                  </w:tcBorders>
                  <w:noWrap w:val="0"/>
                  <w:vAlign w:val="center"/>
                </w:tcPr>
                <w:p w14:paraId="4857A21C">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水温</w:t>
                  </w:r>
                </w:p>
              </w:tc>
              <w:tc>
                <w:tcPr>
                  <w:tcW w:w="1673" w:type="dxa"/>
                  <w:tcBorders>
                    <w:tl2br w:val="nil"/>
                    <w:tr2bl w:val="nil"/>
                  </w:tcBorders>
                  <w:noWrap w:val="0"/>
                  <w:vAlign w:val="center"/>
                </w:tcPr>
                <w:p w14:paraId="3443A049">
                  <w:pPr>
                    <w:widowControl/>
                    <w:jc w:val="center"/>
                    <w:rPr>
                      <w:rFonts w:hint="default" w:ascii="Times New Roman" w:hAnsi="Times New Roman" w:eastAsia="宋体" w:cs="Times New Roman"/>
                      <w:color w:val="auto"/>
                      <w:szCs w:val="21"/>
                      <w:highlight w:val="none"/>
                      <w:u w:val="single"/>
                      <w:lang w:val="en-US" w:eastAsia="zh-CN"/>
                    </w:rPr>
                  </w:pPr>
                </w:p>
              </w:tc>
              <w:tc>
                <w:tcPr>
                  <w:tcW w:w="1786" w:type="dxa"/>
                  <w:tcBorders>
                    <w:tl2br w:val="nil"/>
                    <w:tr2bl w:val="nil"/>
                  </w:tcBorders>
                  <w:noWrap w:val="0"/>
                  <w:vAlign w:val="center"/>
                </w:tcPr>
                <w:p w14:paraId="38DE3EE2">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w:t>
                  </w:r>
                </w:p>
              </w:tc>
              <w:tc>
                <w:tcPr>
                  <w:tcW w:w="1361" w:type="dxa"/>
                  <w:tcBorders>
                    <w:tl2br w:val="nil"/>
                    <w:tr2bl w:val="nil"/>
                  </w:tcBorders>
                  <w:noWrap w:val="0"/>
                  <w:vAlign w:val="center"/>
                </w:tcPr>
                <w:p w14:paraId="101F413C">
                  <w:pPr>
                    <w:spacing w:line="240" w:lineRule="exact"/>
                    <w:jc w:val="center"/>
                    <w:rPr>
                      <w:rFonts w:hint="eastAsia" w:ascii="Times New Roman" w:hAnsi="Times New Roman" w:eastAsia="宋体" w:cs="Times New Roman"/>
                      <w:color w:val="auto"/>
                      <w:szCs w:val="21"/>
                      <w:u w:val="single"/>
                      <w:lang w:eastAsia="zh-CN"/>
                    </w:rPr>
                  </w:pPr>
                  <w:r>
                    <w:rPr>
                      <w:rFonts w:hint="eastAsia" w:cs="Times New Roman"/>
                      <w:color w:val="auto"/>
                      <w:szCs w:val="21"/>
                      <w:u w:val="single"/>
                      <w:lang w:val="en-US" w:eastAsia="zh-CN"/>
                    </w:rPr>
                    <w:t>/</w:t>
                  </w:r>
                </w:p>
              </w:tc>
            </w:tr>
            <w:tr w14:paraId="447D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795D8B89">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2</w:t>
                  </w:r>
                </w:p>
              </w:tc>
              <w:tc>
                <w:tcPr>
                  <w:tcW w:w="2014" w:type="dxa"/>
                  <w:tcBorders>
                    <w:tl2br w:val="nil"/>
                    <w:tr2bl w:val="nil"/>
                  </w:tcBorders>
                  <w:noWrap w:val="0"/>
                  <w:vAlign w:val="center"/>
                </w:tcPr>
                <w:p w14:paraId="6BA05CF7">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pH值</w:t>
                  </w:r>
                </w:p>
              </w:tc>
              <w:tc>
                <w:tcPr>
                  <w:tcW w:w="1673" w:type="dxa"/>
                  <w:tcBorders>
                    <w:tl2br w:val="nil"/>
                    <w:tr2bl w:val="nil"/>
                  </w:tcBorders>
                  <w:noWrap w:val="0"/>
                  <w:vAlign w:val="center"/>
                </w:tcPr>
                <w:p w14:paraId="22DA0BB1">
                  <w:pPr>
                    <w:widowControl/>
                    <w:jc w:val="center"/>
                    <w:rPr>
                      <w:rFonts w:hint="default" w:ascii="Times New Roman" w:hAnsi="Times New Roman" w:eastAsia="宋体" w:cs="Times New Roman"/>
                      <w:color w:val="auto"/>
                      <w:szCs w:val="21"/>
                      <w:highlight w:val="none"/>
                      <w:u w:val="single"/>
                      <w:lang w:val="en-US" w:eastAsia="zh-CN"/>
                    </w:rPr>
                  </w:pPr>
                </w:p>
              </w:tc>
              <w:tc>
                <w:tcPr>
                  <w:tcW w:w="1786" w:type="dxa"/>
                  <w:tcBorders>
                    <w:tl2br w:val="nil"/>
                    <w:tr2bl w:val="nil"/>
                  </w:tcBorders>
                  <w:noWrap w:val="0"/>
                  <w:vAlign w:val="center"/>
                </w:tcPr>
                <w:p w14:paraId="30C3A5CD">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6.5~8.5</w:t>
                  </w:r>
                </w:p>
              </w:tc>
              <w:tc>
                <w:tcPr>
                  <w:tcW w:w="1361" w:type="dxa"/>
                  <w:tcBorders>
                    <w:tl2br w:val="nil"/>
                    <w:tr2bl w:val="nil"/>
                  </w:tcBorders>
                  <w:noWrap w:val="0"/>
                  <w:vAlign w:val="center"/>
                </w:tcPr>
                <w:p w14:paraId="1F918B6D">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638D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2C82AB64">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3</w:t>
                  </w:r>
                </w:p>
              </w:tc>
              <w:tc>
                <w:tcPr>
                  <w:tcW w:w="2014" w:type="dxa"/>
                  <w:tcBorders>
                    <w:tl2br w:val="nil"/>
                    <w:tr2bl w:val="nil"/>
                  </w:tcBorders>
                  <w:noWrap w:val="0"/>
                  <w:vAlign w:val="center"/>
                </w:tcPr>
                <w:p w14:paraId="7A0491F9">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总硬度</w:t>
                  </w:r>
                </w:p>
              </w:tc>
              <w:tc>
                <w:tcPr>
                  <w:tcW w:w="1673" w:type="dxa"/>
                  <w:tcBorders>
                    <w:tl2br w:val="nil"/>
                    <w:tr2bl w:val="nil"/>
                  </w:tcBorders>
                  <w:noWrap w:val="0"/>
                  <w:vAlign w:val="center"/>
                </w:tcPr>
                <w:p w14:paraId="70111666">
                  <w:pPr>
                    <w:widowControl/>
                    <w:jc w:val="center"/>
                    <w:rPr>
                      <w:rFonts w:hint="default" w:ascii="Times New Roman" w:hAnsi="Times New Roman" w:eastAsia="宋体" w:cs="Times New Roman"/>
                      <w:color w:val="auto"/>
                      <w:szCs w:val="21"/>
                      <w:highlight w:val="none"/>
                      <w:u w:val="single"/>
                      <w:lang w:val="en-US" w:eastAsia="zh-CN"/>
                    </w:rPr>
                  </w:pPr>
                </w:p>
              </w:tc>
              <w:tc>
                <w:tcPr>
                  <w:tcW w:w="1786" w:type="dxa"/>
                  <w:tcBorders>
                    <w:tl2br w:val="nil"/>
                    <w:tr2bl w:val="nil"/>
                  </w:tcBorders>
                  <w:noWrap w:val="0"/>
                  <w:vAlign w:val="center"/>
                </w:tcPr>
                <w:p w14:paraId="6C9F54F5">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450</w:t>
                  </w:r>
                </w:p>
              </w:tc>
              <w:tc>
                <w:tcPr>
                  <w:tcW w:w="1361" w:type="dxa"/>
                  <w:tcBorders>
                    <w:tl2br w:val="nil"/>
                    <w:tr2bl w:val="nil"/>
                  </w:tcBorders>
                  <w:noWrap w:val="0"/>
                  <w:vAlign w:val="center"/>
                </w:tcPr>
                <w:p w14:paraId="19F5024E">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6297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32B70CBD">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4</w:t>
                  </w:r>
                </w:p>
              </w:tc>
              <w:tc>
                <w:tcPr>
                  <w:tcW w:w="2014" w:type="dxa"/>
                  <w:tcBorders>
                    <w:tl2br w:val="nil"/>
                    <w:tr2bl w:val="nil"/>
                  </w:tcBorders>
                  <w:noWrap w:val="0"/>
                  <w:vAlign w:val="center"/>
                </w:tcPr>
                <w:p w14:paraId="79AAFB49">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溶解性总固体</w:t>
                  </w:r>
                </w:p>
              </w:tc>
              <w:tc>
                <w:tcPr>
                  <w:tcW w:w="1673" w:type="dxa"/>
                  <w:tcBorders>
                    <w:tl2br w:val="nil"/>
                    <w:tr2bl w:val="nil"/>
                  </w:tcBorders>
                  <w:noWrap w:val="0"/>
                  <w:vAlign w:val="center"/>
                </w:tcPr>
                <w:p w14:paraId="38756E5C">
                  <w:pPr>
                    <w:widowControl/>
                    <w:jc w:val="center"/>
                    <w:rPr>
                      <w:rFonts w:hint="default" w:ascii="Times New Roman" w:hAnsi="Times New Roman" w:eastAsia="宋体" w:cs="Times New Roman"/>
                      <w:color w:val="auto"/>
                      <w:szCs w:val="21"/>
                      <w:u w:val="single"/>
                      <w:lang w:val="en-US" w:eastAsia="zh-CN"/>
                    </w:rPr>
                  </w:pPr>
                </w:p>
              </w:tc>
              <w:tc>
                <w:tcPr>
                  <w:tcW w:w="1786" w:type="dxa"/>
                  <w:tcBorders>
                    <w:tl2br w:val="nil"/>
                    <w:tr2bl w:val="nil"/>
                  </w:tcBorders>
                  <w:noWrap w:val="0"/>
                  <w:vAlign w:val="center"/>
                </w:tcPr>
                <w:p w14:paraId="1082539C">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1000</w:t>
                  </w:r>
                </w:p>
              </w:tc>
              <w:tc>
                <w:tcPr>
                  <w:tcW w:w="1361" w:type="dxa"/>
                  <w:tcBorders>
                    <w:tl2br w:val="nil"/>
                    <w:tr2bl w:val="nil"/>
                  </w:tcBorders>
                  <w:noWrap w:val="0"/>
                  <w:vAlign w:val="center"/>
                </w:tcPr>
                <w:p w14:paraId="62C065F7">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62EA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319B8562">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5</w:t>
                  </w:r>
                </w:p>
              </w:tc>
              <w:tc>
                <w:tcPr>
                  <w:tcW w:w="2014" w:type="dxa"/>
                  <w:tcBorders>
                    <w:tl2br w:val="nil"/>
                    <w:tr2bl w:val="nil"/>
                  </w:tcBorders>
                  <w:noWrap w:val="0"/>
                  <w:vAlign w:val="center"/>
                </w:tcPr>
                <w:p w14:paraId="222BD2CB">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硫酸盐</w:t>
                  </w:r>
                </w:p>
              </w:tc>
              <w:tc>
                <w:tcPr>
                  <w:tcW w:w="1673" w:type="dxa"/>
                  <w:tcBorders>
                    <w:tl2br w:val="nil"/>
                    <w:tr2bl w:val="nil"/>
                  </w:tcBorders>
                  <w:noWrap w:val="0"/>
                  <w:vAlign w:val="center"/>
                </w:tcPr>
                <w:p w14:paraId="6F4160CF">
                  <w:pPr>
                    <w:jc w:val="center"/>
                    <w:rPr>
                      <w:rFonts w:hint="default" w:ascii="Times New Roman" w:hAnsi="Times New Roman" w:eastAsia="宋体" w:cs="Times New Roman"/>
                      <w:color w:val="auto"/>
                      <w:szCs w:val="21"/>
                      <w:u w:val="single"/>
                      <w:lang w:val="en-US" w:eastAsia="zh-CN"/>
                    </w:rPr>
                  </w:pPr>
                </w:p>
              </w:tc>
              <w:tc>
                <w:tcPr>
                  <w:tcW w:w="1786" w:type="dxa"/>
                  <w:tcBorders>
                    <w:tl2br w:val="nil"/>
                    <w:tr2bl w:val="nil"/>
                  </w:tcBorders>
                  <w:noWrap w:val="0"/>
                  <w:vAlign w:val="center"/>
                </w:tcPr>
                <w:p w14:paraId="0E3D64C5">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250</w:t>
                  </w:r>
                </w:p>
              </w:tc>
              <w:tc>
                <w:tcPr>
                  <w:tcW w:w="1361" w:type="dxa"/>
                  <w:tcBorders>
                    <w:tl2br w:val="nil"/>
                    <w:tr2bl w:val="nil"/>
                  </w:tcBorders>
                  <w:noWrap w:val="0"/>
                  <w:vAlign w:val="center"/>
                </w:tcPr>
                <w:p w14:paraId="68B3CA5E">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0D16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56D43720">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6</w:t>
                  </w:r>
                </w:p>
              </w:tc>
              <w:tc>
                <w:tcPr>
                  <w:tcW w:w="2014" w:type="dxa"/>
                  <w:tcBorders>
                    <w:tl2br w:val="nil"/>
                    <w:tr2bl w:val="nil"/>
                  </w:tcBorders>
                  <w:noWrap w:val="0"/>
                  <w:vAlign w:val="center"/>
                </w:tcPr>
                <w:p w14:paraId="436ACF4F">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氯化物</w:t>
                  </w:r>
                </w:p>
              </w:tc>
              <w:tc>
                <w:tcPr>
                  <w:tcW w:w="1673" w:type="dxa"/>
                  <w:tcBorders>
                    <w:tl2br w:val="nil"/>
                    <w:tr2bl w:val="nil"/>
                  </w:tcBorders>
                  <w:noWrap w:val="0"/>
                  <w:vAlign w:val="center"/>
                </w:tcPr>
                <w:p w14:paraId="035B7F5B">
                  <w:pPr>
                    <w:jc w:val="center"/>
                    <w:rPr>
                      <w:rFonts w:hint="default" w:ascii="Times New Roman" w:hAnsi="Times New Roman" w:eastAsia="宋体" w:cs="Times New Roman"/>
                      <w:color w:val="auto"/>
                      <w:szCs w:val="21"/>
                      <w:u w:val="single"/>
                      <w:lang w:val="en-US" w:eastAsia="zh-CN"/>
                    </w:rPr>
                  </w:pPr>
                </w:p>
              </w:tc>
              <w:tc>
                <w:tcPr>
                  <w:tcW w:w="1786" w:type="dxa"/>
                  <w:tcBorders>
                    <w:tl2br w:val="nil"/>
                    <w:tr2bl w:val="nil"/>
                  </w:tcBorders>
                  <w:noWrap w:val="0"/>
                  <w:vAlign w:val="center"/>
                </w:tcPr>
                <w:p w14:paraId="106408A0">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250</w:t>
                  </w:r>
                </w:p>
              </w:tc>
              <w:tc>
                <w:tcPr>
                  <w:tcW w:w="1361" w:type="dxa"/>
                  <w:tcBorders>
                    <w:tl2br w:val="nil"/>
                    <w:tr2bl w:val="nil"/>
                  </w:tcBorders>
                  <w:noWrap w:val="0"/>
                  <w:vAlign w:val="center"/>
                </w:tcPr>
                <w:p w14:paraId="419EB8D0">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410C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164EF79F">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7</w:t>
                  </w:r>
                </w:p>
              </w:tc>
              <w:tc>
                <w:tcPr>
                  <w:tcW w:w="2014" w:type="dxa"/>
                  <w:tcBorders>
                    <w:tl2br w:val="nil"/>
                    <w:tr2bl w:val="nil"/>
                  </w:tcBorders>
                  <w:noWrap w:val="0"/>
                  <w:vAlign w:val="center"/>
                </w:tcPr>
                <w:p w14:paraId="0DD47041">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耗氧量</w:t>
                  </w:r>
                </w:p>
              </w:tc>
              <w:tc>
                <w:tcPr>
                  <w:tcW w:w="1673" w:type="dxa"/>
                  <w:tcBorders>
                    <w:tl2br w:val="nil"/>
                    <w:tr2bl w:val="nil"/>
                  </w:tcBorders>
                  <w:noWrap w:val="0"/>
                  <w:vAlign w:val="center"/>
                </w:tcPr>
                <w:p w14:paraId="0C93C123">
                  <w:pPr>
                    <w:jc w:val="center"/>
                    <w:rPr>
                      <w:rFonts w:hint="default" w:ascii="Times New Roman" w:hAnsi="Times New Roman" w:eastAsia="宋体" w:cs="Times New Roman"/>
                      <w:color w:val="auto"/>
                      <w:szCs w:val="21"/>
                      <w:u w:val="single"/>
                      <w:lang w:val="en-US" w:eastAsia="zh-CN"/>
                    </w:rPr>
                  </w:pPr>
                </w:p>
              </w:tc>
              <w:tc>
                <w:tcPr>
                  <w:tcW w:w="1786" w:type="dxa"/>
                  <w:tcBorders>
                    <w:tl2br w:val="nil"/>
                    <w:tr2bl w:val="nil"/>
                  </w:tcBorders>
                  <w:noWrap w:val="0"/>
                  <w:vAlign w:val="center"/>
                </w:tcPr>
                <w:p w14:paraId="29D8260D">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3</w:t>
                  </w:r>
                </w:p>
              </w:tc>
              <w:tc>
                <w:tcPr>
                  <w:tcW w:w="1361" w:type="dxa"/>
                  <w:tcBorders>
                    <w:tl2br w:val="nil"/>
                    <w:tr2bl w:val="nil"/>
                  </w:tcBorders>
                  <w:noWrap w:val="0"/>
                  <w:vAlign w:val="center"/>
                </w:tcPr>
                <w:p w14:paraId="318D412C">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7B69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35A214B2">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8</w:t>
                  </w:r>
                </w:p>
              </w:tc>
              <w:tc>
                <w:tcPr>
                  <w:tcW w:w="2014" w:type="dxa"/>
                  <w:tcBorders>
                    <w:tl2br w:val="nil"/>
                    <w:tr2bl w:val="nil"/>
                  </w:tcBorders>
                  <w:noWrap w:val="0"/>
                  <w:vAlign w:val="center"/>
                </w:tcPr>
                <w:p w14:paraId="28BCCCA6">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氨氮</w:t>
                  </w:r>
                </w:p>
              </w:tc>
              <w:tc>
                <w:tcPr>
                  <w:tcW w:w="1673" w:type="dxa"/>
                  <w:tcBorders>
                    <w:tl2br w:val="nil"/>
                    <w:tr2bl w:val="nil"/>
                  </w:tcBorders>
                  <w:noWrap w:val="0"/>
                  <w:vAlign w:val="center"/>
                </w:tcPr>
                <w:p w14:paraId="229FD5EF">
                  <w:pPr>
                    <w:jc w:val="center"/>
                    <w:rPr>
                      <w:rFonts w:hint="default" w:ascii="Times New Roman" w:hAnsi="Times New Roman" w:eastAsia="宋体" w:cs="Times New Roman"/>
                      <w:color w:val="auto"/>
                      <w:szCs w:val="21"/>
                      <w:u w:val="single"/>
                      <w:lang w:val="en-US" w:eastAsia="zh-CN"/>
                    </w:rPr>
                  </w:pPr>
                </w:p>
              </w:tc>
              <w:tc>
                <w:tcPr>
                  <w:tcW w:w="1786" w:type="dxa"/>
                  <w:tcBorders>
                    <w:tl2br w:val="nil"/>
                    <w:tr2bl w:val="nil"/>
                  </w:tcBorders>
                  <w:noWrap w:val="0"/>
                  <w:vAlign w:val="center"/>
                </w:tcPr>
                <w:p w14:paraId="2162458A">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0.5</w:t>
                  </w:r>
                </w:p>
              </w:tc>
              <w:tc>
                <w:tcPr>
                  <w:tcW w:w="1361" w:type="dxa"/>
                  <w:tcBorders>
                    <w:tl2br w:val="nil"/>
                    <w:tr2bl w:val="nil"/>
                  </w:tcBorders>
                  <w:noWrap w:val="0"/>
                  <w:vAlign w:val="center"/>
                </w:tcPr>
                <w:p w14:paraId="21F3643A">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71AC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62B5C930">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9</w:t>
                  </w:r>
                </w:p>
              </w:tc>
              <w:tc>
                <w:tcPr>
                  <w:tcW w:w="2014" w:type="dxa"/>
                  <w:tcBorders>
                    <w:tl2br w:val="nil"/>
                    <w:tr2bl w:val="nil"/>
                  </w:tcBorders>
                  <w:noWrap w:val="0"/>
                  <w:vAlign w:val="center"/>
                </w:tcPr>
                <w:p w14:paraId="77717F34">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硫化物</w:t>
                  </w:r>
                </w:p>
              </w:tc>
              <w:tc>
                <w:tcPr>
                  <w:tcW w:w="1673" w:type="dxa"/>
                  <w:tcBorders>
                    <w:tl2br w:val="nil"/>
                    <w:tr2bl w:val="nil"/>
                  </w:tcBorders>
                  <w:noWrap w:val="0"/>
                  <w:vAlign w:val="center"/>
                </w:tcPr>
                <w:p w14:paraId="576A563D">
                  <w:pPr>
                    <w:jc w:val="center"/>
                    <w:rPr>
                      <w:rFonts w:hint="eastAsia" w:ascii="Times New Roman" w:hAnsi="Times New Roman" w:eastAsia="宋体" w:cs="Times New Roman"/>
                      <w:color w:val="auto"/>
                      <w:szCs w:val="21"/>
                      <w:u w:val="single"/>
                      <w:lang w:val="en-US" w:eastAsia="zh-CN"/>
                    </w:rPr>
                  </w:pPr>
                </w:p>
              </w:tc>
              <w:tc>
                <w:tcPr>
                  <w:tcW w:w="1786" w:type="dxa"/>
                  <w:tcBorders>
                    <w:tl2br w:val="nil"/>
                    <w:tr2bl w:val="nil"/>
                  </w:tcBorders>
                  <w:noWrap w:val="0"/>
                  <w:vAlign w:val="center"/>
                </w:tcPr>
                <w:p w14:paraId="45E9D7D4">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0.02</w:t>
                  </w:r>
                </w:p>
              </w:tc>
              <w:tc>
                <w:tcPr>
                  <w:tcW w:w="1361" w:type="dxa"/>
                  <w:tcBorders>
                    <w:tl2br w:val="nil"/>
                    <w:tr2bl w:val="nil"/>
                  </w:tcBorders>
                  <w:noWrap w:val="0"/>
                  <w:vAlign w:val="center"/>
                </w:tcPr>
                <w:p w14:paraId="7F52BDF3">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0614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00AEB815">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10</w:t>
                  </w:r>
                </w:p>
              </w:tc>
              <w:tc>
                <w:tcPr>
                  <w:tcW w:w="2014" w:type="dxa"/>
                  <w:tcBorders>
                    <w:tl2br w:val="nil"/>
                    <w:tr2bl w:val="nil"/>
                  </w:tcBorders>
                  <w:noWrap w:val="0"/>
                  <w:vAlign w:val="center"/>
                </w:tcPr>
                <w:p w14:paraId="7E23300B">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硝酸盐</w:t>
                  </w:r>
                </w:p>
              </w:tc>
              <w:tc>
                <w:tcPr>
                  <w:tcW w:w="1673" w:type="dxa"/>
                  <w:tcBorders>
                    <w:tl2br w:val="nil"/>
                    <w:tr2bl w:val="nil"/>
                  </w:tcBorders>
                  <w:noWrap w:val="0"/>
                  <w:vAlign w:val="center"/>
                </w:tcPr>
                <w:p w14:paraId="54A75654">
                  <w:pPr>
                    <w:jc w:val="center"/>
                    <w:rPr>
                      <w:rFonts w:hint="default" w:ascii="Times New Roman" w:hAnsi="Times New Roman" w:eastAsia="宋体" w:cs="Times New Roman"/>
                      <w:color w:val="auto"/>
                      <w:szCs w:val="21"/>
                      <w:u w:val="single"/>
                      <w:lang w:val="en-US" w:eastAsia="zh-CN"/>
                    </w:rPr>
                  </w:pPr>
                </w:p>
              </w:tc>
              <w:tc>
                <w:tcPr>
                  <w:tcW w:w="1786" w:type="dxa"/>
                  <w:tcBorders>
                    <w:tl2br w:val="nil"/>
                    <w:tr2bl w:val="nil"/>
                  </w:tcBorders>
                  <w:noWrap w:val="0"/>
                  <w:vAlign w:val="center"/>
                </w:tcPr>
                <w:p w14:paraId="77E55484">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20</w:t>
                  </w:r>
                </w:p>
              </w:tc>
              <w:tc>
                <w:tcPr>
                  <w:tcW w:w="1361" w:type="dxa"/>
                  <w:tcBorders>
                    <w:tl2br w:val="nil"/>
                    <w:tr2bl w:val="nil"/>
                  </w:tcBorders>
                  <w:noWrap w:val="0"/>
                  <w:vAlign w:val="center"/>
                </w:tcPr>
                <w:p w14:paraId="04F33C7A">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3BE4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6024D16F">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11</w:t>
                  </w:r>
                </w:p>
              </w:tc>
              <w:tc>
                <w:tcPr>
                  <w:tcW w:w="2014" w:type="dxa"/>
                  <w:tcBorders>
                    <w:tl2br w:val="nil"/>
                    <w:tr2bl w:val="nil"/>
                  </w:tcBorders>
                  <w:noWrap w:val="0"/>
                  <w:vAlign w:val="center"/>
                </w:tcPr>
                <w:p w14:paraId="6ACF3D5E">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亚硝酸盐</w:t>
                  </w:r>
                </w:p>
              </w:tc>
              <w:tc>
                <w:tcPr>
                  <w:tcW w:w="1673" w:type="dxa"/>
                  <w:tcBorders>
                    <w:tl2br w:val="nil"/>
                    <w:tr2bl w:val="nil"/>
                  </w:tcBorders>
                  <w:noWrap w:val="0"/>
                  <w:vAlign w:val="center"/>
                </w:tcPr>
                <w:p w14:paraId="6A207514">
                  <w:pPr>
                    <w:jc w:val="center"/>
                    <w:rPr>
                      <w:rFonts w:hint="default" w:ascii="Times New Roman" w:hAnsi="Times New Roman" w:eastAsia="宋体" w:cs="Times New Roman"/>
                      <w:color w:val="auto"/>
                      <w:szCs w:val="21"/>
                      <w:u w:val="single"/>
                      <w:lang w:val="en-US" w:eastAsia="zh-CN"/>
                    </w:rPr>
                  </w:pPr>
                </w:p>
              </w:tc>
              <w:tc>
                <w:tcPr>
                  <w:tcW w:w="1786" w:type="dxa"/>
                  <w:tcBorders>
                    <w:tl2br w:val="nil"/>
                    <w:tr2bl w:val="nil"/>
                  </w:tcBorders>
                  <w:noWrap w:val="0"/>
                  <w:vAlign w:val="center"/>
                </w:tcPr>
                <w:p w14:paraId="174F4F70">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1</w:t>
                  </w:r>
                </w:p>
              </w:tc>
              <w:tc>
                <w:tcPr>
                  <w:tcW w:w="1361" w:type="dxa"/>
                  <w:tcBorders>
                    <w:tl2br w:val="nil"/>
                    <w:tr2bl w:val="nil"/>
                  </w:tcBorders>
                  <w:noWrap w:val="0"/>
                  <w:vAlign w:val="center"/>
                </w:tcPr>
                <w:p w14:paraId="07373C60">
                  <w:pPr>
                    <w:spacing w:line="240" w:lineRule="exact"/>
                    <w:jc w:val="center"/>
                    <w:rPr>
                      <w:rFonts w:hint="eastAsia" w:ascii="Times New Roman" w:hAnsi="Times New Roman" w:eastAsia="宋体" w:cs="Times New Roman"/>
                      <w:color w:val="auto"/>
                      <w:szCs w:val="21"/>
                      <w:u w:val="single"/>
                      <w:lang w:eastAsia="zh-CN"/>
                    </w:rPr>
                  </w:pPr>
                  <w:r>
                    <w:rPr>
                      <w:rFonts w:hint="eastAsia" w:cs="Times New Roman"/>
                      <w:color w:val="auto"/>
                      <w:szCs w:val="21"/>
                      <w:u w:val="single"/>
                      <w:lang w:val="en-US" w:eastAsia="zh-CN"/>
                    </w:rPr>
                    <w:t>达标</w:t>
                  </w:r>
                </w:p>
              </w:tc>
            </w:tr>
            <w:tr w14:paraId="71DE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44025771">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12</w:t>
                  </w:r>
                </w:p>
              </w:tc>
              <w:tc>
                <w:tcPr>
                  <w:tcW w:w="2014" w:type="dxa"/>
                  <w:tcBorders>
                    <w:tl2br w:val="nil"/>
                    <w:tr2bl w:val="nil"/>
                  </w:tcBorders>
                  <w:noWrap w:val="0"/>
                  <w:vAlign w:val="center"/>
                </w:tcPr>
                <w:p w14:paraId="5110140E">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挥发酚</w:t>
                  </w:r>
                </w:p>
              </w:tc>
              <w:tc>
                <w:tcPr>
                  <w:tcW w:w="1673" w:type="dxa"/>
                  <w:tcBorders>
                    <w:tl2br w:val="nil"/>
                    <w:tr2bl w:val="nil"/>
                  </w:tcBorders>
                  <w:noWrap w:val="0"/>
                  <w:vAlign w:val="center"/>
                </w:tcPr>
                <w:p w14:paraId="3C51776E">
                  <w:pPr>
                    <w:jc w:val="center"/>
                    <w:rPr>
                      <w:rFonts w:hint="eastAsia" w:ascii="Times New Roman" w:hAnsi="Times New Roman" w:eastAsia="宋体" w:cs="Times New Roman"/>
                      <w:color w:val="auto"/>
                      <w:szCs w:val="21"/>
                      <w:u w:val="single"/>
                      <w:lang w:val="en-US" w:eastAsia="zh-CN"/>
                    </w:rPr>
                  </w:pPr>
                </w:p>
              </w:tc>
              <w:tc>
                <w:tcPr>
                  <w:tcW w:w="1786" w:type="dxa"/>
                  <w:tcBorders>
                    <w:tl2br w:val="nil"/>
                    <w:tr2bl w:val="nil"/>
                  </w:tcBorders>
                  <w:noWrap w:val="0"/>
                  <w:vAlign w:val="center"/>
                </w:tcPr>
                <w:p w14:paraId="6246AD6F">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0.002</w:t>
                  </w:r>
                </w:p>
              </w:tc>
              <w:tc>
                <w:tcPr>
                  <w:tcW w:w="1361" w:type="dxa"/>
                  <w:tcBorders>
                    <w:tl2br w:val="nil"/>
                    <w:tr2bl w:val="nil"/>
                  </w:tcBorders>
                  <w:noWrap w:val="0"/>
                  <w:vAlign w:val="center"/>
                </w:tcPr>
                <w:p w14:paraId="00B3DC9E">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6DF0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0D901616">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13</w:t>
                  </w:r>
                </w:p>
              </w:tc>
              <w:tc>
                <w:tcPr>
                  <w:tcW w:w="2014" w:type="dxa"/>
                  <w:tcBorders>
                    <w:tl2br w:val="nil"/>
                    <w:tr2bl w:val="nil"/>
                  </w:tcBorders>
                  <w:noWrap w:val="0"/>
                  <w:vAlign w:val="center"/>
                </w:tcPr>
                <w:p w14:paraId="74F648AE">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石油类</w:t>
                  </w:r>
                </w:p>
              </w:tc>
              <w:tc>
                <w:tcPr>
                  <w:tcW w:w="1673" w:type="dxa"/>
                  <w:tcBorders>
                    <w:tl2br w:val="nil"/>
                    <w:tr2bl w:val="nil"/>
                  </w:tcBorders>
                  <w:noWrap w:val="0"/>
                  <w:vAlign w:val="center"/>
                </w:tcPr>
                <w:p w14:paraId="74E71FFA">
                  <w:pPr>
                    <w:jc w:val="center"/>
                    <w:rPr>
                      <w:rFonts w:hint="eastAsia" w:ascii="Times New Roman" w:hAnsi="Times New Roman" w:eastAsia="宋体" w:cs="Times New Roman"/>
                      <w:color w:val="auto"/>
                      <w:szCs w:val="21"/>
                      <w:highlight w:val="none"/>
                      <w:u w:val="single"/>
                      <w:lang w:val="en-US" w:eastAsia="zh-CN"/>
                    </w:rPr>
                  </w:pPr>
                </w:p>
              </w:tc>
              <w:tc>
                <w:tcPr>
                  <w:tcW w:w="1786" w:type="dxa"/>
                  <w:tcBorders>
                    <w:tl2br w:val="nil"/>
                    <w:tr2bl w:val="nil"/>
                  </w:tcBorders>
                  <w:noWrap w:val="0"/>
                  <w:vAlign w:val="center"/>
                </w:tcPr>
                <w:p w14:paraId="24807685">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w:t>
                  </w:r>
                </w:p>
              </w:tc>
              <w:tc>
                <w:tcPr>
                  <w:tcW w:w="1361" w:type="dxa"/>
                  <w:tcBorders>
                    <w:tl2br w:val="nil"/>
                    <w:tr2bl w:val="nil"/>
                  </w:tcBorders>
                  <w:noWrap w:val="0"/>
                  <w:vAlign w:val="center"/>
                </w:tcPr>
                <w:p w14:paraId="74BA05BD">
                  <w:pPr>
                    <w:spacing w:line="240" w:lineRule="exact"/>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w:t>
                  </w:r>
                </w:p>
              </w:tc>
            </w:tr>
            <w:tr w14:paraId="43D9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3DAC0B6D">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14</w:t>
                  </w:r>
                </w:p>
              </w:tc>
              <w:tc>
                <w:tcPr>
                  <w:tcW w:w="2014" w:type="dxa"/>
                  <w:tcBorders>
                    <w:tl2br w:val="nil"/>
                    <w:tr2bl w:val="nil"/>
                  </w:tcBorders>
                  <w:noWrap w:val="0"/>
                  <w:vAlign w:val="center"/>
                </w:tcPr>
                <w:p w14:paraId="66B921A8">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铁</w:t>
                  </w:r>
                </w:p>
              </w:tc>
              <w:tc>
                <w:tcPr>
                  <w:tcW w:w="1673" w:type="dxa"/>
                  <w:tcBorders>
                    <w:tl2br w:val="nil"/>
                    <w:tr2bl w:val="nil"/>
                  </w:tcBorders>
                  <w:noWrap w:val="0"/>
                  <w:vAlign w:val="center"/>
                </w:tcPr>
                <w:p w14:paraId="28FC3364">
                  <w:pPr>
                    <w:jc w:val="center"/>
                    <w:rPr>
                      <w:rFonts w:hint="default" w:ascii="Times New Roman" w:hAnsi="Times New Roman" w:eastAsia="宋体" w:cs="Times New Roman"/>
                      <w:color w:val="auto"/>
                      <w:szCs w:val="21"/>
                      <w:highlight w:val="none"/>
                      <w:u w:val="single"/>
                      <w:lang w:val="en-US" w:eastAsia="zh-CN"/>
                    </w:rPr>
                  </w:pPr>
                </w:p>
              </w:tc>
              <w:tc>
                <w:tcPr>
                  <w:tcW w:w="1786" w:type="dxa"/>
                  <w:tcBorders>
                    <w:tl2br w:val="nil"/>
                    <w:tr2bl w:val="nil"/>
                  </w:tcBorders>
                  <w:noWrap w:val="0"/>
                  <w:vAlign w:val="center"/>
                </w:tcPr>
                <w:p w14:paraId="13553D71">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0.3</w:t>
                  </w:r>
                </w:p>
              </w:tc>
              <w:tc>
                <w:tcPr>
                  <w:tcW w:w="1361" w:type="dxa"/>
                  <w:tcBorders>
                    <w:tl2br w:val="nil"/>
                    <w:tr2bl w:val="nil"/>
                  </w:tcBorders>
                  <w:noWrap w:val="0"/>
                  <w:vAlign w:val="center"/>
                </w:tcPr>
                <w:p w14:paraId="5EA9FB93">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5FF4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29F27B6B">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15</w:t>
                  </w:r>
                </w:p>
              </w:tc>
              <w:tc>
                <w:tcPr>
                  <w:tcW w:w="2014" w:type="dxa"/>
                  <w:tcBorders>
                    <w:tl2br w:val="nil"/>
                    <w:tr2bl w:val="nil"/>
                  </w:tcBorders>
                  <w:noWrap w:val="0"/>
                  <w:vAlign w:val="center"/>
                </w:tcPr>
                <w:p w14:paraId="1FE35CEA">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锰</w:t>
                  </w:r>
                </w:p>
              </w:tc>
              <w:tc>
                <w:tcPr>
                  <w:tcW w:w="1673" w:type="dxa"/>
                  <w:tcBorders>
                    <w:tl2br w:val="nil"/>
                    <w:tr2bl w:val="nil"/>
                  </w:tcBorders>
                  <w:noWrap w:val="0"/>
                  <w:vAlign w:val="center"/>
                </w:tcPr>
                <w:p w14:paraId="30C25949">
                  <w:pPr>
                    <w:jc w:val="center"/>
                    <w:rPr>
                      <w:rFonts w:hint="default" w:ascii="Times New Roman" w:hAnsi="Times New Roman" w:eastAsia="宋体" w:cs="Times New Roman"/>
                      <w:color w:val="auto"/>
                      <w:szCs w:val="21"/>
                      <w:highlight w:val="none"/>
                      <w:u w:val="single"/>
                      <w:lang w:val="en-US" w:eastAsia="zh-CN"/>
                    </w:rPr>
                  </w:pPr>
                </w:p>
              </w:tc>
              <w:tc>
                <w:tcPr>
                  <w:tcW w:w="1786" w:type="dxa"/>
                  <w:tcBorders>
                    <w:tl2br w:val="nil"/>
                    <w:tr2bl w:val="nil"/>
                  </w:tcBorders>
                  <w:noWrap w:val="0"/>
                  <w:vAlign w:val="center"/>
                </w:tcPr>
                <w:p w14:paraId="6003252E">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0.1</w:t>
                  </w:r>
                </w:p>
              </w:tc>
              <w:tc>
                <w:tcPr>
                  <w:tcW w:w="1361" w:type="dxa"/>
                  <w:tcBorders>
                    <w:tl2br w:val="nil"/>
                    <w:tr2bl w:val="nil"/>
                  </w:tcBorders>
                  <w:noWrap w:val="0"/>
                  <w:vAlign w:val="center"/>
                </w:tcPr>
                <w:p w14:paraId="248A7CC9">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7A22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10DAD093">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16</w:t>
                  </w:r>
                </w:p>
              </w:tc>
              <w:tc>
                <w:tcPr>
                  <w:tcW w:w="2014" w:type="dxa"/>
                  <w:tcBorders>
                    <w:tl2br w:val="nil"/>
                    <w:tr2bl w:val="nil"/>
                  </w:tcBorders>
                  <w:noWrap w:val="0"/>
                  <w:vAlign w:val="center"/>
                </w:tcPr>
                <w:p w14:paraId="20F65620">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汞</w:t>
                  </w:r>
                </w:p>
              </w:tc>
              <w:tc>
                <w:tcPr>
                  <w:tcW w:w="1673" w:type="dxa"/>
                  <w:tcBorders>
                    <w:tl2br w:val="nil"/>
                    <w:tr2bl w:val="nil"/>
                  </w:tcBorders>
                  <w:noWrap w:val="0"/>
                  <w:vAlign w:val="center"/>
                </w:tcPr>
                <w:p w14:paraId="4974CFC3">
                  <w:pPr>
                    <w:jc w:val="center"/>
                    <w:rPr>
                      <w:rFonts w:hint="eastAsia" w:ascii="Times New Roman" w:hAnsi="Times New Roman" w:eastAsia="宋体" w:cs="Times New Roman"/>
                      <w:color w:val="auto"/>
                      <w:szCs w:val="21"/>
                      <w:highlight w:val="none"/>
                      <w:u w:val="single"/>
                      <w:lang w:val="en-US" w:eastAsia="zh-CN"/>
                    </w:rPr>
                  </w:pPr>
                </w:p>
              </w:tc>
              <w:tc>
                <w:tcPr>
                  <w:tcW w:w="1786" w:type="dxa"/>
                  <w:tcBorders>
                    <w:tl2br w:val="nil"/>
                    <w:tr2bl w:val="nil"/>
                  </w:tcBorders>
                  <w:noWrap w:val="0"/>
                  <w:vAlign w:val="center"/>
                </w:tcPr>
                <w:p w14:paraId="23D2BB98">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0.001</w:t>
                  </w:r>
                </w:p>
              </w:tc>
              <w:tc>
                <w:tcPr>
                  <w:tcW w:w="1361" w:type="dxa"/>
                  <w:tcBorders>
                    <w:tl2br w:val="nil"/>
                    <w:tr2bl w:val="nil"/>
                  </w:tcBorders>
                  <w:noWrap w:val="0"/>
                  <w:vAlign w:val="center"/>
                </w:tcPr>
                <w:p w14:paraId="0C628E3C">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6F28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15D68844">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17</w:t>
                  </w:r>
                </w:p>
              </w:tc>
              <w:tc>
                <w:tcPr>
                  <w:tcW w:w="2014" w:type="dxa"/>
                  <w:tcBorders>
                    <w:tl2br w:val="nil"/>
                    <w:tr2bl w:val="nil"/>
                  </w:tcBorders>
                  <w:noWrap w:val="0"/>
                  <w:vAlign w:val="center"/>
                </w:tcPr>
                <w:p w14:paraId="08EF8B3F">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铅</w:t>
                  </w:r>
                </w:p>
              </w:tc>
              <w:tc>
                <w:tcPr>
                  <w:tcW w:w="1673" w:type="dxa"/>
                  <w:tcBorders>
                    <w:tl2br w:val="nil"/>
                    <w:tr2bl w:val="nil"/>
                  </w:tcBorders>
                  <w:noWrap w:val="0"/>
                  <w:vAlign w:val="center"/>
                </w:tcPr>
                <w:p w14:paraId="4A8C9103">
                  <w:pPr>
                    <w:jc w:val="center"/>
                    <w:rPr>
                      <w:rFonts w:hint="eastAsia" w:ascii="Times New Roman" w:hAnsi="Times New Roman" w:eastAsia="宋体" w:cs="Times New Roman"/>
                      <w:color w:val="auto"/>
                      <w:szCs w:val="21"/>
                      <w:highlight w:val="none"/>
                      <w:u w:val="single"/>
                      <w:lang w:val="en-US" w:eastAsia="zh-CN"/>
                    </w:rPr>
                  </w:pPr>
                </w:p>
              </w:tc>
              <w:tc>
                <w:tcPr>
                  <w:tcW w:w="1786" w:type="dxa"/>
                  <w:tcBorders>
                    <w:tl2br w:val="nil"/>
                    <w:tr2bl w:val="nil"/>
                  </w:tcBorders>
                  <w:noWrap w:val="0"/>
                  <w:vAlign w:val="center"/>
                </w:tcPr>
                <w:p w14:paraId="2E2C4AFC">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0.01</w:t>
                  </w:r>
                </w:p>
              </w:tc>
              <w:tc>
                <w:tcPr>
                  <w:tcW w:w="1361" w:type="dxa"/>
                  <w:tcBorders>
                    <w:tl2br w:val="nil"/>
                    <w:tr2bl w:val="nil"/>
                  </w:tcBorders>
                  <w:noWrap w:val="0"/>
                  <w:vAlign w:val="center"/>
                </w:tcPr>
                <w:p w14:paraId="26B341AD">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498D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12A96161">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18</w:t>
                  </w:r>
                </w:p>
              </w:tc>
              <w:tc>
                <w:tcPr>
                  <w:tcW w:w="2014" w:type="dxa"/>
                  <w:tcBorders>
                    <w:tl2br w:val="nil"/>
                    <w:tr2bl w:val="nil"/>
                  </w:tcBorders>
                  <w:noWrap w:val="0"/>
                  <w:vAlign w:val="center"/>
                </w:tcPr>
                <w:p w14:paraId="2543457C">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砷</w:t>
                  </w:r>
                </w:p>
              </w:tc>
              <w:tc>
                <w:tcPr>
                  <w:tcW w:w="1673" w:type="dxa"/>
                  <w:tcBorders>
                    <w:tl2br w:val="nil"/>
                    <w:tr2bl w:val="nil"/>
                  </w:tcBorders>
                  <w:noWrap w:val="0"/>
                  <w:vAlign w:val="center"/>
                </w:tcPr>
                <w:p w14:paraId="23BC2863">
                  <w:pPr>
                    <w:jc w:val="center"/>
                    <w:rPr>
                      <w:rFonts w:hint="eastAsia" w:ascii="Times New Roman" w:hAnsi="Times New Roman" w:eastAsia="宋体" w:cs="Times New Roman"/>
                      <w:color w:val="auto"/>
                      <w:szCs w:val="21"/>
                      <w:highlight w:val="none"/>
                      <w:u w:val="single"/>
                      <w:lang w:val="en-US" w:eastAsia="zh-CN"/>
                    </w:rPr>
                  </w:pPr>
                </w:p>
              </w:tc>
              <w:tc>
                <w:tcPr>
                  <w:tcW w:w="1786" w:type="dxa"/>
                  <w:tcBorders>
                    <w:tl2br w:val="nil"/>
                    <w:tr2bl w:val="nil"/>
                  </w:tcBorders>
                  <w:noWrap w:val="0"/>
                  <w:vAlign w:val="center"/>
                </w:tcPr>
                <w:p w14:paraId="48C0F536">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0.01</w:t>
                  </w:r>
                </w:p>
              </w:tc>
              <w:tc>
                <w:tcPr>
                  <w:tcW w:w="1361" w:type="dxa"/>
                  <w:tcBorders>
                    <w:tl2br w:val="nil"/>
                    <w:tr2bl w:val="nil"/>
                  </w:tcBorders>
                  <w:noWrap w:val="0"/>
                  <w:vAlign w:val="center"/>
                </w:tcPr>
                <w:p w14:paraId="0284E183">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691B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0819C727">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19</w:t>
                  </w:r>
                </w:p>
              </w:tc>
              <w:tc>
                <w:tcPr>
                  <w:tcW w:w="2014" w:type="dxa"/>
                  <w:tcBorders>
                    <w:tl2br w:val="nil"/>
                    <w:tr2bl w:val="nil"/>
                  </w:tcBorders>
                  <w:noWrap w:val="0"/>
                  <w:vAlign w:val="center"/>
                </w:tcPr>
                <w:p w14:paraId="0B6670A6">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镉</w:t>
                  </w:r>
                </w:p>
              </w:tc>
              <w:tc>
                <w:tcPr>
                  <w:tcW w:w="1673" w:type="dxa"/>
                  <w:tcBorders>
                    <w:tl2br w:val="nil"/>
                    <w:tr2bl w:val="nil"/>
                  </w:tcBorders>
                  <w:noWrap w:val="0"/>
                  <w:vAlign w:val="center"/>
                </w:tcPr>
                <w:p w14:paraId="4E31CF05">
                  <w:pPr>
                    <w:jc w:val="center"/>
                    <w:rPr>
                      <w:rFonts w:hint="default" w:ascii="Times New Roman" w:hAnsi="Times New Roman" w:eastAsia="宋体" w:cs="Times New Roman"/>
                      <w:color w:val="auto"/>
                      <w:szCs w:val="21"/>
                      <w:highlight w:val="none"/>
                      <w:u w:val="single"/>
                      <w:lang w:val="en-US" w:eastAsia="zh-CN"/>
                    </w:rPr>
                  </w:pPr>
                </w:p>
              </w:tc>
              <w:tc>
                <w:tcPr>
                  <w:tcW w:w="1786" w:type="dxa"/>
                  <w:tcBorders>
                    <w:tl2br w:val="nil"/>
                    <w:tr2bl w:val="nil"/>
                  </w:tcBorders>
                  <w:noWrap w:val="0"/>
                  <w:vAlign w:val="center"/>
                </w:tcPr>
                <w:p w14:paraId="50A734F2">
                  <w:pPr>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highlight w:val="none"/>
                      <w:u w:val="single"/>
                      <w:lang w:val="en-US" w:eastAsia="zh-CN"/>
                    </w:rPr>
                    <w:t>0.005</w:t>
                  </w:r>
                </w:p>
              </w:tc>
              <w:tc>
                <w:tcPr>
                  <w:tcW w:w="1361" w:type="dxa"/>
                  <w:tcBorders>
                    <w:tl2br w:val="nil"/>
                    <w:tr2bl w:val="nil"/>
                  </w:tcBorders>
                  <w:noWrap w:val="0"/>
                  <w:vAlign w:val="center"/>
                </w:tcPr>
                <w:p w14:paraId="780D5EE3">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08FF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4DC8D2E8">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20</w:t>
                  </w:r>
                </w:p>
              </w:tc>
              <w:tc>
                <w:tcPr>
                  <w:tcW w:w="2014" w:type="dxa"/>
                  <w:tcBorders>
                    <w:tl2br w:val="nil"/>
                    <w:tr2bl w:val="nil"/>
                  </w:tcBorders>
                  <w:noWrap w:val="0"/>
                  <w:vAlign w:val="center"/>
                </w:tcPr>
                <w:p w14:paraId="7959123A">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六价铬</w:t>
                  </w:r>
                </w:p>
              </w:tc>
              <w:tc>
                <w:tcPr>
                  <w:tcW w:w="1673" w:type="dxa"/>
                  <w:tcBorders>
                    <w:tl2br w:val="nil"/>
                    <w:tr2bl w:val="nil"/>
                  </w:tcBorders>
                  <w:noWrap w:val="0"/>
                  <w:vAlign w:val="center"/>
                </w:tcPr>
                <w:p w14:paraId="2E010010">
                  <w:pPr>
                    <w:jc w:val="center"/>
                    <w:rPr>
                      <w:rFonts w:hint="default" w:ascii="Times New Roman" w:hAnsi="Times New Roman" w:eastAsia="宋体" w:cs="Times New Roman"/>
                      <w:color w:val="auto"/>
                      <w:szCs w:val="21"/>
                      <w:highlight w:val="none"/>
                      <w:u w:val="single"/>
                      <w:lang w:val="en-US" w:eastAsia="zh-CN"/>
                    </w:rPr>
                  </w:pPr>
                </w:p>
              </w:tc>
              <w:tc>
                <w:tcPr>
                  <w:tcW w:w="1786" w:type="dxa"/>
                  <w:tcBorders>
                    <w:tl2br w:val="nil"/>
                    <w:tr2bl w:val="nil"/>
                  </w:tcBorders>
                  <w:noWrap w:val="0"/>
                  <w:vAlign w:val="center"/>
                </w:tcPr>
                <w:p w14:paraId="40114B09">
                  <w:pPr>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highlight w:val="none"/>
                      <w:u w:val="single"/>
                      <w:lang w:val="en-US" w:eastAsia="zh-CN"/>
                    </w:rPr>
                    <w:t>0.05</w:t>
                  </w:r>
                </w:p>
              </w:tc>
              <w:tc>
                <w:tcPr>
                  <w:tcW w:w="1361" w:type="dxa"/>
                  <w:tcBorders>
                    <w:tl2br w:val="nil"/>
                    <w:tr2bl w:val="nil"/>
                  </w:tcBorders>
                  <w:noWrap w:val="0"/>
                  <w:vAlign w:val="center"/>
                </w:tcPr>
                <w:p w14:paraId="63A03687">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6CA5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7B085901">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21</w:t>
                  </w:r>
                </w:p>
              </w:tc>
              <w:tc>
                <w:tcPr>
                  <w:tcW w:w="2014" w:type="dxa"/>
                  <w:tcBorders>
                    <w:tl2br w:val="nil"/>
                    <w:tr2bl w:val="nil"/>
                  </w:tcBorders>
                  <w:noWrap w:val="0"/>
                  <w:vAlign w:val="center"/>
                </w:tcPr>
                <w:p w14:paraId="76B4A763">
                  <w:pPr>
                    <w:jc w:val="center"/>
                    <w:rPr>
                      <w:rFonts w:hint="default"/>
                      <w:color w:val="auto"/>
                      <w:szCs w:val="21"/>
                      <w:u w:val="single"/>
                      <w:lang w:val="en-US" w:eastAsia="zh-CN"/>
                    </w:rPr>
                  </w:pPr>
                  <w:r>
                    <w:rPr>
                      <w:rFonts w:hint="eastAsia"/>
                      <w:color w:val="auto"/>
                      <w:szCs w:val="21"/>
                      <w:u w:val="single"/>
                      <w:lang w:val="en-US" w:eastAsia="zh-CN"/>
                    </w:rPr>
                    <w:t>氟化物</w:t>
                  </w:r>
                </w:p>
              </w:tc>
              <w:tc>
                <w:tcPr>
                  <w:tcW w:w="1673" w:type="dxa"/>
                  <w:tcBorders>
                    <w:tl2br w:val="nil"/>
                    <w:tr2bl w:val="nil"/>
                  </w:tcBorders>
                  <w:noWrap w:val="0"/>
                  <w:vAlign w:val="center"/>
                </w:tcPr>
                <w:p w14:paraId="0E8638E6">
                  <w:pPr>
                    <w:jc w:val="center"/>
                    <w:rPr>
                      <w:rFonts w:hint="default"/>
                      <w:color w:val="auto"/>
                      <w:szCs w:val="21"/>
                      <w:u w:val="single"/>
                      <w:lang w:val="en-US" w:eastAsia="zh-CN"/>
                    </w:rPr>
                  </w:pPr>
                </w:p>
              </w:tc>
              <w:tc>
                <w:tcPr>
                  <w:tcW w:w="1786" w:type="dxa"/>
                  <w:tcBorders>
                    <w:tl2br w:val="nil"/>
                    <w:tr2bl w:val="nil"/>
                  </w:tcBorders>
                  <w:noWrap w:val="0"/>
                  <w:vAlign w:val="center"/>
                </w:tcPr>
                <w:p w14:paraId="331D724A">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1</w:t>
                  </w:r>
                </w:p>
              </w:tc>
              <w:tc>
                <w:tcPr>
                  <w:tcW w:w="1361" w:type="dxa"/>
                  <w:tcBorders>
                    <w:tl2br w:val="nil"/>
                    <w:tr2bl w:val="nil"/>
                  </w:tcBorders>
                  <w:noWrap w:val="0"/>
                  <w:vAlign w:val="center"/>
                </w:tcPr>
                <w:p w14:paraId="006439CB">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5067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739BE263">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22</w:t>
                  </w:r>
                </w:p>
              </w:tc>
              <w:tc>
                <w:tcPr>
                  <w:tcW w:w="2014" w:type="dxa"/>
                  <w:tcBorders>
                    <w:tl2br w:val="nil"/>
                    <w:tr2bl w:val="nil"/>
                  </w:tcBorders>
                  <w:noWrap w:val="0"/>
                  <w:vAlign w:val="center"/>
                </w:tcPr>
                <w:p w14:paraId="5F2BF542">
                  <w:pPr>
                    <w:jc w:val="center"/>
                    <w:rPr>
                      <w:rFonts w:hint="eastAsia"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苯</w:t>
                  </w:r>
                </w:p>
              </w:tc>
              <w:tc>
                <w:tcPr>
                  <w:tcW w:w="1673" w:type="dxa"/>
                  <w:tcBorders>
                    <w:tl2br w:val="nil"/>
                    <w:tr2bl w:val="nil"/>
                  </w:tcBorders>
                  <w:noWrap w:val="0"/>
                  <w:vAlign w:val="center"/>
                </w:tcPr>
                <w:p w14:paraId="66301215">
                  <w:pPr>
                    <w:jc w:val="center"/>
                    <w:rPr>
                      <w:rFonts w:hint="default" w:ascii="Times New Roman" w:hAnsi="Times New Roman" w:cs="Times New Roman"/>
                      <w:color w:val="auto"/>
                      <w:szCs w:val="21"/>
                      <w:highlight w:val="none"/>
                      <w:u w:val="single"/>
                    </w:rPr>
                  </w:pPr>
                </w:p>
              </w:tc>
              <w:tc>
                <w:tcPr>
                  <w:tcW w:w="1786" w:type="dxa"/>
                  <w:tcBorders>
                    <w:tl2br w:val="nil"/>
                    <w:tr2bl w:val="nil"/>
                  </w:tcBorders>
                  <w:noWrap w:val="0"/>
                  <w:vAlign w:val="center"/>
                </w:tcPr>
                <w:p w14:paraId="21AF657E">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0.01</w:t>
                  </w:r>
                </w:p>
              </w:tc>
              <w:tc>
                <w:tcPr>
                  <w:tcW w:w="1361" w:type="dxa"/>
                  <w:tcBorders>
                    <w:tl2br w:val="nil"/>
                    <w:tr2bl w:val="nil"/>
                  </w:tcBorders>
                  <w:noWrap w:val="0"/>
                  <w:vAlign w:val="center"/>
                </w:tcPr>
                <w:p w14:paraId="7323A3DE">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6382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532DCAEA">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23</w:t>
                  </w:r>
                </w:p>
              </w:tc>
              <w:tc>
                <w:tcPr>
                  <w:tcW w:w="2014" w:type="dxa"/>
                  <w:tcBorders>
                    <w:tl2br w:val="nil"/>
                    <w:tr2bl w:val="nil"/>
                  </w:tcBorders>
                  <w:noWrap w:val="0"/>
                  <w:vAlign w:val="center"/>
                </w:tcPr>
                <w:p w14:paraId="1AB22AD6">
                  <w:pPr>
                    <w:jc w:val="center"/>
                    <w:rPr>
                      <w:rFonts w:hint="default" w:cs="Times New Roman"/>
                      <w:color w:val="auto"/>
                      <w:szCs w:val="21"/>
                      <w:u w:val="single"/>
                      <w:lang w:val="en-US" w:eastAsia="zh-CN"/>
                    </w:rPr>
                  </w:pPr>
                  <w:r>
                    <w:rPr>
                      <w:rFonts w:hint="eastAsia" w:cs="Times New Roman"/>
                      <w:color w:val="auto"/>
                      <w:szCs w:val="21"/>
                      <w:u w:val="single"/>
                      <w:lang w:val="en-US" w:eastAsia="zh-CN"/>
                    </w:rPr>
                    <w:t>甲苯</w:t>
                  </w:r>
                </w:p>
              </w:tc>
              <w:tc>
                <w:tcPr>
                  <w:tcW w:w="1673" w:type="dxa"/>
                  <w:tcBorders>
                    <w:tl2br w:val="nil"/>
                    <w:tr2bl w:val="nil"/>
                  </w:tcBorders>
                  <w:noWrap w:val="0"/>
                  <w:vAlign w:val="center"/>
                </w:tcPr>
                <w:p w14:paraId="6EEFBDB8">
                  <w:pPr>
                    <w:jc w:val="center"/>
                    <w:rPr>
                      <w:rFonts w:hint="default" w:ascii="Times New Roman" w:hAnsi="Times New Roman" w:cs="Times New Roman"/>
                      <w:color w:val="auto"/>
                      <w:szCs w:val="21"/>
                      <w:highlight w:val="none"/>
                      <w:u w:val="single"/>
                    </w:rPr>
                  </w:pPr>
                </w:p>
              </w:tc>
              <w:tc>
                <w:tcPr>
                  <w:tcW w:w="1786" w:type="dxa"/>
                  <w:tcBorders>
                    <w:tl2br w:val="nil"/>
                    <w:tr2bl w:val="nil"/>
                  </w:tcBorders>
                  <w:noWrap w:val="0"/>
                  <w:vAlign w:val="center"/>
                </w:tcPr>
                <w:p w14:paraId="24CFE823">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0.7</w:t>
                  </w:r>
                </w:p>
              </w:tc>
              <w:tc>
                <w:tcPr>
                  <w:tcW w:w="1361" w:type="dxa"/>
                  <w:tcBorders>
                    <w:tl2br w:val="nil"/>
                    <w:tr2bl w:val="nil"/>
                  </w:tcBorders>
                  <w:noWrap w:val="0"/>
                  <w:vAlign w:val="center"/>
                </w:tcPr>
                <w:p w14:paraId="0223CDD8">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7ECC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1FDC882D">
                  <w:pPr>
                    <w:spacing w:line="240" w:lineRule="exact"/>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2</w:t>
                  </w:r>
                  <w:r>
                    <w:rPr>
                      <w:rFonts w:hint="eastAsia" w:cs="Times New Roman"/>
                      <w:color w:val="auto"/>
                      <w:szCs w:val="21"/>
                      <w:u w:val="single"/>
                      <w:lang w:val="en-US" w:eastAsia="zh-CN"/>
                    </w:rPr>
                    <w:t>4</w:t>
                  </w:r>
                </w:p>
              </w:tc>
              <w:tc>
                <w:tcPr>
                  <w:tcW w:w="2014" w:type="dxa"/>
                  <w:tcBorders>
                    <w:tl2br w:val="nil"/>
                    <w:tr2bl w:val="nil"/>
                  </w:tcBorders>
                  <w:noWrap w:val="0"/>
                  <w:vAlign w:val="center"/>
                </w:tcPr>
                <w:p w14:paraId="2056C117">
                  <w:pPr>
                    <w:jc w:val="center"/>
                    <w:rPr>
                      <w:rFonts w:hint="default"/>
                      <w:color w:val="auto"/>
                      <w:szCs w:val="21"/>
                      <w:u w:val="single"/>
                      <w:lang w:val="en-US" w:eastAsia="zh-CN"/>
                    </w:rPr>
                  </w:pPr>
                  <w:r>
                    <w:rPr>
                      <w:rFonts w:hint="eastAsia"/>
                      <w:color w:val="auto"/>
                      <w:szCs w:val="21"/>
                      <w:u w:val="single"/>
                      <w:lang w:val="en-US" w:eastAsia="zh-CN"/>
                    </w:rPr>
                    <w:t>二甲苯</w:t>
                  </w:r>
                </w:p>
              </w:tc>
              <w:tc>
                <w:tcPr>
                  <w:tcW w:w="1673" w:type="dxa"/>
                  <w:tcBorders>
                    <w:tl2br w:val="nil"/>
                    <w:tr2bl w:val="nil"/>
                  </w:tcBorders>
                  <w:noWrap w:val="0"/>
                  <w:vAlign w:val="center"/>
                </w:tcPr>
                <w:p w14:paraId="05BFA52A">
                  <w:pPr>
                    <w:jc w:val="center"/>
                    <w:rPr>
                      <w:rFonts w:hint="default"/>
                      <w:color w:val="auto"/>
                      <w:szCs w:val="21"/>
                      <w:u w:val="single"/>
                      <w:lang w:val="en-US" w:eastAsia="zh-CN"/>
                    </w:rPr>
                  </w:pPr>
                </w:p>
              </w:tc>
              <w:tc>
                <w:tcPr>
                  <w:tcW w:w="1786" w:type="dxa"/>
                  <w:tcBorders>
                    <w:tl2br w:val="nil"/>
                    <w:tr2bl w:val="nil"/>
                  </w:tcBorders>
                  <w:noWrap w:val="0"/>
                  <w:vAlign w:val="center"/>
                </w:tcPr>
                <w:p w14:paraId="74FDA2E2">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0.5</w:t>
                  </w:r>
                </w:p>
              </w:tc>
              <w:tc>
                <w:tcPr>
                  <w:tcW w:w="1361" w:type="dxa"/>
                  <w:tcBorders>
                    <w:tl2br w:val="nil"/>
                    <w:tr2bl w:val="nil"/>
                  </w:tcBorders>
                  <w:noWrap w:val="0"/>
                  <w:vAlign w:val="center"/>
                </w:tcPr>
                <w:p w14:paraId="6A8BFCB7">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r w14:paraId="635B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5" w:type="dxa"/>
                  <w:tcBorders>
                    <w:tl2br w:val="nil"/>
                    <w:tr2bl w:val="nil"/>
                  </w:tcBorders>
                  <w:noWrap w:val="0"/>
                  <w:vAlign w:val="center"/>
                </w:tcPr>
                <w:p w14:paraId="55AD2796">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25</w:t>
                  </w:r>
                </w:p>
              </w:tc>
              <w:tc>
                <w:tcPr>
                  <w:tcW w:w="2014" w:type="dxa"/>
                  <w:tcBorders>
                    <w:tl2br w:val="nil"/>
                    <w:tr2bl w:val="nil"/>
                  </w:tcBorders>
                  <w:noWrap w:val="0"/>
                  <w:vAlign w:val="center"/>
                </w:tcPr>
                <w:p w14:paraId="3F062918">
                  <w:pPr>
                    <w:jc w:val="center"/>
                    <w:rPr>
                      <w:rFonts w:hint="default"/>
                      <w:color w:val="auto"/>
                      <w:szCs w:val="21"/>
                      <w:u w:val="single"/>
                      <w:lang w:val="en-US" w:eastAsia="zh-CN"/>
                    </w:rPr>
                  </w:pPr>
                  <w:r>
                    <w:rPr>
                      <w:rFonts w:hint="eastAsia"/>
                      <w:color w:val="auto"/>
                      <w:szCs w:val="21"/>
                      <w:u w:val="single"/>
                      <w:lang w:val="en-US" w:eastAsia="zh-CN"/>
                    </w:rPr>
                    <w:t>氰化物</w:t>
                  </w:r>
                </w:p>
              </w:tc>
              <w:tc>
                <w:tcPr>
                  <w:tcW w:w="1673" w:type="dxa"/>
                  <w:tcBorders>
                    <w:tl2br w:val="nil"/>
                    <w:tr2bl w:val="nil"/>
                  </w:tcBorders>
                  <w:noWrap w:val="0"/>
                  <w:vAlign w:val="center"/>
                </w:tcPr>
                <w:p w14:paraId="38E77659">
                  <w:pPr>
                    <w:jc w:val="center"/>
                    <w:rPr>
                      <w:rFonts w:hint="default"/>
                      <w:color w:val="auto"/>
                      <w:szCs w:val="21"/>
                      <w:u w:val="single"/>
                      <w:lang w:val="en-US" w:eastAsia="zh-CN"/>
                    </w:rPr>
                  </w:pPr>
                </w:p>
              </w:tc>
              <w:tc>
                <w:tcPr>
                  <w:tcW w:w="1786" w:type="dxa"/>
                  <w:tcBorders>
                    <w:tl2br w:val="nil"/>
                    <w:tr2bl w:val="nil"/>
                  </w:tcBorders>
                  <w:noWrap w:val="0"/>
                  <w:vAlign w:val="center"/>
                </w:tcPr>
                <w:p w14:paraId="68585156">
                  <w:pPr>
                    <w:spacing w:line="240" w:lineRule="exact"/>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0.05</w:t>
                  </w:r>
                </w:p>
              </w:tc>
              <w:tc>
                <w:tcPr>
                  <w:tcW w:w="1361" w:type="dxa"/>
                  <w:tcBorders>
                    <w:tl2br w:val="nil"/>
                    <w:tr2bl w:val="nil"/>
                  </w:tcBorders>
                  <w:noWrap w:val="0"/>
                  <w:vAlign w:val="center"/>
                </w:tcPr>
                <w:p w14:paraId="7FE621DF">
                  <w:pPr>
                    <w:spacing w:line="240" w:lineRule="exact"/>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达标</w:t>
                  </w:r>
                </w:p>
              </w:tc>
            </w:tr>
          </w:tbl>
          <w:p w14:paraId="4E52A42F">
            <w:pPr>
              <w:spacing w:line="500" w:lineRule="exact"/>
              <w:jc w:val="center"/>
              <w:rPr>
                <w:b/>
                <w:color w:val="auto"/>
                <w:sz w:val="24"/>
                <w:u w:val="single"/>
              </w:rPr>
            </w:pPr>
            <w:r>
              <w:rPr>
                <w:b/>
                <w:color w:val="auto"/>
                <w:sz w:val="24"/>
                <w:u w:val="single"/>
              </w:rPr>
              <w:t>表3-</w:t>
            </w:r>
            <w:r>
              <w:rPr>
                <w:rFonts w:hint="eastAsia"/>
                <w:b/>
                <w:color w:val="auto"/>
                <w:sz w:val="24"/>
                <w:u w:val="single"/>
                <w:lang w:val="en-US" w:eastAsia="zh-CN"/>
              </w:rPr>
              <w:t>9</w:t>
            </w:r>
            <w:r>
              <w:rPr>
                <w:rFonts w:hint="eastAsia"/>
                <w:b/>
                <w:color w:val="auto"/>
                <w:sz w:val="24"/>
                <w:u w:val="single"/>
              </w:rPr>
              <w:t xml:space="preserve"> </w:t>
            </w:r>
            <w:r>
              <w:rPr>
                <w:b/>
                <w:color w:val="auto"/>
                <w:sz w:val="24"/>
                <w:u w:val="single"/>
              </w:rPr>
              <w:t>地下水</w:t>
            </w:r>
            <w:r>
              <w:rPr>
                <w:rFonts w:hint="eastAsia"/>
                <w:b/>
                <w:color w:val="auto"/>
                <w:sz w:val="24"/>
                <w:u w:val="single"/>
              </w:rPr>
              <w:t>八大离子</w:t>
            </w:r>
            <w:r>
              <w:rPr>
                <w:b/>
                <w:color w:val="auto"/>
                <w:sz w:val="24"/>
                <w:u w:val="single"/>
              </w:rPr>
              <w:t>监测结果   单位：mg/L</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810"/>
              <w:gridCol w:w="860"/>
              <w:gridCol w:w="861"/>
              <w:gridCol w:w="859"/>
              <w:gridCol w:w="858"/>
              <w:gridCol w:w="1304"/>
              <w:gridCol w:w="855"/>
              <w:gridCol w:w="859"/>
            </w:tblGrid>
            <w:tr w14:paraId="216A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noWrap w:val="0"/>
                  <w:vAlign w:val="center"/>
                </w:tcPr>
                <w:p w14:paraId="1E8CA687">
                  <w:pPr>
                    <w:spacing w:line="240" w:lineRule="exact"/>
                    <w:jc w:val="center"/>
                    <w:rPr>
                      <w:color w:val="auto"/>
                      <w:szCs w:val="21"/>
                      <w:u w:val="single"/>
                    </w:rPr>
                  </w:pPr>
                  <w:r>
                    <w:rPr>
                      <w:rFonts w:hint="eastAsia"/>
                      <w:color w:val="auto"/>
                      <w:szCs w:val="21"/>
                      <w:u w:val="single"/>
                    </w:rPr>
                    <w:t>点位/项目</w:t>
                  </w:r>
                </w:p>
              </w:tc>
              <w:tc>
                <w:tcPr>
                  <w:tcW w:w="816" w:type="dxa"/>
                  <w:noWrap w:val="0"/>
                  <w:vAlign w:val="center"/>
                </w:tcPr>
                <w:p w14:paraId="67B57E8E">
                  <w:pPr>
                    <w:spacing w:line="240" w:lineRule="exact"/>
                    <w:jc w:val="center"/>
                    <w:rPr>
                      <w:color w:val="auto"/>
                      <w:szCs w:val="21"/>
                      <w:u w:val="single"/>
                    </w:rPr>
                  </w:pPr>
                  <w:r>
                    <w:rPr>
                      <w:rFonts w:hint="eastAsia"/>
                      <w:color w:val="auto"/>
                      <w:szCs w:val="21"/>
                      <w:u w:val="single"/>
                    </w:rPr>
                    <w:t>K</w:t>
                  </w:r>
                  <w:r>
                    <w:rPr>
                      <w:rFonts w:hint="eastAsia"/>
                      <w:color w:val="auto"/>
                      <w:szCs w:val="21"/>
                      <w:u w:val="single"/>
                      <w:vertAlign w:val="superscript"/>
                    </w:rPr>
                    <w:t>+</w:t>
                  </w:r>
                </w:p>
              </w:tc>
              <w:tc>
                <w:tcPr>
                  <w:tcW w:w="865" w:type="dxa"/>
                  <w:noWrap w:val="0"/>
                  <w:vAlign w:val="center"/>
                </w:tcPr>
                <w:p w14:paraId="7323A5BC">
                  <w:pPr>
                    <w:spacing w:line="240" w:lineRule="exact"/>
                    <w:jc w:val="center"/>
                    <w:rPr>
                      <w:color w:val="auto"/>
                      <w:szCs w:val="21"/>
                      <w:u w:val="single"/>
                      <w:vertAlign w:val="superscript"/>
                    </w:rPr>
                  </w:pPr>
                  <w:r>
                    <w:rPr>
                      <w:rFonts w:hint="eastAsia"/>
                      <w:color w:val="auto"/>
                      <w:szCs w:val="21"/>
                      <w:u w:val="single"/>
                    </w:rPr>
                    <w:t>Na</w:t>
                  </w:r>
                  <w:r>
                    <w:rPr>
                      <w:rFonts w:hint="eastAsia"/>
                      <w:color w:val="auto"/>
                      <w:szCs w:val="21"/>
                      <w:u w:val="single"/>
                      <w:vertAlign w:val="superscript"/>
                    </w:rPr>
                    <w:t>+</w:t>
                  </w:r>
                </w:p>
              </w:tc>
              <w:tc>
                <w:tcPr>
                  <w:tcW w:w="865" w:type="dxa"/>
                  <w:noWrap w:val="0"/>
                  <w:vAlign w:val="center"/>
                </w:tcPr>
                <w:p w14:paraId="02BD734D">
                  <w:pPr>
                    <w:spacing w:line="240" w:lineRule="exact"/>
                    <w:jc w:val="center"/>
                    <w:rPr>
                      <w:color w:val="auto"/>
                      <w:szCs w:val="21"/>
                      <w:u w:val="single"/>
                      <w:vertAlign w:val="superscript"/>
                    </w:rPr>
                  </w:pPr>
                  <w:r>
                    <w:rPr>
                      <w:rFonts w:hint="eastAsia"/>
                      <w:color w:val="auto"/>
                      <w:szCs w:val="21"/>
                      <w:u w:val="single"/>
                    </w:rPr>
                    <w:t>Ca</w:t>
                  </w:r>
                  <w:r>
                    <w:rPr>
                      <w:rFonts w:hint="eastAsia"/>
                      <w:color w:val="auto"/>
                      <w:szCs w:val="21"/>
                      <w:u w:val="single"/>
                      <w:vertAlign w:val="superscript"/>
                    </w:rPr>
                    <w:t>2+</w:t>
                  </w:r>
                </w:p>
              </w:tc>
              <w:tc>
                <w:tcPr>
                  <w:tcW w:w="862" w:type="dxa"/>
                  <w:noWrap w:val="0"/>
                  <w:vAlign w:val="center"/>
                </w:tcPr>
                <w:p w14:paraId="3497EDED">
                  <w:pPr>
                    <w:spacing w:line="240" w:lineRule="exact"/>
                    <w:jc w:val="center"/>
                    <w:rPr>
                      <w:color w:val="auto"/>
                      <w:szCs w:val="21"/>
                      <w:u w:val="single"/>
                      <w:vertAlign w:val="superscript"/>
                    </w:rPr>
                  </w:pPr>
                  <w:r>
                    <w:rPr>
                      <w:rFonts w:hint="eastAsia"/>
                      <w:color w:val="auto"/>
                      <w:szCs w:val="21"/>
                      <w:u w:val="single"/>
                    </w:rPr>
                    <w:t>Mg</w:t>
                  </w:r>
                  <w:r>
                    <w:rPr>
                      <w:rFonts w:hint="eastAsia"/>
                      <w:color w:val="auto"/>
                      <w:szCs w:val="21"/>
                      <w:u w:val="single"/>
                      <w:vertAlign w:val="superscript"/>
                    </w:rPr>
                    <w:t>2+</w:t>
                  </w:r>
                </w:p>
              </w:tc>
              <w:tc>
                <w:tcPr>
                  <w:tcW w:w="862" w:type="dxa"/>
                  <w:noWrap w:val="0"/>
                  <w:vAlign w:val="center"/>
                </w:tcPr>
                <w:p w14:paraId="31A15976">
                  <w:pPr>
                    <w:spacing w:line="240" w:lineRule="exact"/>
                    <w:jc w:val="center"/>
                    <w:rPr>
                      <w:color w:val="auto"/>
                      <w:szCs w:val="21"/>
                      <w:u w:val="single"/>
                    </w:rPr>
                  </w:pPr>
                  <w:r>
                    <w:rPr>
                      <w:rFonts w:hint="eastAsia"/>
                      <w:color w:val="auto"/>
                      <w:szCs w:val="21"/>
                      <w:u w:val="single"/>
                    </w:rPr>
                    <w:t>CO</w:t>
                  </w:r>
                  <w:r>
                    <w:rPr>
                      <w:rFonts w:hint="eastAsia"/>
                      <w:color w:val="auto"/>
                      <w:szCs w:val="21"/>
                      <w:u w:val="single"/>
                      <w:vertAlign w:val="subscript"/>
                    </w:rPr>
                    <w:t>3</w:t>
                  </w:r>
                  <w:r>
                    <w:rPr>
                      <w:rFonts w:hint="eastAsia"/>
                      <w:color w:val="auto"/>
                      <w:szCs w:val="21"/>
                      <w:u w:val="single"/>
                      <w:vertAlign w:val="superscript"/>
                    </w:rPr>
                    <w:t>-</w:t>
                  </w:r>
                </w:p>
              </w:tc>
              <w:tc>
                <w:tcPr>
                  <w:tcW w:w="1313" w:type="dxa"/>
                  <w:noWrap w:val="0"/>
                  <w:vAlign w:val="center"/>
                </w:tcPr>
                <w:p w14:paraId="7E5D8328">
                  <w:pPr>
                    <w:spacing w:line="240" w:lineRule="exact"/>
                    <w:jc w:val="center"/>
                    <w:rPr>
                      <w:rFonts w:hint="eastAsia"/>
                      <w:color w:val="auto"/>
                      <w:szCs w:val="21"/>
                      <w:u w:val="single"/>
                    </w:rPr>
                  </w:pPr>
                  <w:r>
                    <w:rPr>
                      <w:rFonts w:hint="eastAsia"/>
                      <w:color w:val="auto"/>
                      <w:szCs w:val="21"/>
                      <w:u w:val="single"/>
                    </w:rPr>
                    <w:t>HCO</w:t>
                  </w:r>
                  <w:r>
                    <w:rPr>
                      <w:rFonts w:hint="eastAsia"/>
                      <w:color w:val="auto"/>
                      <w:szCs w:val="21"/>
                      <w:u w:val="single"/>
                      <w:vertAlign w:val="subscript"/>
                    </w:rPr>
                    <w:t>3</w:t>
                  </w:r>
                  <w:r>
                    <w:rPr>
                      <w:rFonts w:hint="eastAsia"/>
                      <w:color w:val="auto"/>
                      <w:szCs w:val="21"/>
                      <w:u w:val="single"/>
                      <w:vertAlign w:val="superscript"/>
                    </w:rPr>
                    <w:t>-</w:t>
                  </w:r>
                </w:p>
              </w:tc>
              <w:tc>
                <w:tcPr>
                  <w:tcW w:w="862" w:type="dxa"/>
                  <w:noWrap w:val="0"/>
                  <w:vAlign w:val="center"/>
                </w:tcPr>
                <w:p w14:paraId="04A368F0">
                  <w:pPr>
                    <w:spacing w:line="240" w:lineRule="exact"/>
                    <w:jc w:val="center"/>
                    <w:rPr>
                      <w:color w:val="auto"/>
                      <w:szCs w:val="21"/>
                      <w:u w:val="single"/>
                    </w:rPr>
                  </w:pPr>
                  <w:r>
                    <w:rPr>
                      <w:rFonts w:hint="eastAsia"/>
                      <w:color w:val="auto"/>
                      <w:szCs w:val="21"/>
                      <w:u w:val="single"/>
                    </w:rPr>
                    <w:t>Cl</w:t>
                  </w:r>
                  <w:r>
                    <w:rPr>
                      <w:rFonts w:hint="eastAsia"/>
                      <w:color w:val="auto"/>
                      <w:szCs w:val="21"/>
                      <w:u w:val="single"/>
                      <w:vertAlign w:val="superscript"/>
                    </w:rPr>
                    <w:t>-</w:t>
                  </w:r>
                </w:p>
              </w:tc>
              <w:tc>
                <w:tcPr>
                  <w:tcW w:w="862" w:type="dxa"/>
                  <w:noWrap w:val="0"/>
                  <w:vAlign w:val="center"/>
                </w:tcPr>
                <w:p w14:paraId="480090F7">
                  <w:pPr>
                    <w:spacing w:line="240" w:lineRule="exact"/>
                    <w:jc w:val="center"/>
                    <w:rPr>
                      <w:color w:val="auto"/>
                      <w:szCs w:val="21"/>
                      <w:u w:val="single"/>
                      <w:vertAlign w:val="superscript"/>
                    </w:rPr>
                  </w:pPr>
                  <w:r>
                    <w:rPr>
                      <w:rFonts w:hint="eastAsia"/>
                      <w:color w:val="auto"/>
                      <w:szCs w:val="21"/>
                      <w:u w:val="single"/>
                    </w:rPr>
                    <w:t>SO</w:t>
                  </w:r>
                  <w:r>
                    <w:rPr>
                      <w:rFonts w:hint="eastAsia"/>
                      <w:color w:val="auto"/>
                      <w:szCs w:val="21"/>
                      <w:u w:val="single"/>
                      <w:vertAlign w:val="subscript"/>
                    </w:rPr>
                    <w:t>4</w:t>
                  </w:r>
                  <w:r>
                    <w:rPr>
                      <w:rFonts w:hint="eastAsia"/>
                      <w:color w:val="auto"/>
                      <w:szCs w:val="21"/>
                      <w:u w:val="single"/>
                      <w:vertAlign w:val="superscript"/>
                    </w:rPr>
                    <w:t>2+</w:t>
                  </w:r>
                </w:p>
              </w:tc>
            </w:tr>
            <w:tr w14:paraId="54443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noWrap w:val="0"/>
                  <w:vAlign w:val="center"/>
                </w:tcPr>
                <w:p w14:paraId="421522F4">
                  <w:pPr>
                    <w:spacing w:line="240" w:lineRule="exact"/>
                    <w:jc w:val="center"/>
                    <w:rPr>
                      <w:rFonts w:hint="eastAsia" w:eastAsia="宋体"/>
                      <w:color w:val="auto"/>
                      <w:szCs w:val="21"/>
                      <w:u w:val="single"/>
                      <w:lang w:eastAsia="zh-CN"/>
                    </w:rPr>
                  </w:pPr>
                  <w:r>
                    <w:rPr>
                      <w:rFonts w:hint="eastAsia"/>
                      <w:color w:val="auto"/>
                      <w:szCs w:val="21"/>
                      <w:u w:val="single"/>
                    </w:rPr>
                    <w:t>D1</w:t>
                  </w:r>
                  <w:r>
                    <w:rPr>
                      <w:rFonts w:hint="eastAsia"/>
                      <w:color w:val="auto"/>
                      <w:szCs w:val="21"/>
                      <w:u w:val="single"/>
                      <w:lang w:val="en-US" w:eastAsia="zh-CN"/>
                    </w:rPr>
                    <w:t>水井</w:t>
                  </w:r>
                </w:p>
              </w:tc>
              <w:tc>
                <w:tcPr>
                  <w:tcW w:w="816" w:type="dxa"/>
                  <w:noWrap w:val="0"/>
                  <w:vAlign w:val="center"/>
                </w:tcPr>
                <w:p w14:paraId="7AE4014E">
                  <w:pPr>
                    <w:spacing w:line="240" w:lineRule="exact"/>
                    <w:jc w:val="center"/>
                    <w:rPr>
                      <w:rFonts w:hint="default" w:eastAsia="宋体"/>
                      <w:color w:val="auto"/>
                      <w:szCs w:val="21"/>
                      <w:u w:val="single"/>
                      <w:lang w:val="en-US" w:eastAsia="zh-CN"/>
                    </w:rPr>
                  </w:pPr>
                </w:p>
              </w:tc>
              <w:tc>
                <w:tcPr>
                  <w:tcW w:w="865" w:type="dxa"/>
                  <w:noWrap w:val="0"/>
                  <w:vAlign w:val="center"/>
                </w:tcPr>
                <w:p w14:paraId="69F5BF3D">
                  <w:pPr>
                    <w:spacing w:line="240" w:lineRule="exact"/>
                    <w:jc w:val="center"/>
                    <w:rPr>
                      <w:rFonts w:hint="default" w:eastAsia="宋体"/>
                      <w:color w:val="auto"/>
                      <w:szCs w:val="21"/>
                      <w:u w:val="single"/>
                      <w:lang w:val="en-US" w:eastAsia="zh-CN"/>
                    </w:rPr>
                  </w:pPr>
                </w:p>
              </w:tc>
              <w:tc>
                <w:tcPr>
                  <w:tcW w:w="865" w:type="dxa"/>
                  <w:noWrap w:val="0"/>
                  <w:vAlign w:val="center"/>
                </w:tcPr>
                <w:p w14:paraId="7B2167C0">
                  <w:pPr>
                    <w:spacing w:line="240" w:lineRule="exact"/>
                    <w:jc w:val="center"/>
                    <w:rPr>
                      <w:rFonts w:hint="default" w:eastAsia="宋体"/>
                      <w:color w:val="auto"/>
                      <w:szCs w:val="21"/>
                      <w:u w:val="single"/>
                      <w:lang w:val="en-US" w:eastAsia="zh-CN"/>
                    </w:rPr>
                  </w:pPr>
                </w:p>
              </w:tc>
              <w:tc>
                <w:tcPr>
                  <w:tcW w:w="862" w:type="dxa"/>
                  <w:noWrap w:val="0"/>
                  <w:vAlign w:val="center"/>
                </w:tcPr>
                <w:p w14:paraId="56405874">
                  <w:pPr>
                    <w:spacing w:line="240" w:lineRule="exact"/>
                    <w:jc w:val="center"/>
                    <w:rPr>
                      <w:rFonts w:hint="default" w:eastAsia="宋体"/>
                      <w:color w:val="auto"/>
                      <w:szCs w:val="21"/>
                      <w:u w:val="single"/>
                      <w:lang w:val="en-US" w:eastAsia="zh-CN"/>
                    </w:rPr>
                  </w:pPr>
                </w:p>
              </w:tc>
              <w:tc>
                <w:tcPr>
                  <w:tcW w:w="862" w:type="dxa"/>
                  <w:noWrap w:val="0"/>
                  <w:vAlign w:val="center"/>
                </w:tcPr>
                <w:p w14:paraId="79917499">
                  <w:pPr>
                    <w:spacing w:line="240" w:lineRule="exact"/>
                    <w:jc w:val="center"/>
                    <w:rPr>
                      <w:rFonts w:hint="default" w:eastAsia="宋体"/>
                      <w:color w:val="auto"/>
                      <w:szCs w:val="21"/>
                      <w:u w:val="single"/>
                      <w:lang w:val="en-US" w:eastAsia="zh-CN"/>
                    </w:rPr>
                  </w:pPr>
                </w:p>
              </w:tc>
              <w:tc>
                <w:tcPr>
                  <w:tcW w:w="1313" w:type="dxa"/>
                  <w:noWrap w:val="0"/>
                  <w:vAlign w:val="center"/>
                </w:tcPr>
                <w:p w14:paraId="26933754">
                  <w:pPr>
                    <w:spacing w:line="240" w:lineRule="exact"/>
                    <w:jc w:val="center"/>
                    <w:rPr>
                      <w:rFonts w:hint="default" w:eastAsia="宋体"/>
                      <w:color w:val="auto"/>
                      <w:szCs w:val="21"/>
                      <w:u w:val="single"/>
                      <w:lang w:val="en-US" w:eastAsia="zh-CN"/>
                    </w:rPr>
                  </w:pPr>
                </w:p>
              </w:tc>
              <w:tc>
                <w:tcPr>
                  <w:tcW w:w="862" w:type="dxa"/>
                  <w:noWrap w:val="0"/>
                  <w:vAlign w:val="center"/>
                </w:tcPr>
                <w:p w14:paraId="5422333C">
                  <w:pPr>
                    <w:spacing w:line="240" w:lineRule="exact"/>
                    <w:jc w:val="center"/>
                    <w:rPr>
                      <w:rFonts w:hint="default" w:eastAsia="宋体"/>
                      <w:color w:val="auto"/>
                      <w:szCs w:val="21"/>
                      <w:u w:val="single"/>
                      <w:lang w:val="en-US" w:eastAsia="zh-CN"/>
                    </w:rPr>
                  </w:pPr>
                </w:p>
              </w:tc>
              <w:tc>
                <w:tcPr>
                  <w:tcW w:w="862" w:type="dxa"/>
                  <w:noWrap w:val="0"/>
                  <w:vAlign w:val="center"/>
                </w:tcPr>
                <w:p w14:paraId="350F0E88">
                  <w:pPr>
                    <w:spacing w:line="240" w:lineRule="exact"/>
                    <w:jc w:val="center"/>
                    <w:rPr>
                      <w:rFonts w:hint="default" w:eastAsia="宋体"/>
                      <w:color w:val="auto"/>
                      <w:szCs w:val="21"/>
                      <w:u w:val="single"/>
                      <w:lang w:val="en-US" w:eastAsia="zh-CN"/>
                    </w:rPr>
                  </w:pPr>
                </w:p>
              </w:tc>
            </w:tr>
          </w:tbl>
          <w:p w14:paraId="02672A58">
            <w:pPr>
              <w:pStyle w:val="6"/>
              <w:spacing w:line="500" w:lineRule="exact"/>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根据监测结果可知，</w:t>
            </w:r>
            <w:r>
              <w:rPr>
                <w:rFonts w:hint="eastAsia" w:ascii="Times New Roman" w:hAnsi="Times New Roman" w:eastAsia="宋体" w:cs="Times New Roman"/>
                <w:color w:val="auto"/>
                <w:kern w:val="0"/>
                <w:sz w:val="24"/>
                <w:lang w:val="en-US" w:eastAsia="zh-CN"/>
              </w:rPr>
              <w:t>区域地下水D1水井</w:t>
            </w:r>
            <w:r>
              <w:rPr>
                <w:rFonts w:hint="default" w:ascii="Times New Roman" w:hAnsi="Times New Roman" w:eastAsia="宋体" w:cs="Times New Roman"/>
                <w:color w:val="auto"/>
                <w:kern w:val="0"/>
                <w:sz w:val="24"/>
              </w:rPr>
              <w:t>监测因子</w:t>
            </w:r>
            <w:r>
              <w:rPr>
                <w:rFonts w:hint="eastAsia" w:ascii="Times New Roman" w:hAnsi="Times New Roman" w:eastAsia="宋体" w:cs="Times New Roman"/>
                <w:color w:val="auto"/>
                <w:kern w:val="0"/>
                <w:sz w:val="24"/>
                <w:lang w:val="en-US" w:eastAsia="zh-CN"/>
              </w:rPr>
              <w:t>除石油类无环境质量标准外，其余地下水监测因子</w:t>
            </w:r>
            <w:r>
              <w:rPr>
                <w:rFonts w:hint="default" w:ascii="Times New Roman" w:hAnsi="Times New Roman" w:eastAsia="宋体" w:cs="Times New Roman"/>
                <w:color w:val="auto"/>
                <w:kern w:val="0"/>
                <w:sz w:val="24"/>
              </w:rPr>
              <w:t>的监测浓度均能达到《地下水质量标准》（GB/T14848-2017）Ⅲ类标准。</w:t>
            </w:r>
          </w:p>
          <w:p w14:paraId="5B5D0FE3">
            <w:pPr>
              <w:pStyle w:val="6"/>
              <w:spacing w:line="500" w:lineRule="exact"/>
              <w:ind w:firstLine="480"/>
              <w:rPr>
                <w:rFonts w:hint="eastAsia"/>
                <w:color w:val="auto"/>
                <w:kern w:val="0"/>
                <w:sz w:val="24"/>
              </w:rPr>
            </w:pPr>
            <w:r>
              <w:rPr>
                <w:rFonts w:hint="eastAsia"/>
                <w:color w:val="auto"/>
                <w:kern w:val="0"/>
                <w:sz w:val="24"/>
                <w:lang w:eastAsia="zh-CN"/>
              </w:rPr>
              <w:t>五</w:t>
            </w:r>
            <w:r>
              <w:rPr>
                <w:rFonts w:hint="eastAsia"/>
                <w:color w:val="auto"/>
                <w:kern w:val="0"/>
                <w:sz w:val="24"/>
              </w:rPr>
              <w:t>、</w:t>
            </w:r>
            <w:r>
              <w:rPr>
                <w:rFonts w:hint="eastAsia"/>
                <w:color w:val="auto"/>
                <w:kern w:val="0"/>
                <w:sz w:val="24"/>
                <w:lang w:eastAsia="zh-CN"/>
              </w:rPr>
              <w:t>土壤</w:t>
            </w:r>
            <w:r>
              <w:rPr>
                <w:rFonts w:hint="eastAsia"/>
                <w:color w:val="auto"/>
                <w:kern w:val="0"/>
                <w:sz w:val="24"/>
              </w:rPr>
              <w:t>环境质量状况</w:t>
            </w:r>
          </w:p>
          <w:p w14:paraId="1BD918EC">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拟建项目土地性质为</w:t>
            </w:r>
            <w:r>
              <w:rPr>
                <w:rFonts w:hint="eastAsia" w:ascii="Times New Roman" w:hAnsi="Times New Roman" w:eastAsia="宋体" w:cs="Times New Roman"/>
                <w:kern w:val="0"/>
                <w:sz w:val="24"/>
                <w:lang w:val="en-US" w:eastAsia="zh-CN"/>
              </w:rPr>
              <w:t>仓储</w:t>
            </w:r>
            <w:r>
              <w:rPr>
                <w:rFonts w:hint="eastAsia" w:ascii="Times New Roman" w:hAnsi="Times New Roman" w:eastAsia="宋体" w:cs="Times New Roman"/>
                <w:kern w:val="0"/>
                <w:sz w:val="24"/>
              </w:rPr>
              <w:t>用地，参照执行《土壤环境质量 建设用地土壤污染风险管控标准（试行）》（GB36600-2018）建设用地分类中的“第二类用地”。</w:t>
            </w:r>
          </w:p>
          <w:p w14:paraId="114E2461">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根据《建设项目环境影响报告表编制技术指南（污染影响类）（试行）》，土壤环境原则上不</w:t>
            </w:r>
            <w:r>
              <w:rPr>
                <w:rFonts w:hint="eastAsia" w:ascii="Times New Roman" w:hAnsi="Times New Roman" w:eastAsia="宋体" w:cs="Times New Roman"/>
                <w:kern w:val="0"/>
                <w:sz w:val="24"/>
                <w:highlight w:val="none"/>
              </w:rPr>
              <w:t>展开</w:t>
            </w:r>
            <w:r>
              <w:rPr>
                <w:rFonts w:hint="eastAsia" w:ascii="Times New Roman" w:hAnsi="Times New Roman" w:eastAsia="宋体" w:cs="Times New Roman"/>
                <w:kern w:val="0"/>
                <w:sz w:val="24"/>
              </w:rPr>
              <w:t>环境质量现状调查，项目</w:t>
            </w:r>
            <w:r>
              <w:rPr>
                <w:rFonts w:hint="eastAsia" w:ascii="Times New Roman" w:hAnsi="Times New Roman" w:eastAsia="宋体" w:cs="Times New Roman"/>
                <w:kern w:val="0"/>
                <w:sz w:val="24"/>
                <w:lang w:val="en-US" w:eastAsia="zh-CN"/>
              </w:rPr>
              <w:t>储存大量液态危险化学品</w:t>
            </w:r>
            <w:r>
              <w:rPr>
                <w:rFonts w:hint="eastAsia" w:ascii="Times New Roman" w:hAnsi="Times New Roman" w:eastAsia="宋体" w:cs="Times New Roman"/>
                <w:kern w:val="0"/>
                <w:sz w:val="24"/>
              </w:rPr>
              <w:t>，存在土壤环境污染途径。</w:t>
            </w:r>
          </w:p>
          <w:p w14:paraId="2ABB6736">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为进一步了解项目的土壤环境质量现状，在评价期间对项目场区内土壤进行监测，本次监测</w:t>
            </w:r>
            <w:r>
              <w:rPr>
                <w:rFonts w:hint="eastAsia" w:ascii="Times New Roman" w:hAnsi="Times New Roman" w:eastAsia="宋体" w:cs="Times New Roman"/>
                <w:color w:val="auto"/>
                <w:kern w:val="0"/>
                <w:sz w:val="24"/>
              </w:rPr>
              <w:t>委托</w:t>
            </w:r>
            <w:r>
              <w:rPr>
                <w:rFonts w:hint="eastAsia" w:ascii="Times New Roman" w:hAnsi="Times New Roman" w:eastAsia="宋体" w:cs="Times New Roman"/>
                <w:color w:val="auto"/>
                <w:kern w:val="0"/>
                <w:sz w:val="24"/>
                <w:lang w:val="en-US" w:eastAsia="zh-CN"/>
              </w:rPr>
              <w:t>广西恒沁检测科技有限公司</w:t>
            </w:r>
            <w:r>
              <w:rPr>
                <w:rFonts w:hint="eastAsia" w:ascii="Times New Roman" w:hAnsi="Times New Roman" w:eastAsia="宋体" w:cs="Times New Roman"/>
                <w:color w:val="auto"/>
                <w:kern w:val="0"/>
                <w:sz w:val="24"/>
              </w:rPr>
              <w:t>对</w:t>
            </w:r>
            <w:r>
              <w:rPr>
                <w:rFonts w:hint="eastAsia" w:ascii="Times New Roman" w:hAnsi="Times New Roman" w:eastAsia="宋体" w:cs="Times New Roman"/>
                <w:kern w:val="0"/>
                <w:sz w:val="24"/>
              </w:rPr>
              <w:t>场区内土壤样品进行监测。</w:t>
            </w:r>
          </w:p>
          <w:p w14:paraId="4FBBB0FB">
            <w:pPr>
              <w:pStyle w:val="6"/>
              <w:spacing w:line="500" w:lineRule="exact"/>
              <w:ind w:firstLine="480"/>
              <w:rPr>
                <w:rFonts w:hint="default"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rPr>
              <w:t>1、监测点位：T1</w:t>
            </w:r>
            <w:r>
              <w:rPr>
                <w:rFonts w:hint="eastAsia" w:ascii="Times New Roman" w:hAnsi="Times New Roman" w:eastAsia="宋体" w:cs="Times New Roman"/>
                <w:color w:val="000000"/>
                <w:kern w:val="0"/>
                <w:sz w:val="24"/>
                <w:lang w:val="en-US" w:eastAsia="zh-CN"/>
              </w:rPr>
              <w:t>监测点</w:t>
            </w:r>
            <w:r>
              <w:rPr>
                <w:rFonts w:hint="eastAsia" w:ascii="Times New Roman" w:hAnsi="Times New Roman" w:eastAsia="宋体" w:cs="Times New Roman"/>
                <w:color w:val="000000"/>
                <w:kern w:val="0"/>
                <w:sz w:val="24"/>
              </w:rPr>
              <w:t>。</w:t>
            </w:r>
            <w:r>
              <w:rPr>
                <w:rFonts w:hint="eastAsia" w:ascii="Times New Roman" w:hAnsi="Times New Roman" w:eastAsia="宋体" w:cs="Times New Roman"/>
                <w:color w:val="000000"/>
                <w:kern w:val="0"/>
                <w:sz w:val="24"/>
                <w:lang w:val="en-US" w:eastAsia="zh-CN"/>
              </w:rPr>
              <w:t>坐标：N</w:t>
            </w:r>
            <w:r>
              <w:rPr>
                <w:rFonts w:hint="eastAsia" w:cs="Times New Roman"/>
                <w:color w:val="000000"/>
                <w:kern w:val="0"/>
                <w:sz w:val="24"/>
                <w:lang w:val="en-US" w:eastAsia="zh-CN"/>
              </w:rPr>
              <w:t xml:space="preserve"> </w:t>
            </w:r>
            <w:r>
              <w:rPr>
                <w:rFonts w:hint="eastAsia" w:ascii="Times New Roman" w:hAnsi="Times New Roman" w:eastAsia="宋体" w:cs="Times New Roman"/>
                <w:color w:val="000000"/>
                <w:kern w:val="0"/>
                <w:sz w:val="24"/>
                <w:lang w:val="en-US" w:eastAsia="zh-CN"/>
              </w:rPr>
              <w:t>21.741825°、E 108.634031°。</w:t>
            </w:r>
          </w:p>
          <w:p w14:paraId="20006BCE">
            <w:pPr>
              <w:pStyle w:val="6"/>
              <w:spacing w:line="500" w:lineRule="exact"/>
              <w:ind w:firstLine="480"/>
              <w:rPr>
                <w:rFonts w:hint="eastAsia" w:ascii="Times New Roman" w:hAnsi="Times New Roman" w:eastAsia="宋体" w:cs="Times New Roman"/>
                <w:color w:val="000000"/>
                <w:kern w:val="0"/>
                <w:sz w:val="24"/>
              </w:rPr>
            </w:pPr>
            <w:r>
              <w:rPr>
                <w:rFonts w:hint="eastAsia" w:ascii="Times New Roman" w:hAnsi="Times New Roman" w:eastAsia="宋体" w:cs="Times New Roman"/>
                <w:color w:val="000000"/>
                <w:kern w:val="0"/>
                <w:sz w:val="24"/>
              </w:rPr>
              <w:t>2、监测项目：GB36600-2018表1中列出的45项</w:t>
            </w:r>
            <w:r>
              <w:rPr>
                <w:rFonts w:hint="eastAsia" w:ascii="Times New Roman" w:hAnsi="Times New Roman" w:eastAsia="宋体" w:cs="Times New Roman"/>
                <w:color w:val="000000"/>
                <w:kern w:val="0"/>
                <w:sz w:val="24"/>
                <w:highlight w:val="none"/>
              </w:rPr>
              <w:t>基</w:t>
            </w:r>
            <w:r>
              <w:rPr>
                <w:rFonts w:hint="eastAsia" w:ascii="Times New Roman" w:hAnsi="Times New Roman" w:eastAsia="宋体" w:cs="Times New Roman"/>
                <w:color w:val="000000"/>
                <w:kern w:val="0"/>
                <w:sz w:val="24"/>
                <w:highlight w:val="none"/>
                <w:lang w:val="en-US" w:eastAsia="zh-CN"/>
              </w:rPr>
              <w:t>本</w:t>
            </w:r>
            <w:r>
              <w:rPr>
                <w:rFonts w:hint="eastAsia" w:ascii="Times New Roman" w:hAnsi="Times New Roman" w:eastAsia="宋体" w:cs="Times New Roman"/>
                <w:color w:val="000000"/>
                <w:kern w:val="0"/>
                <w:sz w:val="24"/>
                <w:lang w:val="en-US" w:eastAsia="zh-CN"/>
              </w:rPr>
              <w:t>因子</w:t>
            </w:r>
            <w:r>
              <w:rPr>
                <w:rFonts w:hint="eastAsia" w:ascii="Times New Roman" w:hAnsi="Times New Roman" w:eastAsia="宋体" w:cs="Times New Roman"/>
                <w:color w:val="000000"/>
                <w:kern w:val="0"/>
                <w:sz w:val="24"/>
                <w:lang w:eastAsia="zh-CN"/>
              </w:rPr>
              <w:t>、</w:t>
            </w:r>
            <w:r>
              <w:rPr>
                <w:rFonts w:hint="eastAsia" w:ascii="Times New Roman" w:hAnsi="Times New Roman" w:eastAsia="宋体" w:cs="Times New Roman"/>
                <w:color w:val="000000"/>
                <w:kern w:val="0"/>
                <w:sz w:val="24"/>
                <w:lang w:val="en-US" w:eastAsia="zh-CN"/>
              </w:rPr>
              <w:t>pH值、</w:t>
            </w:r>
            <w:r>
              <w:rPr>
                <w:rFonts w:hint="eastAsia" w:ascii="Times New Roman" w:hAnsi="Times New Roman" w:eastAsia="宋体" w:cs="Times New Roman"/>
                <w:color w:val="000000"/>
                <w:kern w:val="0"/>
                <w:sz w:val="24"/>
              </w:rPr>
              <w:t>石油烃。</w:t>
            </w:r>
          </w:p>
          <w:p w14:paraId="5114F385">
            <w:pPr>
              <w:pStyle w:val="6"/>
              <w:spacing w:line="500" w:lineRule="exact"/>
              <w:ind w:firstLine="480"/>
              <w:rPr>
                <w:rFonts w:hint="eastAsia" w:ascii="Times New Roman" w:hAnsi="Times New Roman" w:eastAsia="宋体" w:cs="Times New Roman"/>
                <w:color w:val="000000"/>
                <w:kern w:val="0"/>
                <w:sz w:val="24"/>
              </w:rPr>
            </w:pPr>
            <w:r>
              <w:rPr>
                <w:rFonts w:hint="eastAsia" w:ascii="Times New Roman" w:hAnsi="Times New Roman" w:eastAsia="宋体" w:cs="Times New Roman"/>
                <w:color w:val="000000"/>
                <w:kern w:val="0"/>
                <w:sz w:val="24"/>
              </w:rPr>
              <w:t>3、监测频次：202</w:t>
            </w:r>
            <w:r>
              <w:rPr>
                <w:rFonts w:hint="eastAsia" w:ascii="Times New Roman" w:hAnsi="Times New Roman" w:eastAsia="宋体" w:cs="Times New Roman"/>
                <w:color w:val="000000"/>
                <w:kern w:val="0"/>
                <w:sz w:val="24"/>
                <w:lang w:val="en-US" w:eastAsia="zh-CN"/>
              </w:rPr>
              <w:t>4</w:t>
            </w:r>
            <w:r>
              <w:rPr>
                <w:rFonts w:hint="eastAsia" w:ascii="Times New Roman" w:hAnsi="Times New Roman" w:eastAsia="宋体" w:cs="Times New Roman"/>
                <w:color w:val="000000"/>
                <w:kern w:val="0"/>
                <w:sz w:val="24"/>
              </w:rPr>
              <w:t>年</w:t>
            </w:r>
            <w:r>
              <w:rPr>
                <w:rFonts w:hint="eastAsia" w:ascii="Times New Roman" w:hAnsi="Times New Roman" w:eastAsia="宋体" w:cs="Times New Roman"/>
                <w:color w:val="000000"/>
                <w:kern w:val="0"/>
                <w:sz w:val="24"/>
                <w:lang w:val="en-US" w:eastAsia="zh-CN"/>
              </w:rPr>
              <w:t>11</w:t>
            </w:r>
            <w:r>
              <w:rPr>
                <w:rFonts w:hint="eastAsia" w:ascii="Times New Roman" w:hAnsi="Times New Roman" w:eastAsia="宋体" w:cs="Times New Roman"/>
                <w:color w:val="000000"/>
                <w:kern w:val="0"/>
                <w:sz w:val="24"/>
              </w:rPr>
              <w:t>月</w:t>
            </w:r>
            <w:r>
              <w:rPr>
                <w:rFonts w:hint="eastAsia" w:ascii="Times New Roman" w:hAnsi="Times New Roman" w:eastAsia="宋体" w:cs="Times New Roman"/>
                <w:color w:val="000000"/>
                <w:kern w:val="0"/>
                <w:sz w:val="24"/>
                <w:lang w:val="en-US" w:eastAsia="zh-CN"/>
              </w:rPr>
              <w:t>8</w:t>
            </w:r>
            <w:r>
              <w:rPr>
                <w:rFonts w:hint="eastAsia" w:ascii="Times New Roman" w:hAnsi="Times New Roman" w:eastAsia="宋体" w:cs="Times New Roman"/>
                <w:color w:val="000000"/>
                <w:kern w:val="0"/>
                <w:sz w:val="24"/>
              </w:rPr>
              <w:t>日，一次采样。</w:t>
            </w:r>
          </w:p>
          <w:p w14:paraId="1618CE78">
            <w:pPr>
              <w:pStyle w:val="6"/>
              <w:spacing w:line="500" w:lineRule="exact"/>
              <w:ind w:firstLine="480"/>
              <w:rPr>
                <w:rFonts w:hint="default"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4、监测方法。</w:t>
            </w:r>
          </w:p>
          <w:p w14:paraId="0262057D">
            <w:pPr>
              <w:pStyle w:val="6"/>
              <w:spacing w:line="500" w:lineRule="exact"/>
              <w:ind w:firstLine="482"/>
              <w:jc w:val="center"/>
              <w:rPr>
                <w:rFonts w:hint="default" w:ascii="Times New Roman" w:hAnsi="Times New Roman" w:eastAsia="宋体" w:cs="Times New Roman"/>
                <w:b/>
                <w:bCs/>
                <w:color w:val="auto"/>
                <w:kern w:val="0"/>
                <w:sz w:val="24"/>
                <w:lang w:val="zh-CN"/>
              </w:rPr>
            </w:pPr>
            <w:r>
              <w:rPr>
                <w:rFonts w:hint="eastAsia" w:ascii="Times New Roman" w:hAnsi="Times New Roman" w:eastAsia="宋体" w:cs="Times New Roman"/>
                <w:b/>
                <w:bCs/>
                <w:color w:val="auto"/>
                <w:kern w:val="0"/>
                <w:sz w:val="24"/>
                <w:lang w:val="zh-CN"/>
              </w:rPr>
              <w:t>表3</w:t>
            </w:r>
            <w:r>
              <w:rPr>
                <w:rFonts w:hint="eastAsia" w:ascii="Times New Roman" w:hAnsi="Times New Roman" w:eastAsia="宋体" w:cs="Times New Roman"/>
                <w:b/>
                <w:bCs/>
                <w:color w:val="auto"/>
                <w:kern w:val="0"/>
                <w:sz w:val="24"/>
                <w:lang w:val="en-US" w:eastAsia="zh-CN"/>
              </w:rPr>
              <w:t>-</w:t>
            </w:r>
            <w:r>
              <w:rPr>
                <w:rFonts w:hint="eastAsia" w:cs="Times New Roman"/>
                <w:b/>
                <w:bCs/>
                <w:color w:val="auto"/>
                <w:kern w:val="0"/>
                <w:sz w:val="24"/>
                <w:lang w:val="en-US" w:eastAsia="zh-CN"/>
              </w:rPr>
              <w:t>10</w:t>
            </w:r>
            <w:r>
              <w:rPr>
                <w:rFonts w:hint="default" w:ascii="Times New Roman" w:hAnsi="Times New Roman" w:eastAsia="宋体" w:cs="Times New Roman"/>
                <w:b/>
                <w:bCs/>
                <w:color w:val="auto"/>
                <w:kern w:val="0"/>
                <w:sz w:val="24"/>
                <w:lang w:val="zh-CN"/>
              </w:rPr>
              <w:t xml:space="preserve"> </w:t>
            </w:r>
            <w:r>
              <w:rPr>
                <w:rFonts w:hint="eastAsia" w:cs="Times New Roman"/>
                <w:b/>
                <w:bCs/>
                <w:color w:val="auto"/>
                <w:kern w:val="0"/>
                <w:sz w:val="24"/>
                <w:lang w:val="zh-CN"/>
              </w:rPr>
              <w:t>土壤检测</w:t>
            </w:r>
            <w:r>
              <w:rPr>
                <w:rFonts w:hint="eastAsia" w:ascii="Times New Roman" w:hAnsi="Times New Roman" w:eastAsia="宋体" w:cs="Times New Roman"/>
                <w:b/>
                <w:bCs/>
                <w:color w:val="auto"/>
                <w:kern w:val="0"/>
                <w:sz w:val="24"/>
                <w:lang w:val="zh-CN"/>
              </w:rPr>
              <w:t>方法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1207"/>
              <w:gridCol w:w="4956"/>
              <w:gridCol w:w="1303"/>
            </w:tblGrid>
            <w:tr w14:paraId="5277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13" w:type="dxa"/>
                  <w:noWrap w:val="0"/>
                  <w:vAlign w:val="center"/>
                </w:tcPr>
                <w:p w14:paraId="3B7CB401">
                  <w:pPr>
                    <w:snapToGrid w:val="0"/>
                    <w:ind w:left="-105" w:leftChars="-50" w:right="-105" w:rightChars="-50"/>
                    <w:jc w:val="center"/>
                    <w:rPr>
                      <w:rFonts w:ascii="宋体" w:hAnsi="宋体" w:eastAsia="宋体"/>
                      <w:b w:val="0"/>
                      <w:bCs w:val="0"/>
                      <w:color w:val="000000"/>
                      <w:spacing w:val="-4"/>
                      <w:szCs w:val="20"/>
                    </w:rPr>
                  </w:pPr>
                  <w:r>
                    <w:rPr>
                      <w:rFonts w:hint="eastAsia" w:ascii="宋体" w:hAnsi="宋体" w:eastAsia="宋体"/>
                      <w:b w:val="0"/>
                      <w:bCs w:val="0"/>
                      <w:color w:val="000000"/>
                      <w:spacing w:val="-4"/>
                      <w:szCs w:val="20"/>
                    </w:rPr>
                    <w:t>项目</w:t>
                  </w:r>
                  <w:r>
                    <w:rPr>
                      <w:rFonts w:ascii="宋体" w:hAnsi="宋体" w:eastAsia="宋体"/>
                      <w:b w:val="0"/>
                      <w:bCs w:val="0"/>
                      <w:color w:val="000000"/>
                      <w:spacing w:val="-4"/>
                      <w:szCs w:val="20"/>
                    </w:rPr>
                    <w:t>类别</w:t>
                  </w:r>
                </w:p>
              </w:tc>
              <w:tc>
                <w:tcPr>
                  <w:tcW w:w="1207" w:type="dxa"/>
                  <w:noWrap w:val="0"/>
                  <w:vAlign w:val="center"/>
                </w:tcPr>
                <w:p w14:paraId="5D0956AF">
                  <w:pPr>
                    <w:snapToGrid w:val="0"/>
                    <w:jc w:val="center"/>
                    <w:rPr>
                      <w:rFonts w:ascii="宋体" w:hAnsi="宋体" w:eastAsia="宋体"/>
                      <w:b w:val="0"/>
                      <w:bCs w:val="0"/>
                      <w:color w:val="000000"/>
                      <w:szCs w:val="20"/>
                    </w:rPr>
                  </w:pPr>
                  <w:r>
                    <w:rPr>
                      <w:rFonts w:ascii="宋体" w:hAnsi="宋体" w:eastAsia="宋体"/>
                      <w:b w:val="0"/>
                      <w:bCs w:val="0"/>
                      <w:color w:val="000000"/>
                      <w:szCs w:val="20"/>
                    </w:rPr>
                    <w:t>监测项目</w:t>
                  </w:r>
                </w:p>
              </w:tc>
              <w:tc>
                <w:tcPr>
                  <w:tcW w:w="4956" w:type="dxa"/>
                  <w:noWrap w:val="0"/>
                  <w:vAlign w:val="center"/>
                </w:tcPr>
                <w:p w14:paraId="4DA006FB">
                  <w:pPr>
                    <w:snapToGrid w:val="0"/>
                    <w:jc w:val="center"/>
                    <w:rPr>
                      <w:rFonts w:ascii="宋体" w:hAnsi="宋体" w:eastAsia="宋体"/>
                      <w:b w:val="0"/>
                      <w:bCs w:val="0"/>
                      <w:color w:val="000000"/>
                      <w:szCs w:val="20"/>
                    </w:rPr>
                  </w:pPr>
                  <w:r>
                    <w:rPr>
                      <w:rFonts w:ascii="宋体" w:hAnsi="宋体" w:eastAsia="宋体"/>
                      <w:b w:val="0"/>
                      <w:bCs w:val="0"/>
                      <w:color w:val="000000"/>
                      <w:szCs w:val="20"/>
                    </w:rPr>
                    <w:t>监测依据</w:t>
                  </w:r>
                </w:p>
              </w:tc>
              <w:tc>
                <w:tcPr>
                  <w:tcW w:w="1303" w:type="dxa"/>
                  <w:noWrap w:val="0"/>
                  <w:vAlign w:val="center"/>
                </w:tcPr>
                <w:p w14:paraId="40E4CBA8">
                  <w:pPr>
                    <w:snapToGrid w:val="0"/>
                    <w:jc w:val="center"/>
                    <w:rPr>
                      <w:rFonts w:ascii="宋体" w:hAnsi="宋体" w:eastAsia="宋体"/>
                      <w:b w:val="0"/>
                      <w:bCs w:val="0"/>
                      <w:color w:val="000000"/>
                      <w:szCs w:val="20"/>
                    </w:rPr>
                  </w:pPr>
                  <w:r>
                    <w:rPr>
                      <w:rFonts w:ascii="宋体" w:hAnsi="宋体" w:eastAsia="宋体"/>
                      <w:b w:val="0"/>
                      <w:bCs w:val="0"/>
                      <w:color w:val="000000"/>
                      <w:szCs w:val="20"/>
                    </w:rPr>
                    <w:t>检出限</w:t>
                  </w:r>
                </w:p>
              </w:tc>
            </w:tr>
            <w:tr w14:paraId="495D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restart"/>
                  <w:noWrap w:val="0"/>
                  <w:vAlign w:val="center"/>
                </w:tcPr>
                <w:p w14:paraId="26D690E9">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土壤</w:t>
                  </w:r>
                </w:p>
              </w:tc>
              <w:tc>
                <w:tcPr>
                  <w:tcW w:w="1207" w:type="dxa"/>
                  <w:noWrap w:val="0"/>
                  <w:vAlign w:val="center"/>
                </w:tcPr>
                <w:p w14:paraId="0A4AB883">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szCs w:val="21"/>
                    </w:rPr>
                    <w:t>pH</w:t>
                  </w:r>
                </w:p>
              </w:tc>
              <w:tc>
                <w:tcPr>
                  <w:tcW w:w="4956" w:type="dxa"/>
                  <w:noWrap w:val="0"/>
                  <w:vAlign w:val="center"/>
                </w:tcPr>
                <w:p w14:paraId="1B530358">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szCs w:val="21"/>
                    </w:rPr>
                    <w:t>土壤检测 第2部分：土壤pH的测定（NY/T 1121.2-2006</w:t>
                  </w:r>
                  <w:r>
                    <w:rPr>
                      <w:rFonts w:hint="eastAsia"/>
                      <w:color w:val="auto"/>
                      <w:szCs w:val="21"/>
                      <w:lang w:eastAsia="zh-CN"/>
                    </w:rPr>
                    <w:t>）</w:t>
                  </w:r>
                </w:p>
              </w:tc>
              <w:tc>
                <w:tcPr>
                  <w:tcW w:w="1303" w:type="dxa"/>
                  <w:noWrap w:val="0"/>
                  <w:vAlign w:val="center"/>
                </w:tcPr>
                <w:p w14:paraId="0475AEF0">
                  <w:pPr>
                    <w:keepNext w:val="0"/>
                    <w:keepLines w:val="0"/>
                    <w:widowControl/>
                    <w:suppressLineNumbers w:val="0"/>
                    <w:snapToGrid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eastAsia"/>
                      <w:color w:val="auto"/>
                      <w:kern w:val="0"/>
                      <w:szCs w:val="21"/>
                    </w:rPr>
                    <w:t>/</w:t>
                  </w:r>
                </w:p>
              </w:tc>
            </w:tr>
            <w:tr w14:paraId="0878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00D31851">
                  <w:pPr>
                    <w:snapToGrid w:val="0"/>
                    <w:jc w:val="center"/>
                    <w:rPr>
                      <w:rFonts w:ascii="Times New Roman" w:hAnsi="Times New Roman" w:eastAsia="宋体" w:cs="Times New Roman"/>
                      <w:color w:val="000000"/>
                      <w:szCs w:val="21"/>
                    </w:rPr>
                  </w:pPr>
                </w:p>
              </w:tc>
              <w:tc>
                <w:tcPr>
                  <w:tcW w:w="1207" w:type="dxa"/>
                  <w:noWrap w:val="0"/>
                  <w:vAlign w:val="center"/>
                </w:tcPr>
                <w:p w14:paraId="13A521C6">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szCs w:val="21"/>
                    </w:rPr>
                    <w:t>镉</w:t>
                  </w:r>
                </w:p>
              </w:tc>
              <w:tc>
                <w:tcPr>
                  <w:tcW w:w="4956" w:type="dxa"/>
                  <w:noWrap w:val="0"/>
                  <w:vAlign w:val="center"/>
                </w:tcPr>
                <w:p w14:paraId="1EF8B2F5">
                  <w:pPr>
                    <w:keepNext w:val="0"/>
                    <w:keepLines w:val="0"/>
                    <w:suppressLineNumbers w:val="0"/>
                    <w:spacing w:before="0" w:beforeAutospacing="0" w:after="0" w:afterAutospacing="0"/>
                    <w:ind w:left="0" w:right="0"/>
                    <w:jc w:val="center"/>
                    <w:rPr>
                      <w:rFonts w:hint="default" w:hAnsi="宋体"/>
                      <w:color w:val="auto"/>
                      <w:szCs w:val="21"/>
                    </w:rPr>
                  </w:pPr>
                  <w:r>
                    <w:rPr>
                      <w:rFonts w:hint="eastAsia" w:hAnsi="宋体"/>
                      <w:color w:val="auto"/>
                      <w:szCs w:val="21"/>
                    </w:rPr>
                    <w:t>土壤质量 铅、镉的测定 石墨炉原子吸收分光光度法</w:t>
                  </w:r>
                </w:p>
                <w:p w14:paraId="19E05C9B">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eastAsia" w:hAnsi="宋体"/>
                      <w:color w:val="auto"/>
                      <w:szCs w:val="21"/>
                      <w:lang w:eastAsia="zh-CN"/>
                    </w:rPr>
                    <w:t>(</w:t>
                  </w:r>
                  <w:r>
                    <w:rPr>
                      <w:rFonts w:hint="eastAsia" w:hAnsi="宋体"/>
                      <w:color w:val="auto"/>
                      <w:szCs w:val="21"/>
                    </w:rPr>
                    <w:t>GB/T 17141-1997</w:t>
                  </w:r>
                  <w:r>
                    <w:rPr>
                      <w:rFonts w:hint="eastAsia" w:hAnsi="宋体"/>
                      <w:color w:val="auto"/>
                      <w:szCs w:val="21"/>
                      <w:lang w:eastAsia="zh-CN"/>
                    </w:rPr>
                    <w:t>)</w:t>
                  </w:r>
                </w:p>
              </w:tc>
              <w:tc>
                <w:tcPr>
                  <w:tcW w:w="1303" w:type="dxa"/>
                  <w:noWrap w:val="0"/>
                  <w:vAlign w:val="center"/>
                </w:tcPr>
                <w:p w14:paraId="21171EBC">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kern w:val="0"/>
                      <w:szCs w:val="21"/>
                    </w:rPr>
                    <w:t>0.01mg/kg</w:t>
                  </w:r>
                </w:p>
              </w:tc>
            </w:tr>
            <w:tr w14:paraId="13E8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70900477">
                  <w:pPr>
                    <w:snapToGrid w:val="0"/>
                    <w:jc w:val="center"/>
                    <w:rPr>
                      <w:rFonts w:ascii="Times New Roman" w:hAnsi="Times New Roman" w:eastAsia="宋体" w:cs="Times New Roman"/>
                      <w:color w:val="000000"/>
                      <w:szCs w:val="21"/>
                    </w:rPr>
                  </w:pPr>
                </w:p>
              </w:tc>
              <w:tc>
                <w:tcPr>
                  <w:tcW w:w="1207" w:type="dxa"/>
                  <w:noWrap w:val="0"/>
                  <w:vAlign w:val="center"/>
                </w:tcPr>
                <w:p w14:paraId="4CFDCC2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szCs w:val="21"/>
                    </w:rPr>
                    <w:t>汞</w:t>
                  </w:r>
                </w:p>
              </w:tc>
              <w:tc>
                <w:tcPr>
                  <w:tcW w:w="4956" w:type="dxa"/>
                  <w:vMerge w:val="restart"/>
                  <w:noWrap w:val="0"/>
                  <w:vAlign w:val="center"/>
                </w:tcPr>
                <w:p w14:paraId="19C55C8C">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eastAsia" w:hAnsi="宋体"/>
                      <w:color w:val="auto"/>
                      <w:szCs w:val="21"/>
                    </w:rPr>
                    <w:t>土壤和沉积物 汞、砷、硒、铋、锑的测定 微波消解/原子荧光法（HJ 680-2013）</w:t>
                  </w:r>
                </w:p>
              </w:tc>
              <w:tc>
                <w:tcPr>
                  <w:tcW w:w="1303" w:type="dxa"/>
                  <w:noWrap w:val="0"/>
                  <w:vAlign w:val="center"/>
                </w:tcPr>
                <w:p w14:paraId="5AA1B3F2">
                  <w:pPr>
                    <w:keepNext w:val="0"/>
                    <w:keepLines w:val="0"/>
                    <w:widowControl/>
                    <w:suppressLineNumbers w:val="0"/>
                    <w:snapToGrid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kern w:val="0"/>
                      <w:szCs w:val="21"/>
                    </w:rPr>
                    <w:t>0.002mg/kg</w:t>
                  </w:r>
                </w:p>
              </w:tc>
            </w:tr>
            <w:tr w14:paraId="2574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55B39988">
                  <w:pPr>
                    <w:snapToGrid w:val="0"/>
                    <w:jc w:val="center"/>
                    <w:rPr>
                      <w:rFonts w:ascii="Times New Roman" w:hAnsi="Times New Roman" w:eastAsia="宋体" w:cs="Times New Roman"/>
                      <w:color w:val="000000"/>
                      <w:szCs w:val="21"/>
                    </w:rPr>
                  </w:pPr>
                </w:p>
              </w:tc>
              <w:tc>
                <w:tcPr>
                  <w:tcW w:w="1207" w:type="dxa"/>
                  <w:noWrap w:val="0"/>
                  <w:vAlign w:val="center"/>
                </w:tcPr>
                <w:p w14:paraId="77235CBF">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szCs w:val="21"/>
                    </w:rPr>
                    <w:t>砷</w:t>
                  </w:r>
                </w:p>
              </w:tc>
              <w:tc>
                <w:tcPr>
                  <w:tcW w:w="4956" w:type="dxa"/>
                  <w:vMerge w:val="continue"/>
                  <w:noWrap w:val="0"/>
                  <w:vAlign w:val="center"/>
                </w:tcPr>
                <w:p w14:paraId="45FF56C0">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szCs w:val="21"/>
                    </w:rPr>
                  </w:pPr>
                </w:p>
              </w:tc>
              <w:tc>
                <w:tcPr>
                  <w:tcW w:w="1303" w:type="dxa"/>
                  <w:noWrap w:val="0"/>
                  <w:vAlign w:val="center"/>
                </w:tcPr>
                <w:p w14:paraId="777DE202">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kern w:val="0"/>
                      <w:szCs w:val="21"/>
                    </w:rPr>
                    <w:t>0.01mg/kg</w:t>
                  </w:r>
                </w:p>
              </w:tc>
            </w:tr>
            <w:tr w14:paraId="33B5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29D817F0">
                  <w:pPr>
                    <w:snapToGrid w:val="0"/>
                    <w:jc w:val="center"/>
                    <w:rPr>
                      <w:rFonts w:ascii="Times New Roman" w:hAnsi="Times New Roman" w:eastAsia="宋体" w:cs="Times New Roman"/>
                      <w:color w:val="000000"/>
                      <w:szCs w:val="21"/>
                    </w:rPr>
                  </w:pPr>
                </w:p>
              </w:tc>
              <w:tc>
                <w:tcPr>
                  <w:tcW w:w="1207" w:type="dxa"/>
                  <w:noWrap w:val="0"/>
                  <w:vAlign w:val="center"/>
                </w:tcPr>
                <w:p w14:paraId="5445198F">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szCs w:val="21"/>
                    </w:rPr>
                    <w:t>铅</w:t>
                  </w:r>
                </w:p>
              </w:tc>
              <w:tc>
                <w:tcPr>
                  <w:tcW w:w="4956" w:type="dxa"/>
                  <w:vMerge w:val="restart"/>
                  <w:noWrap w:val="0"/>
                  <w:vAlign w:val="center"/>
                </w:tcPr>
                <w:p w14:paraId="6B59693B">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eastAsia" w:hAnsi="宋体"/>
                      <w:color w:val="auto"/>
                      <w:szCs w:val="21"/>
                    </w:rPr>
                    <w:t>土壤和沉积物 铜、锌、铅、镍、铬的测定 火焰原子吸收分光光度法（HJ 491-2019）</w:t>
                  </w:r>
                </w:p>
              </w:tc>
              <w:tc>
                <w:tcPr>
                  <w:tcW w:w="1303" w:type="dxa"/>
                  <w:noWrap w:val="0"/>
                  <w:vAlign w:val="center"/>
                </w:tcPr>
                <w:p w14:paraId="1AEF87C2">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kern w:val="0"/>
                      <w:szCs w:val="21"/>
                    </w:rPr>
                    <w:t>10mg/kg</w:t>
                  </w:r>
                </w:p>
              </w:tc>
            </w:tr>
            <w:tr w14:paraId="5D55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6A94F63C">
                  <w:pPr>
                    <w:snapToGrid w:val="0"/>
                    <w:jc w:val="center"/>
                    <w:rPr>
                      <w:rFonts w:ascii="Times New Roman" w:hAnsi="Times New Roman" w:eastAsia="宋体" w:cs="Times New Roman"/>
                      <w:color w:val="000000"/>
                      <w:szCs w:val="21"/>
                    </w:rPr>
                  </w:pPr>
                </w:p>
              </w:tc>
              <w:tc>
                <w:tcPr>
                  <w:tcW w:w="1207" w:type="dxa"/>
                  <w:noWrap w:val="0"/>
                  <w:vAlign w:val="center"/>
                </w:tcPr>
                <w:p w14:paraId="25A9946C">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szCs w:val="21"/>
                    </w:rPr>
                    <w:t>铜</w:t>
                  </w:r>
                </w:p>
              </w:tc>
              <w:tc>
                <w:tcPr>
                  <w:tcW w:w="4956" w:type="dxa"/>
                  <w:vMerge w:val="continue"/>
                  <w:noWrap w:val="0"/>
                  <w:vAlign w:val="center"/>
                </w:tcPr>
                <w:p w14:paraId="4D97FFFE">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szCs w:val="21"/>
                    </w:rPr>
                  </w:pPr>
                </w:p>
              </w:tc>
              <w:tc>
                <w:tcPr>
                  <w:tcW w:w="1303" w:type="dxa"/>
                  <w:noWrap w:val="0"/>
                  <w:vAlign w:val="center"/>
                </w:tcPr>
                <w:p w14:paraId="6D84DB69">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kern w:val="0"/>
                      <w:szCs w:val="21"/>
                    </w:rPr>
                    <w:t>1mg/kg</w:t>
                  </w:r>
                </w:p>
              </w:tc>
            </w:tr>
            <w:tr w14:paraId="2620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471A1A54">
                  <w:pPr>
                    <w:snapToGrid w:val="0"/>
                    <w:jc w:val="center"/>
                    <w:rPr>
                      <w:rFonts w:ascii="Times New Roman" w:hAnsi="Times New Roman" w:eastAsia="宋体" w:cs="Times New Roman"/>
                      <w:color w:val="000000"/>
                      <w:szCs w:val="21"/>
                    </w:rPr>
                  </w:pPr>
                </w:p>
              </w:tc>
              <w:tc>
                <w:tcPr>
                  <w:tcW w:w="1207" w:type="dxa"/>
                  <w:noWrap w:val="0"/>
                  <w:vAlign w:val="center"/>
                </w:tcPr>
                <w:p w14:paraId="3CC80C7A">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szCs w:val="21"/>
                    </w:rPr>
                    <w:t>镍</w:t>
                  </w:r>
                </w:p>
              </w:tc>
              <w:tc>
                <w:tcPr>
                  <w:tcW w:w="4956" w:type="dxa"/>
                  <w:vMerge w:val="continue"/>
                  <w:noWrap w:val="0"/>
                  <w:vAlign w:val="center"/>
                </w:tcPr>
                <w:p w14:paraId="552DA320">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szCs w:val="21"/>
                    </w:rPr>
                  </w:pPr>
                </w:p>
              </w:tc>
              <w:tc>
                <w:tcPr>
                  <w:tcW w:w="1303" w:type="dxa"/>
                  <w:noWrap w:val="0"/>
                  <w:vAlign w:val="center"/>
                </w:tcPr>
                <w:p w14:paraId="221DE039">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kern w:val="0"/>
                      <w:szCs w:val="21"/>
                    </w:rPr>
                    <w:t>3mg/kg</w:t>
                  </w:r>
                </w:p>
              </w:tc>
            </w:tr>
            <w:tr w14:paraId="5A35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1B27825B">
                  <w:pPr>
                    <w:snapToGrid w:val="0"/>
                    <w:jc w:val="center"/>
                    <w:rPr>
                      <w:rFonts w:ascii="Times New Roman" w:hAnsi="Times New Roman" w:eastAsia="宋体" w:cs="Times New Roman"/>
                      <w:color w:val="000000"/>
                      <w:szCs w:val="21"/>
                    </w:rPr>
                  </w:pPr>
                </w:p>
              </w:tc>
              <w:tc>
                <w:tcPr>
                  <w:tcW w:w="1207" w:type="dxa"/>
                  <w:noWrap w:val="0"/>
                  <w:vAlign w:val="center"/>
                </w:tcPr>
                <w:p w14:paraId="6C1F7CB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color w:val="auto"/>
                      <w:szCs w:val="21"/>
                    </w:rPr>
                    <w:t>六价铬</w:t>
                  </w:r>
                </w:p>
              </w:tc>
              <w:tc>
                <w:tcPr>
                  <w:tcW w:w="4956" w:type="dxa"/>
                  <w:noWrap w:val="0"/>
                  <w:vAlign w:val="center"/>
                </w:tcPr>
                <w:p w14:paraId="130CE1C3">
                  <w:pPr>
                    <w:keepNext w:val="0"/>
                    <w:keepLines w:val="0"/>
                    <w:widowControl w:val="0"/>
                    <w:suppressLineNumbers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eastAsia" w:ascii="Times New Roman" w:hAnsi="Times New Roman" w:eastAsia="宋体" w:cs="宋体"/>
                      <w:color w:val="auto"/>
                      <w:kern w:val="2"/>
                      <w:sz w:val="21"/>
                      <w:szCs w:val="21"/>
                      <w:lang w:val="en-US" w:eastAsia="zh-CN" w:bidi="ar"/>
                    </w:rPr>
                    <w:t>土壤和沉积物</w:t>
                  </w:r>
                  <w:r>
                    <w:rPr>
                      <w:rFonts w:hint="default" w:ascii="Times New Roman" w:hAnsi="Times New Roman" w:eastAsia="宋体" w:cs="Times New Roman"/>
                      <w:color w:val="auto"/>
                      <w:kern w:val="2"/>
                      <w:sz w:val="21"/>
                      <w:szCs w:val="21"/>
                      <w:lang w:val="en-US" w:eastAsia="zh-CN" w:bidi="ar"/>
                    </w:rPr>
                    <w:t xml:space="preserve"> </w:t>
                  </w:r>
                  <w:r>
                    <w:rPr>
                      <w:rFonts w:hint="eastAsia" w:ascii="Times New Roman" w:hAnsi="Times New Roman" w:eastAsia="宋体" w:cs="宋体"/>
                      <w:color w:val="auto"/>
                      <w:kern w:val="2"/>
                      <w:sz w:val="21"/>
                      <w:szCs w:val="21"/>
                      <w:lang w:val="en-US" w:eastAsia="zh-CN" w:bidi="ar"/>
                    </w:rPr>
                    <w:t>六价铬的测定</w:t>
                  </w:r>
                  <w:r>
                    <w:rPr>
                      <w:rFonts w:hint="default" w:ascii="Times New Roman" w:hAnsi="Times New Roman" w:eastAsia="宋体" w:cs="Times New Roman"/>
                      <w:color w:val="auto"/>
                      <w:kern w:val="2"/>
                      <w:sz w:val="21"/>
                      <w:szCs w:val="21"/>
                      <w:lang w:val="en-US" w:eastAsia="zh-CN" w:bidi="ar"/>
                    </w:rPr>
                    <w:t xml:space="preserve"> </w:t>
                  </w:r>
                  <w:r>
                    <w:rPr>
                      <w:rFonts w:hint="eastAsia" w:ascii="Times New Roman" w:hAnsi="Times New Roman" w:eastAsia="宋体" w:cs="宋体"/>
                      <w:color w:val="auto"/>
                      <w:kern w:val="2"/>
                      <w:sz w:val="21"/>
                      <w:szCs w:val="21"/>
                      <w:lang w:val="en-US" w:eastAsia="zh-CN" w:bidi="ar"/>
                    </w:rPr>
                    <w:t>碱溶液提取</w:t>
                  </w:r>
                  <w:r>
                    <w:rPr>
                      <w:rFonts w:hint="default" w:ascii="Times New Roman" w:hAnsi="Times New Roman" w:eastAsia="宋体" w:cs="Times New Roman"/>
                      <w:color w:val="auto"/>
                      <w:kern w:val="2"/>
                      <w:sz w:val="21"/>
                      <w:szCs w:val="21"/>
                      <w:lang w:val="en-US" w:eastAsia="zh-CN" w:bidi="ar"/>
                    </w:rPr>
                    <w:t>-</w:t>
                  </w:r>
                  <w:r>
                    <w:rPr>
                      <w:rFonts w:hint="eastAsia" w:ascii="Times New Roman" w:hAnsi="Times New Roman" w:eastAsia="宋体" w:cs="宋体"/>
                      <w:color w:val="auto"/>
                      <w:kern w:val="2"/>
                      <w:sz w:val="21"/>
                      <w:szCs w:val="21"/>
                      <w:lang w:val="en-US" w:eastAsia="zh-CN" w:bidi="ar"/>
                    </w:rPr>
                    <w:t>火焰原子吸收分光光度法（</w:t>
                  </w:r>
                  <w:r>
                    <w:rPr>
                      <w:rFonts w:hint="default" w:ascii="Times New Roman" w:hAnsi="Times New Roman" w:eastAsia="宋体" w:cs="Times New Roman"/>
                      <w:color w:val="auto"/>
                      <w:kern w:val="2"/>
                      <w:sz w:val="21"/>
                      <w:szCs w:val="21"/>
                      <w:lang w:val="en-US" w:eastAsia="zh-CN" w:bidi="ar"/>
                    </w:rPr>
                    <w:t>HJ 1082-2019</w:t>
                  </w:r>
                  <w:r>
                    <w:rPr>
                      <w:rFonts w:hint="eastAsia" w:ascii="Times New Roman" w:hAnsi="Times New Roman" w:eastAsia="宋体" w:cs="宋体"/>
                      <w:color w:val="auto"/>
                      <w:kern w:val="2"/>
                      <w:sz w:val="21"/>
                      <w:szCs w:val="21"/>
                      <w:lang w:val="en-US" w:eastAsia="zh-CN" w:bidi="ar"/>
                    </w:rPr>
                    <w:t>）</w:t>
                  </w:r>
                </w:p>
              </w:tc>
              <w:tc>
                <w:tcPr>
                  <w:tcW w:w="1303" w:type="dxa"/>
                  <w:noWrap w:val="0"/>
                  <w:vAlign w:val="center"/>
                </w:tcPr>
                <w:p w14:paraId="64CF12AC">
                  <w:pPr>
                    <w:keepNext w:val="0"/>
                    <w:keepLines w:val="0"/>
                    <w:widowControl/>
                    <w:suppressLineNumbers w:val="0"/>
                    <w:snapToGrid w:val="0"/>
                    <w:spacing w:before="0" w:beforeAutospacing="0" w:after="0" w:afterAutospacing="0"/>
                    <w:ind w:left="0" w:leftChars="0" w:right="0" w:rightChars="0"/>
                    <w:jc w:val="center"/>
                    <w:rPr>
                      <w:rFonts w:ascii="Times New Roman" w:hAnsi="Times New Roman" w:eastAsia="宋体" w:cs="Times New Roman"/>
                      <w:color w:val="auto"/>
                      <w:szCs w:val="21"/>
                    </w:rPr>
                  </w:pPr>
                  <w:r>
                    <w:rPr>
                      <w:rFonts w:hint="default" w:ascii="Times New Roman" w:hAnsi="Times New Roman" w:eastAsia="宋体" w:cs="Times New Roman"/>
                      <w:kern w:val="0"/>
                      <w:sz w:val="21"/>
                      <w:szCs w:val="21"/>
                      <w:lang w:val="en-US" w:eastAsia="zh-CN" w:bidi="ar"/>
                    </w:rPr>
                    <w:t>0.5mg/kg</w:t>
                  </w:r>
                </w:p>
              </w:tc>
            </w:tr>
            <w:tr w14:paraId="27E2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14B28378">
                  <w:pPr>
                    <w:snapToGrid w:val="0"/>
                    <w:jc w:val="center"/>
                    <w:rPr>
                      <w:rFonts w:ascii="Times New Roman" w:hAnsi="Times New Roman" w:eastAsia="宋体" w:cs="Times New Roman"/>
                      <w:color w:val="000000"/>
                      <w:szCs w:val="21"/>
                    </w:rPr>
                  </w:pPr>
                </w:p>
              </w:tc>
              <w:tc>
                <w:tcPr>
                  <w:tcW w:w="1207" w:type="dxa"/>
                  <w:noWrap w:val="0"/>
                  <w:vAlign w:val="center"/>
                </w:tcPr>
                <w:p w14:paraId="23BA844E">
                  <w:pPr>
                    <w:ind w:left="-105" w:leftChars="-50" w:right="-105" w:rightChars="-5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石油烃</w:t>
                  </w:r>
                </w:p>
              </w:tc>
              <w:tc>
                <w:tcPr>
                  <w:tcW w:w="4956" w:type="dxa"/>
                  <w:noWrap w:val="0"/>
                  <w:vAlign w:val="center"/>
                </w:tcPr>
                <w:p w14:paraId="60F22463">
                  <w:pPr>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《土壤和沉积物 石油烃（C10-C40）的测定》气相色谱法 HJ 1021-2019</w:t>
                  </w:r>
                </w:p>
              </w:tc>
              <w:tc>
                <w:tcPr>
                  <w:tcW w:w="1303" w:type="dxa"/>
                  <w:noWrap w:val="0"/>
                  <w:vAlign w:val="center"/>
                </w:tcPr>
                <w:p w14:paraId="2E258461">
                  <w:pPr>
                    <w:ind w:left="-105" w:leftChars="-50" w:right="-105" w:rightChars="-50"/>
                    <w:jc w:val="center"/>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6 </w:t>
                  </w:r>
                  <w:r>
                    <w:rPr>
                      <w:rFonts w:hint="eastAsia" w:ascii="Times New Roman" w:hAnsi="Times New Roman" w:eastAsia="宋体" w:cs="Times New Roman"/>
                      <w:color w:val="auto"/>
                      <w:szCs w:val="21"/>
                    </w:rPr>
                    <w:t>mg/kg</w:t>
                  </w:r>
                </w:p>
              </w:tc>
            </w:tr>
            <w:tr w14:paraId="1DF4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2DB2148D">
                  <w:pPr>
                    <w:snapToGrid w:val="0"/>
                    <w:jc w:val="center"/>
                    <w:rPr>
                      <w:rFonts w:ascii="Times New Roman" w:hAnsi="Times New Roman" w:eastAsia="宋体" w:cs="Times New Roman"/>
                      <w:color w:val="000000"/>
                      <w:szCs w:val="21"/>
                    </w:rPr>
                  </w:pPr>
                </w:p>
              </w:tc>
              <w:tc>
                <w:tcPr>
                  <w:tcW w:w="1207" w:type="dxa"/>
                  <w:noWrap w:val="0"/>
                  <w:vAlign w:val="center"/>
                </w:tcPr>
                <w:p w14:paraId="1C1005FC">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四氯化碳</w:t>
                  </w:r>
                </w:p>
              </w:tc>
              <w:tc>
                <w:tcPr>
                  <w:tcW w:w="4956" w:type="dxa"/>
                  <w:vMerge w:val="restart"/>
                  <w:noWrap w:val="0"/>
                  <w:vAlign w:val="center"/>
                </w:tcPr>
                <w:p w14:paraId="3532A084">
                  <w:pPr>
                    <w:jc w:val="center"/>
                    <w:rPr>
                      <w:rFonts w:ascii="Times New Roman" w:hAnsi="Times New Roman" w:eastAsia="宋体" w:cs="Times New Roman"/>
                      <w:color w:val="000000"/>
                      <w:szCs w:val="21"/>
                    </w:rPr>
                  </w:pPr>
                  <w:r>
                    <w:rPr>
                      <w:rFonts w:hint="eastAsia" w:ascii="Times New Roman" w:hAnsi="宋体" w:eastAsia="宋体" w:cs="Times New Roman"/>
                      <w:color w:val="000000"/>
                      <w:szCs w:val="21"/>
                    </w:rPr>
                    <w:t>《</w:t>
                  </w:r>
                  <w:r>
                    <w:rPr>
                      <w:rFonts w:ascii="Times New Roman" w:hAnsi="宋体" w:eastAsia="宋体" w:cs="Times New Roman"/>
                      <w:color w:val="000000"/>
                      <w:szCs w:val="21"/>
                    </w:rPr>
                    <w:t>土壤和沉积物　挥发性有机物的测定　吹扫捕集/气相色谱-质谱法</w:t>
                  </w:r>
                  <w:r>
                    <w:rPr>
                      <w:rFonts w:hint="eastAsia" w:ascii="Times New Roman" w:hAnsi="宋体" w:eastAsia="宋体" w:cs="Times New Roman"/>
                      <w:color w:val="000000"/>
                      <w:szCs w:val="21"/>
                    </w:rPr>
                    <w:t>》</w:t>
                  </w:r>
                  <w:r>
                    <w:rPr>
                      <w:rFonts w:ascii="Times New Roman" w:hAnsi="宋体" w:eastAsia="宋体" w:cs="Times New Roman"/>
                      <w:color w:val="000000"/>
                      <w:szCs w:val="21"/>
                    </w:rPr>
                    <w:t>HJ 605-2011</w:t>
                  </w:r>
                </w:p>
              </w:tc>
              <w:tc>
                <w:tcPr>
                  <w:tcW w:w="1303" w:type="dxa"/>
                  <w:noWrap w:val="0"/>
                  <w:vAlign w:val="center"/>
                </w:tcPr>
                <w:p w14:paraId="7B93F174">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.3</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24B3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68DB66F9">
                  <w:pPr>
                    <w:snapToGrid w:val="0"/>
                    <w:jc w:val="center"/>
                    <w:rPr>
                      <w:rFonts w:ascii="Times New Roman" w:hAnsi="Times New Roman" w:eastAsia="宋体" w:cs="Times New Roman"/>
                      <w:color w:val="000000"/>
                      <w:szCs w:val="21"/>
                    </w:rPr>
                  </w:pPr>
                </w:p>
              </w:tc>
              <w:tc>
                <w:tcPr>
                  <w:tcW w:w="1207" w:type="dxa"/>
                  <w:noWrap w:val="0"/>
                  <w:vAlign w:val="center"/>
                </w:tcPr>
                <w:p w14:paraId="3BFE064A">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氯仿</w:t>
                  </w:r>
                </w:p>
              </w:tc>
              <w:tc>
                <w:tcPr>
                  <w:tcW w:w="4956" w:type="dxa"/>
                  <w:vMerge w:val="continue"/>
                  <w:noWrap w:val="0"/>
                  <w:vAlign w:val="center"/>
                </w:tcPr>
                <w:p w14:paraId="6BA38DF1">
                  <w:pPr>
                    <w:jc w:val="center"/>
                    <w:rPr>
                      <w:rFonts w:ascii="Times New Roman" w:hAnsi="Times New Roman" w:eastAsia="宋体" w:cs="Times New Roman"/>
                      <w:color w:val="000000"/>
                      <w:szCs w:val="21"/>
                    </w:rPr>
                  </w:pPr>
                </w:p>
              </w:tc>
              <w:tc>
                <w:tcPr>
                  <w:tcW w:w="1303" w:type="dxa"/>
                  <w:noWrap w:val="0"/>
                  <w:vAlign w:val="center"/>
                </w:tcPr>
                <w:p w14:paraId="09EA55BD">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66E9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545F6254">
                  <w:pPr>
                    <w:snapToGrid w:val="0"/>
                    <w:jc w:val="center"/>
                    <w:rPr>
                      <w:rFonts w:ascii="Times New Roman" w:hAnsi="Times New Roman" w:eastAsia="宋体" w:cs="Times New Roman"/>
                      <w:color w:val="000000"/>
                      <w:szCs w:val="21"/>
                    </w:rPr>
                  </w:pPr>
                </w:p>
              </w:tc>
              <w:tc>
                <w:tcPr>
                  <w:tcW w:w="1207" w:type="dxa"/>
                  <w:noWrap w:val="0"/>
                  <w:vAlign w:val="center"/>
                </w:tcPr>
                <w:p w14:paraId="4BBB387B">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氯甲烷</w:t>
                  </w:r>
                </w:p>
              </w:tc>
              <w:tc>
                <w:tcPr>
                  <w:tcW w:w="4956" w:type="dxa"/>
                  <w:vMerge w:val="continue"/>
                  <w:noWrap w:val="0"/>
                  <w:vAlign w:val="center"/>
                </w:tcPr>
                <w:p w14:paraId="1EBED2F0">
                  <w:pPr>
                    <w:widowControl/>
                    <w:shd w:val="clear" w:color="auto" w:fill="FFFFFF"/>
                    <w:spacing w:before="100" w:beforeAutospacing="1" w:after="100" w:afterAutospacing="1"/>
                    <w:jc w:val="center"/>
                    <w:outlineLvl w:val="2"/>
                    <w:rPr>
                      <w:rFonts w:ascii="Times New Roman" w:hAnsi="Times New Roman" w:eastAsia="宋体" w:cs="Times New Roman"/>
                      <w:color w:val="000000"/>
                      <w:szCs w:val="21"/>
                    </w:rPr>
                  </w:pPr>
                </w:p>
              </w:tc>
              <w:tc>
                <w:tcPr>
                  <w:tcW w:w="1303" w:type="dxa"/>
                  <w:noWrap w:val="0"/>
                  <w:vAlign w:val="center"/>
                </w:tcPr>
                <w:p w14:paraId="1782CA9A">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5C34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50E8FD36">
                  <w:pPr>
                    <w:snapToGrid w:val="0"/>
                    <w:jc w:val="center"/>
                    <w:rPr>
                      <w:rFonts w:ascii="Times New Roman" w:hAnsi="Times New Roman" w:eastAsia="宋体" w:cs="Times New Roman"/>
                      <w:color w:val="000000"/>
                      <w:szCs w:val="21"/>
                    </w:rPr>
                  </w:pPr>
                </w:p>
              </w:tc>
              <w:tc>
                <w:tcPr>
                  <w:tcW w:w="1207" w:type="dxa"/>
                  <w:noWrap w:val="0"/>
                  <w:vAlign w:val="center"/>
                </w:tcPr>
                <w:p w14:paraId="6BA7BD79">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-二氯乙烷</w:t>
                  </w:r>
                </w:p>
              </w:tc>
              <w:tc>
                <w:tcPr>
                  <w:tcW w:w="4956" w:type="dxa"/>
                  <w:vMerge w:val="continue"/>
                  <w:noWrap w:val="0"/>
                  <w:vAlign w:val="center"/>
                </w:tcPr>
                <w:p w14:paraId="1BE73790">
                  <w:pPr>
                    <w:jc w:val="center"/>
                    <w:rPr>
                      <w:rFonts w:ascii="Times New Roman" w:hAnsi="Times New Roman" w:eastAsia="宋体" w:cs="Times New Roman"/>
                      <w:color w:val="000000"/>
                      <w:szCs w:val="21"/>
                    </w:rPr>
                  </w:pPr>
                </w:p>
              </w:tc>
              <w:tc>
                <w:tcPr>
                  <w:tcW w:w="1303" w:type="dxa"/>
                  <w:noWrap w:val="0"/>
                  <w:vAlign w:val="center"/>
                </w:tcPr>
                <w:p w14:paraId="4F79D811">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06BB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2DB167CF">
                  <w:pPr>
                    <w:snapToGrid w:val="0"/>
                    <w:jc w:val="center"/>
                    <w:rPr>
                      <w:rFonts w:ascii="Times New Roman" w:hAnsi="Times New Roman" w:eastAsia="宋体" w:cs="Times New Roman"/>
                      <w:color w:val="000000"/>
                      <w:szCs w:val="21"/>
                    </w:rPr>
                  </w:pPr>
                </w:p>
              </w:tc>
              <w:tc>
                <w:tcPr>
                  <w:tcW w:w="1207" w:type="dxa"/>
                  <w:noWrap w:val="0"/>
                  <w:vAlign w:val="center"/>
                </w:tcPr>
                <w:p w14:paraId="3B1BE0FC">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-二氯乙烷</w:t>
                  </w:r>
                </w:p>
              </w:tc>
              <w:tc>
                <w:tcPr>
                  <w:tcW w:w="4956" w:type="dxa"/>
                  <w:vMerge w:val="continue"/>
                  <w:noWrap w:val="0"/>
                  <w:vAlign w:val="center"/>
                </w:tcPr>
                <w:p w14:paraId="6A881B4B">
                  <w:pPr>
                    <w:jc w:val="center"/>
                    <w:rPr>
                      <w:rFonts w:ascii="Times New Roman" w:hAnsi="Times New Roman" w:eastAsia="宋体" w:cs="Times New Roman"/>
                      <w:color w:val="000000"/>
                      <w:szCs w:val="21"/>
                    </w:rPr>
                  </w:pPr>
                </w:p>
              </w:tc>
              <w:tc>
                <w:tcPr>
                  <w:tcW w:w="1303" w:type="dxa"/>
                  <w:noWrap w:val="0"/>
                  <w:vAlign w:val="center"/>
                </w:tcPr>
                <w:p w14:paraId="6A6F8301">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.3</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26F3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11329A74">
                  <w:pPr>
                    <w:snapToGrid w:val="0"/>
                    <w:jc w:val="center"/>
                    <w:rPr>
                      <w:rFonts w:ascii="Times New Roman" w:hAnsi="Times New Roman" w:eastAsia="宋体" w:cs="Times New Roman"/>
                      <w:color w:val="000000"/>
                      <w:szCs w:val="21"/>
                    </w:rPr>
                  </w:pPr>
                </w:p>
              </w:tc>
              <w:tc>
                <w:tcPr>
                  <w:tcW w:w="1207" w:type="dxa"/>
                  <w:noWrap w:val="0"/>
                  <w:vAlign w:val="center"/>
                </w:tcPr>
                <w:p w14:paraId="4170B83B">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-二氯乙烯</w:t>
                  </w:r>
                </w:p>
              </w:tc>
              <w:tc>
                <w:tcPr>
                  <w:tcW w:w="4956" w:type="dxa"/>
                  <w:vMerge w:val="continue"/>
                  <w:noWrap w:val="0"/>
                  <w:vAlign w:val="center"/>
                </w:tcPr>
                <w:p w14:paraId="74C27F0B">
                  <w:pPr>
                    <w:jc w:val="center"/>
                    <w:rPr>
                      <w:rFonts w:ascii="Times New Roman" w:hAnsi="Times New Roman" w:eastAsia="宋体" w:cs="Times New Roman"/>
                      <w:color w:val="000000"/>
                      <w:szCs w:val="21"/>
                    </w:rPr>
                  </w:pPr>
                </w:p>
              </w:tc>
              <w:tc>
                <w:tcPr>
                  <w:tcW w:w="1303" w:type="dxa"/>
                  <w:noWrap w:val="0"/>
                  <w:vAlign w:val="center"/>
                </w:tcPr>
                <w:p w14:paraId="0E25F3AE">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6445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07CBC8C6">
                  <w:pPr>
                    <w:snapToGrid w:val="0"/>
                    <w:jc w:val="center"/>
                    <w:rPr>
                      <w:rFonts w:ascii="Times New Roman" w:hAnsi="Times New Roman" w:eastAsia="宋体" w:cs="Times New Roman"/>
                      <w:color w:val="000000"/>
                      <w:szCs w:val="21"/>
                    </w:rPr>
                  </w:pPr>
                </w:p>
              </w:tc>
              <w:tc>
                <w:tcPr>
                  <w:tcW w:w="1207" w:type="dxa"/>
                  <w:noWrap w:val="0"/>
                  <w:vAlign w:val="center"/>
                </w:tcPr>
                <w:p w14:paraId="0401A714">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顺-</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-二氯乙烯</w:t>
                  </w:r>
                </w:p>
              </w:tc>
              <w:tc>
                <w:tcPr>
                  <w:tcW w:w="4956" w:type="dxa"/>
                  <w:vMerge w:val="continue"/>
                  <w:noWrap w:val="0"/>
                  <w:vAlign w:val="center"/>
                </w:tcPr>
                <w:p w14:paraId="14A1F017">
                  <w:pPr>
                    <w:jc w:val="center"/>
                    <w:rPr>
                      <w:rFonts w:ascii="Times New Roman" w:hAnsi="Times New Roman" w:eastAsia="宋体" w:cs="Times New Roman"/>
                      <w:color w:val="000000"/>
                      <w:szCs w:val="21"/>
                    </w:rPr>
                  </w:pPr>
                </w:p>
              </w:tc>
              <w:tc>
                <w:tcPr>
                  <w:tcW w:w="1303" w:type="dxa"/>
                  <w:noWrap w:val="0"/>
                  <w:vAlign w:val="center"/>
                </w:tcPr>
                <w:p w14:paraId="7294FC35">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.3</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1BA0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3AD04007">
                  <w:pPr>
                    <w:snapToGrid w:val="0"/>
                    <w:jc w:val="center"/>
                    <w:rPr>
                      <w:rFonts w:ascii="Times New Roman" w:hAnsi="Times New Roman" w:eastAsia="宋体" w:cs="Times New Roman"/>
                      <w:color w:val="000000"/>
                      <w:szCs w:val="21"/>
                    </w:rPr>
                  </w:pPr>
                </w:p>
              </w:tc>
              <w:tc>
                <w:tcPr>
                  <w:tcW w:w="1207" w:type="dxa"/>
                  <w:noWrap w:val="0"/>
                  <w:vAlign w:val="center"/>
                </w:tcPr>
                <w:p w14:paraId="163F9189">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反-</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-二氯乙烯</w:t>
                  </w:r>
                </w:p>
              </w:tc>
              <w:tc>
                <w:tcPr>
                  <w:tcW w:w="4956" w:type="dxa"/>
                  <w:vMerge w:val="continue"/>
                  <w:noWrap w:val="0"/>
                  <w:vAlign w:val="center"/>
                </w:tcPr>
                <w:p w14:paraId="5858D1B7">
                  <w:pPr>
                    <w:jc w:val="center"/>
                    <w:rPr>
                      <w:rFonts w:ascii="Times New Roman" w:hAnsi="Times New Roman" w:eastAsia="宋体" w:cs="Times New Roman"/>
                      <w:color w:val="000000"/>
                      <w:szCs w:val="21"/>
                    </w:rPr>
                  </w:pPr>
                </w:p>
              </w:tc>
              <w:tc>
                <w:tcPr>
                  <w:tcW w:w="1303" w:type="dxa"/>
                  <w:noWrap w:val="0"/>
                  <w:vAlign w:val="center"/>
                </w:tcPr>
                <w:p w14:paraId="7D823F24">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.4</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055C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680FAC2D">
                  <w:pPr>
                    <w:snapToGrid w:val="0"/>
                    <w:jc w:val="center"/>
                    <w:rPr>
                      <w:rFonts w:ascii="Times New Roman" w:hAnsi="Times New Roman" w:eastAsia="宋体" w:cs="Times New Roman"/>
                      <w:color w:val="000000"/>
                      <w:szCs w:val="21"/>
                    </w:rPr>
                  </w:pPr>
                </w:p>
              </w:tc>
              <w:tc>
                <w:tcPr>
                  <w:tcW w:w="1207" w:type="dxa"/>
                  <w:noWrap w:val="0"/>
                  <w:vAlign w:val="center"/>
                </w:tcPr>
                <w:p w14:paraId="13084D14">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二氯甲烷</w:t>
                  </w:r>
                </w:p>
              </w:tc>
              <w:tc>
                <w:tcPr>
                  <w:tcW w:w="4956" w:type="dxa"/>
                  <w:vMerge w:val="continue"/>
                  <w:noWrap w:val="0"/>
                  <w:vAlign w:val="center"/>
                </w:tcPr>
                <w:p w14:paraId="16CC1BC4">
                  <w:pPr>
                    <w:jc w:val="center"/>
                    <w:rPr>
                      <w:rFonts w:ascii="Times New Roman" w:hAnsi="Times New Roman" w:eastAsia="宋体" w:cs="Times New Roman"/>
                      <w:color w:val="000000"/>
                      <w:szCs w:val="21"/>
                    </w:rPr>
                  </w:pPr>
                </w:p>
              </w:tc>
              <w:tc>
                <w:tcPr>
                  <w:tcW w:w="1303" w:type="dxa"/>
                  <w:noWrap w:val="0"/>
                  <w:vAlign w:val="center"/>
                </w:tcPr>
                <w:p w14:paraId="08A248BF">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.5</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0B7B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237AB35A">
                  <w:pPr>
                    <w:snapToGrid w:val="0"/>
                    <w:jc w:val="center"/>
                    <w:rPr>
                      <w:rFonts w:ascii="Times New Roman" w:hAnsi="Times New Roman" w:eastAsia="宋体" w:cs="Times New Roman"/>
                      <w:color w:val="000000"/>
                      <w:szCs w:val="21"/>
                    </w:rPr>
                  </w:pPr>
                </w:p>
              </w:tc>
              <w:tc>
                <w:tcPr>
                  <w:tcW w:w="1207" w:type="dxa"/>
                  <w:noWrap w:val="0"/>
                  <w:vAlign w:val="center"/>
                </w:tcPr>
                <w:p w14:paraId="68B01370">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-二氯丙烷</w:t>
                  </w:r>
                </w:p>
              </w:tc>
              <w:tc>
                <w:tcPr>
                  <w:tcW w:w="4956" w:type="dxa"/>
                  <w:vMerge w:val="continue"/>
                  <w:noWrap w:val="0"/>
                  <w:vAlign w:val="center"/>
                </w:tcPr>
                <w:p w14:paraId="7B291943">
                  <w:pPr>
                    <w:jc w:val="center"/>
                    <w:rPr>
                      <w:rFonts w:ascii="Times New Roman" w:hAnsi="Times New Roman" w:eastAsia="宋体" w:cs="Times New Roman"/>
                      <w:color w:val="000000"/>
                      <w:szCs w:val="21"/>
                    </w:rPr>
                  </w:pPr>
                </w:p>
              </w:tc>
              <w:tc>
                <w:tcPr>
                  <w:tcW w:w="1303" w:type="dxa"/>
                  <w:noWrap w:val="0"/>
                  <w:vAlign w:val="center"/>
                </w:tcPr>
                <w:p w14:paraId="09767FFE">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1877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0CDB10F4">
                  <w:pPr>
                    <w:snapToGrid w:val="0"/>
                    <w:jc w:val="center"/>
                    <w:rPr>
                      <w:rFonts w:ascii="Times New Roman" w:hAnsi="Times New Roman" w:eastAsia="宋体" w:cs="Times New Roman"/>
                      <w:color w:val="000000"/>
                      <w:szCs w:val="21"/>
                    </w:rPr>
                  </w:pPr>
                </w:p>
              </w:tc>
              <w:tc>
                <w:tcPr>
                  <w:tcW w:w="1207" w:type="dxa"/>
                  <w:noWrap w:val="0"/>
                  <w:vAlign w:val="center"/>
                </w:tcPr>
                <w:p w14:paraId="043D63EB">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-四氯乙烷</w:t>
                  </w:r>
                </w:p>
              </w:tc>
              <w:tc>
                <w:tcPr>
                  <w:tcW w:w="4956" w:type="dxa"/>
                  <w:vMerge w:val="continue"/>
                  <w:noWrap w:val="0"/>
                  <w:vAlign w:val="center"/>
                </w:tcPr>
                <w:p w14:paraId="4673DFE5">
                  <w:pPr>
                    <w:jc w:val="center"/>
                    <w:rPr>
                      <w:rFonts w:ascii="Times New Roman" w:hAnsi="Times New Roman" w:eastAsia="宋体" w:cs="Times New Roman"/>
                      <w:color w:val="000000"/>
                      <w:szCs w:val="21"/>
                    </w:rPr>
                  </w:pPr>
                </w:p>
              </w:tc>
              <w:tc>
                <w:tcPr>
                  <w:tcW w:w="1303" w:type="dxa"/>
                  <w:noWrap w:val="0"/>
                  <w:vAlign w:val="center"/>
                </w:tcPr>
                <w:p w14:paraId="7717D82A">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5D93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7554C87D">
                  <w:pPr>
                    <w:snapToGrid w:val="0"/>
                    <w:jc w:val="center"/>
                    <w:rPr>
                      <w:rFonts w:ascii="Times New Roman" w:hAnsi="Times New Roman" w:eastAsia="宋体" w:cs="Times New Roman"/>
                      <w:color w:val="000000"/>
                      <w:szCs w:val="21"/>
                    </w:rPr>
                  </w:pPr>
                </w:p>
              </w:tc>
              <w:tc>
                <w:tcPr>
                  <w:tcW w:w="1207" w:type="dxa"/>
                  <w:noWrap w:val="0"/>
                  <w:vAlign w:val="center"/>
                </w:tcPr>
                <w:p w14:paraId="4CD3487B">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-四氯乙烷</w:t>
                  </w:r>
                </w:p>
              </w:tc>
              <w:tc>
                <w:tcPr>
                  <w:tcW w:w="4956" w:type="dxa"/>
                  <w:vMerge w:val="continue"/>
                  <w:noWrap w:val="0"/>
                  <w:vAlign w:val="center"/>
                </w:tcPr>
                <w:p w14:paraId="538C1CA6">
                  <w:pPr>
                    <w:jc w:val="center"/>
                    <w:rPr>
                      <w:rFonts w:ascii="Times New Roman" w:hAnsi="Times New Roman" w:eastAsia="宋体" w:cs="Times New Roman"/>
                      <w:color w:val="000000"/>
                      <w:szCs w:val="21"/>
                    </w:rPr>
                  </w:pPr>
                </w:p>
              </w:tc>
              <w:tc>
                <w:tcPr>
                  <w:tcW w:w="1303" w:type="dxa"/>
                  <w:noWrap w:val="0"/>
                  <w:vAlign w:val="center"/>
                </w:tcPr>
                <w:p w14:paraId="1C2B918B">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271E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2D2930A2">
                  <w:pPr>
                    <w:snapToGrid w:val="0"/>
                    <w:jc w:val="center"/>
                    <w:rPr>
                      <w:rFonts w:ascii="Times New Roman" w:hAnsi="Times New Roman" w:eastAsia="宋体" w:cs="Times New Roman"/>
                      <w:color w:val="000000"/>
                      <w:szCs w:val="21"/>
                    </w:rPr>
                  </w:pPr>
                </w:p>
              </w:tc>
              <w:tc>
                <w:tcPr>
                  <w:tcW w:w="1207" w:type="dxa"/>
                  <w:noWrap w:val="0"/>
                  <w:vAlign w:val="center"/>
                </w:tcPr>
                <w:p w14:paraId="22C918AC">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四氯乙烯</w:t>
                  </w:r>
                </w:p>
              </w:tc>
              <w:tc>
                <w:tcPr>
                  <w:tcW w:w="4956" w:type="dxa"/>
                  <w:vMerge w:val="continue"/>
                  <w:noWrap w:val="0"/>
                  <w:vAlign w:val="center"/>
                </w:tcPr>
                <w:p w14:paraId="58BB8224">
                  <w:pPr>
                    <w:jc w:val="center"/>
                    <w:rPr>
                      <w:rFonts w:ascii="Times New Roman" w:hAnsi="Times New Roman" w:eastAsia="宋体" w:cs="Times New Roman"/>
                      <w:color w:val="000000"/>
                      <w:szCs w:val="21"/>
                    </w:rPr>
                  </w:pPr>
                </w:p>
              </w:tc>
              <w:tc>
                <w:tcPr>
                  <w:tcW w:w="1303" w:type="dxa"/>
                  <w:noWrap w:val="0"/>
                  <w:vAlign w:val="center"/>
                </w:tcPr>
                <w:p w14:paraId="5109D1C7">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.4</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735E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31A2E874">
                  <w:pPr>
                    <w:snapToGrid w:val="0"/>
                    <w:jc w:val="center"/>
                    <w:rPr>
                      <w:rFonts w:ascii="Times New Roman" w:hAnsi="Times New Roman" w:eastAsia="宋体" w:cs="Times New Roman"/>
                      <w:color w:val="000000"/>
                      <w:szCs w:val="21"/>
                    </w:rPr>
                  </w:pPr>
                </w:p>
              </w:tc>
              <w:tc>
                <w:tcPr>
                  <w:tcW w:w="1207" w:type="dxa"/>
                  <w:noWrap w:val="0"/>
                  <w:vAlign w:val="center"/>
                </w:tcPr>
                <w:p w14:paraId="23231BA5">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-三氯乙烷</w:t>
                  </w:r>
                </w:p>
              </w:tc>
              <w:tc>
                <w:tcPr>
                  <w:tcW w:w="4956" w:type="dxa"/>
                  <w:vMerge w:val="continue"/>
                  <w:noWrap w:val="0"/>
                  <w:vAlign w:val="center"/>
                </w:tcPr>
                <w:p w14:paraId="3C7E7CE4">
                  <w:pPr>
                    <w:shd w:val="clear" w:color="auto" w:fill="FFFFFF"/>
                    <w:spacing w:before="100" w:beforeAutospacing="1" w:after="100" w:afterAutospacing="1"/>
                    <w:jc w:val="center"/>
                    <w:outlineLvl w:val="2"/>
                    <w:rPr>
                      <w:rFonts w:ascii="Times New Roman" w:hAnsi="Times New Roman" w:eastAsia="宋体" w:cs="Times New Roman"/>
                      <w:color w:val="000000"/>
                      <w:szCs w:val="21"/>
                    </w:rPr>
                  </w:pPr>
                </w:p>
              </w:tc>
              <w:tc>
                <w:tcPr>
                  <w:tcW w:w="1303" w:type="dxa"/>
                  <w:noWrap w:val="0"/>
                  <w:vAlign w:val="center"/>
                </w:tcPr>
                <w:p w14:paraId="70289807">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.3</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2152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2FD0E378">
                  <w:pPr>
                    <w:snapToGrid w:val="0"/>
                    <w:jc w:val="center"/>
                    <w:rPr>
                      <w:rFonts w:ascii="Times New Roman" w:hAnsi="Times New Roman" w:eastAsia="宋体" w:cs="Times New Roman"/>
                      <w:color w:val="000000"/>
                      <w:szCs w:val="21"/>
                    </w:rPr>
                  </w:pPr>
                </w:p>
              </w:tc>
              <w:tc>
                <w:tcPr>
                  <w:tcW w:w="1207" w:type="dxa"/>
                  <w:noWrap w:val="0"/>
                  <w:vAlign w:val="center"/>
                </w:tcPr>
                <w:p w14:paraId="4879D55B">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-三氯乙烷</w:t>
                  </w:r>
                </w:p>
              </w:tc>
              <w:tc>
                <w:tcPr>
                  <w:tcW w:w="4956" w:type="dxa"/>
                  <w:vMerge w:val="continue"/>
                  <w:noWrap w:val="0"/>
                  <w:vAlign w:val="center"/>
                </w:tcPr>
                <w:p w14:paraId="785A5ED1">
                  <w:pPr>
                    <w:shd w:val="clear" w:color="auto" w:fill="FFFFFF"/>
                    <w:spacing w:before="100" w:beforeAutospacing="1" w:after="100" w:afterAutospacing="1"/>
                    <w:jc w:val="center"/>
                    <w:outlineLvl w:val="2"/>
                    <w:rPr>
                      <w:rFonts w:ascii="Times New Roman" w:hAnsi="Times New Roman" w:eastAsia="宋体" w:cs="Times New Roman"/>
                      <w:color w:val="000000"/>
                      <w:szCs w:val="21"/>
                    </w:rPr>
                  </w:pPr>
                </w:p>
              </w:tc>
              <w:tc>
                <w:tcPr>
                  <w:tcW w:w="1303" w:type="dxa"/>
                  <w:noWrap w:val="0"/>
                  <w:vAlign w:val="center"/>
                </w:tcPr>
                <w:p w14:paraId="6C73808E">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05C4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3E3F59EE">
                  <w:pPr>
                    <w:snapToGrid w:val="0"/>
                    <w:jc w:val="center"/>
                    <w:rPr>
                      <w:rFonts w:ascii="Times New Roman" w:hAnsi="Times New Roman" w:eastAsia="宋体" w:cs="Times New Roman"/>
                      <w:color w:val="000000"/>
                      <w:szCs w:val="21"/>
                    </w:rPr>
                  </w:pPr>
                </w:p>
              </w:tc>
              <w:tc>
                <w:tcPr>
                  <w:tcW w:w="1207" w:type="dxa"/>
                  <w:noWrap w:val="0"/>
                  <w:vAlign w:val="center"/>
                </w:tcPr>
                <w:p w14:paraId="37EC4AE4">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三氯乙烯</w:t>
                  </w:r>
                </w:p>
              </w:tc>
              <w:tc>
                <w:tcPr>
                  <w:tcW w:w="4956" w:type="dxa"/>
                  <w:vMerge w:val="continue"/>
                  <w:noWrap w:val="0"/>
                  <w:vAlign w:val="center"/>
                </w:tcPr>
                <w:p w14:paraId="5DC09A5A">
                  <w:pPr>
                    <w:shd w:val="clear" w:color="auto" w:fill="FFFFFF"/>
                    <w:spacing w:before="100" w:beforeAutospacing="1" w:after="100" w:afterAutospacing="1"/>
                    <w:jc w:val="center"/>
                    <w:outlineLvl w:val="2"/>
                    <w:rPr>
                      <w:rFonts w:ascii="Times New Roman" w:hAnsi="Times New Roman" w:eastAsia="宋体" w:cs="Times New Roman"/>
                      <w:color w:val="000000"/>
                      <w:szCs w:val="21"/>
                    </w:rPr>
                  </w:pPr>
                </w:p>
              </w:tc>
              <w:tc>
                <w:tcPr>
                  <w:tcW w:w="1303" w:type="dxa"/>
                  <w:noWrap w:val="0"/>
                  <w:vAlign w:val="center"/>
                </w:tcPr>
                <w:p w14:paraId="4A4DBEF9">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58D3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160659B3">
                  <w:pPr>
                    <w:snapToGrid w:val="0"/>
                    <w:jc w:val="center"/>
                    <w:rPr>
                      <w:rFonts w:ascii="Times New Roman" w:hAnsi="Times New Roman" w:eastAsia="宋体" w:cs="Times New Roman"/>
                      <w:color w:val="000000"/>
                      <w:szCs w:val="21"/>
                    </w:rPr>
                  </w:pPr>
                </w:p>
              </w:tc>
              <w:tc>
                <w:tcPr>
                  <w:tcW w:w="1207" w:type="dxa"/>
                  <w:noWrap w:val="0"/>
                  <w:vAlign w:val="center"/>
                </w:tcPr>
                <w:p w14:paraId="3D906256">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3</w:t>
                  </w:r>
                  <w:r>
                    <w:rPr>
                      <w:rFonts w:hint="eastAsia" w:ascii="Times New Roman" w:hAnsi="Times New Roman" w:eastAsia="宋体" w:cs="Times New Roman"/>
                      <w:color w:val="000000"/>
                      <w:szCs w:val="21"/>
                    </w:rPr>
                    <w:t>-三氯丙烷</w:t>
                  </w:r>
                </w:p>
              </w:tc>
              <w:tc>
                <w:tcPr>
                  <w:tcW w:w="4956" w:type="dxa"/>
                  <w:vMerge w:val="continue"/>
                  <w:noWrap w:val="0"/>
                  <w:vAlign w:val="center"/>
                </w:tcPr>
                <w:p w14:paraId="47E7A369">
                  <w:pPr>
                    <w:shd w:val="clear" w:color="auto" w:fill="FFFFFF"/>
                    <w:spacing w:before="100" w:beforeAutospacing="1" w:after="100" w:afterAutospacing="1"/>
                    <w:jc w:val="center"/>
                    <w:outlineLvl w:val="2"/>
                    <w:rPr>
                      <w:rFonts w:ascii="Times New Roman" w:hAnsi="Times New Roman" w:eastAsia="宋体" w:cs="Times New Roman"/>
                      <w:color w:val="000000"/>
                      <w:szCs w:val="21"/>
                    </w:rPr>
                  </w:pPr>
                </w:p>
              </w:tc>
              <w:tc>
                <w:tcPr>
                  <w:tcW w:w="1303" w:type="dxa"/>
                  <w:noWrap w:val="0"/>
                  <w:vAlign w:val="center"/>
                </w:tcPr>
                <w:p w14:paraId="40FEE00E">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2A2F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3376278E">
                  <w:pPr>
                    <w:snapToGrid w:val="0"/>
                    <w:jc w:val="center"/>
                    <w:rPr>
                      <w:rFonts w:ascii="Times New Roman" w:hAnsi="Times New Roman" w:eastAsia="宋体" w:cs="Times New Roman"/>
                      <w:color w:val="000000"/>
                      <w:szCs w:val="21"/>
                    </w:rPr>
                  </w:pPr>
                </w:p>
              </w:tc>
              <w:tc>
                <w:tcPr>
                  <w:tcW w:w="1207" w:type="dxa"/>
                  <w:noWrap w:val="0"/>
                  <w:vAlign w:val="center"/>
                </w:tcPr>
                <w:p w14:paraId="7662CC2A">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氯乙烯</w:t>
                  </w:r>
                </w:p>
              </w:tc>
              <w:tc>
                <w:tcPr>
                  <w:tcW w:w="4956" w:type="dxa"/>
                  <w:vMerge w:val="continue"/>
                  <w:noWrap w:val="0"/>
                  <w:vAlign w:val="center"/>
                </w:tcPr>
                <w:p w14:paraId="4DDF084F">
                  <w:pPr>
                    <w:shd w:val="clear" w:color="auto" w:fill="FFFFFF"/>
                    <w:spacing w:before="100" w:beforeAutospacing="1" w:after="100" w:afterAutospacing="1"/>
                    <w:jc w:val="center"/>
                    <w:outlineLvl w:val="2"/>
                    <w:rPr>
                      <w:rFonts w:ascii="Times New Roman" w:hAnsi="Times New Roman" w:eastAsia="宋体" w:cs="Times New Roman"/>
                      <w:color w:val="000000"/>
                      <w:szCs w:val="21"/>
                    </w:rPr>
                  </w:pPr>
                </w:p>
              </w:tc>
              <w:tc>
                <w:tcPr>
                  <w:tcW w:w="1303" w:type="dxa"/>
                  <w:noWrap w:val="0"/>
                  <w:vAlign w:val="center"/>
                </w:tcPr>
                <w:p w14:paraId="54359F68">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701C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1F2FBEBD">
                  <w:pPr>
                    <w:snapToGrid w:val="0"/>
                    <w:jc w:val="center"/>
                    <w:rPr>
                      <w:rFonts w:ascii="Times New Roman" w:hAnsi="Times New Roman" w:eastAsia="宋体" w:cs="Times New Roman"/>
                      <w:color w:val="000000"/>
                      <w:szCs w:val="21"/>
                    </w:rPr>
                  </w:pPr>
                </w:p>
              </w:tc>
              <w:tc>
                <w:tcPr>
                  <w:tcW w:w="1207" w:type="dxa"/>
                  <w:noWrap w:val="0"/>
                  <w:vAlign w:val="center"/>
                </w:tcPr>
                <w:p w14:paraId="32976106">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苯</w:t>
                  </w:r>
                </w:p>
              </w:tc>
              <w:tc>
                <w:tcPr>
                  <w:tcW w:w="4956" w:type="dxa"/>
                  <w:vMerge w:val="continue"/>
                  <w:noWrap w:val="0"/>
                  <w:vAlign w:val="center"/>
                </w:tcPr>
                <w:p w14:paraId="4C02FA3C">
                  <w:pPr>
                    <w:shd w:val="clear" w:color="auto" w:fill="FFFFFF"/>
                    <w:spacing w:before="100" w:beforeAutospacing="1" w:after="100" w:afterAutospacing="1"/>
                    <w:jc w:val="center"/>
                    <w:outlineLvl w:val="2"/>
                    <w:rPr>
                      <w:rFonts w:ascii="Times New Roman" w:hAnsi="Times New Roman" w:eastAsia="宋体" w:cs="Times New Roman"/>
                      <w:color w:val="000000"/>
                      <w:szCs w:val="21"/>
                    </w:rPr>
                  </w:pPr>
                </w:p>
              </w:tc>
              <w:tc>
                <w:tcPr>
                  <w:tcW w:w="1303" w:type="dxa"/>
                  <w:noWrap w:val="0"/>
                  <w:vAlign w:val="center"/>
                </w:tcPr>
                <w:p w14:paraId="39748129">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.9</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7BEB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46B09E71">
                  <w:pPr>
                    <w:snapToGrid w:val="0"/>
                    <w:jc w:val="center"/>
                    <w:rPr>
                      <w:rFonts w:ascii="Times New Roman" w:hAnsi="Times New Roman" w:eastAsia="宋体" w:cs="Times New Roman"/>
                      <w:color w:val="000000"/>
                      <w:szCs w:val="21"/>
                    </w:rPr>
                  </w:pPr>
                </w:p>
              </w:tc>
              <w:tc>
                <w:tcPr>
                  <w:tcW w:w="1207" w:type="dxa"/>
                  <w:noWrap w:val="0"/>
                  <w:vAlign w:val="center"/>
                </w:tcPr>
                <w:p w14:paraId="36D17683">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氯苯</w:t>
                  </w:r>
                </w:p>
              </w:tc>
              <w:tc>
                <w:tcPr>
                  <w:tcW w:w="4956" w:type="dxa"/>
                  <w:vMerge w:val="continue"/>
                  <w:noWrap w:val="0"/>
                  <w:vAlign w:val="center"/>
                </w:tcPr>
                <w:p w14:paraId="7B5A925A">
                  <w:pPr>
                    <w:shd w:val="clear" w:color="auto" w:fill="FFFFFF"/>
                    <w:spacing w:before="100" w:beforeAutospacing="1" w:after="100" w:afterAutospacing="1"/>
                    <w:jc w:val="center"/>
                    <w:outlineLvl w:val="2"/>
                    <w:rPr>
                      <w:rFonts w:ascii="Times New Roman" w:hAnsi="Times New Roman" w:eastAsia="宋体" w:cs="Times New Roman"/>
                      <w:color w:val="000000"/>
                      <w:szCs w:val="21"/>
                    </w:rPr>
                  </w:pPr>
                </w:p>
              </w:tc>
              <w:tc>
                <w:tcPr>
                  <w:tcW w:w="1303" w:type="dxa"/>
                  <w:noWrap w:val="0"/>
                  <w:vAlign w:val="center"/>
                </w:tcPr>
                <w:p w14:paraId="52E7CE74">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1B9B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213F40B7">
                  <w:pPr>
                    <w:snapToGrid w:val="0"/>
                    <w:jc w:val="center"/>
                    <w:rPr>
                      <w:rFonts w:ascii="Times New Roman" w:hAnsi="Times New Roman" w:eastAsia="宋体" w:cs="Times New Roman"/>
                      <w:color w:val="000000"/>
                      <w:szCs w:val="21"/>
                    </w:rPr>
                  </w:pPr>
                </w:p>
              </w:tc>
              <w:tc>
                <w:tcPr>
                  <w:tcW w:w="1207" w:type="dxa"/>
                  <w:noWrap w:val="0"/>
                  <w:vAlign w:val="center"/>
                </w:tcPr>
                <w:p w14:paraId="5A94E3CF">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-二氯苯</w:t>
                  </w:r>
                </w:p>
              </w:tc>
              <w:tc>
                <w:tcPr>
                  <w:tcW w:w="4956" w:type="dxa"/>
                  <w:vMerge w:val="continue"/>
                  <w:noWrap w:val="0"/>
                  <w:vAlign w:val="center"/>
                </w:tcPr>
                <w:p w14:paraId="5DDAD9E9">
                  <w:pPr>
                    <w:shd w:val="clear" w:color="auto" w:fill="FFFFFF"/>
                    <w:spacing w:before="100" w:beforeAutospacing="1" w:after="100" w:afterAutospacing="1"/>
                    <w:jc w:val="center"/>
                    <w:outlineLvl w:val="2"/>
                    <w:rPr>
                      <w:rFonts w:ascii="Times New Roman" w:hAnsi="Times New Roman" w:eastAsia="宋体" w:cs="Times New Roman"/>
                      <w:color w:val="000000"/>
                      <w:szCs w:val="21"/>
                    </w:rPr>
                  </w:pPr>
                </w:p>
              </w:tc>
              <w:tc>
                <w:tcPr>
                  <w:tcW w:w="1303" w:type="dxa"/>
                  <w:noWrap w:val="0"/>
                  <w:vAlign w:val="center"/>
                </w:tcPr>
                <w:p w14:paraId="1A01649C">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.5</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3AFE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6732D723">
                  <w:pPr>
                    <w:snapToGrid w:val="0"/>
                    <w:jc w:val="center"/>
                    <w:rPr>
                      <w:rFonts w:ascii="Times New Roman" w:hAnsi="Times New Roman" w:eastAsia="宋体" w:cs="Times New Roman"/>
                      <w:color w:val="000000"/>
                      <w:szCs w:val="21"/>
                    </w:rPr>
                  </w:pPr>
                </w:p>
              </w:tc>
              <w:tc>
                <w:tcPr>
                  <w:tcW w:w="1207" w:type="dxa"/>
                  <w:noWrap w:val="0"/>
                  <w:vAlign w:val="center"/>
                </w:tcPr>
                <w:p w14:paraId="52018D55">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4</w:t>
                  </w:r>
                  <w:r>
                    <w:rPr>
                      <w:rFonts w:hint="eastAsia" w:ascii="Times New Roman" w:hAnsi="Times New Roman" w:eastAsia="宋体" w:cs="Times New Roman"/>
                      <w:color w:val="000000"/>
                      <w:szCs w:val="21"/>
                    </w:rPr>
                    <w:t>-二氯苯</w:t>
                  </w:r>
                </w:p>
              </w:tc>
              <w:tc>
                <w:tcPr>
                  <w:tcW w:w="4956" w:type="dxa"/>
                  <w:vMerge w:val="continue"/>
                  <w:noWrap w:val="0"/>
                  <w:vAlign w:val="center"/>
                </w:tcPr>
                <w:p w14:paraId="7E1D90F0">
                  <w:pPr>
                    <w:shd w:val="clear" w:color="auto" w:fill="FFFFFF"/>
                    <w:spacing w:before="100" w:beforeAutospacing="1" w:after="100" w:afterAutospacing="1"/>
                    <w:jc w:val="center"/>
                    <w:outlineLvl w:val="2"/>
                    <w:rPr>
                      <w:rFonts w:ascii="Times New Roman" w:hAnsi="Times New Roman" w:eastAsia="宋体" w:cs="Times New Roman"/>
                      <w:color w:val="000000"/>
                      <w:szCs w:val="21"/>
                    </w:rPr>
                  </w:pPr>
                </w:p>
              </w:tc>
              <w:tc>
                <w:tcPr>
                  <w:tcW w:w="1303" w:type="dxa"/>
                  <w:noWrap w:val="0"/>
                  <w:vAlign w:val="center"/>
                </w:tcPr>
                <w:p w14:paraId="3AD1585B">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.5</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55C8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6474D5FD">
                  <w:pPr>
                    <w:snapToGrid w:val="0"/>
                    <w:jc w:val="center"/>
                    <w:rPr>
                      <w:rFonts w:ascii="Times New Roman" w:hAnsi="Times New Roman" w:eastAsia="宋体" w:cs="Times New Roman"/>
                      <w:color w:val="000000"/>
                      <w:szCs w:val="21"/>
                    </w:rPr>
                  </w:pPr>
                </w:p>
              </w:tc>
              <w:tc>
                <w:tcPr>
                  <w:tcW w:w="1207" w:type="dxa"/>
                  <w:noWrap w:val="0"/>
                  <w:vAlign w:val="center"/>
                </w:tcPr>
                <w:p w14:paraId="62FF57CA">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乙苯</w:t>
                  </w:r>
                </w:p>
              </w:tc>
              <w:tc>
                <w:tcPr>
                  <w:tcW w:w="4956" w:type="dxa"/>
                  <w:vMerge w:val="continue"/>
                  <w:noWrap w:val="0"/>
                  <w:vAlign w:val="center"/>
                </w:tcPr>
                <w:p w14:paraId="59C1C985">
                  <w:pPr>
                    <w:shd w:val="clear" w:color="auto" w:fill="FFFFFF"/>
                    <w:spacing w:before="100" w:beforeAutospacing="1" w:after="100" w:afterAutospacing="1"/>
                    <w:jc w:val="center"/>
                    <w:outlineLvl w:val="2"/>
                    <w:rPr>
                      <w:rFonts w:ascii="Times New Roman" w:hAnsi="Times New Roman" w:eastAsia="宋体" w:cs="Times New Roman"/>
                      <w:color w:val="000000"/>
                      <w:szCs w:val="21"/>
                    </w:rPr>
                  </w:pPr>
                </w:p>
              </w:tc>
              <w:tc>
                <w:tcPr>
                  <w:tcW w:w="1303" w:type="dxa"/>
                  <w:noWrap w:val="0"/>
                  <w:vAlign w:val="center"/>
                </w:tcPr>
                <w:p w14:paraId="7E8F0CA5">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4F3E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4CFC0493">
                  <w:pPr>
                    <w:snapToGrid w:val="0"/>
                    <w:jc w:val="center"/>
                    <w:rPr>
                      <w:rFonts w:ascii="Times New Roman" w:hAnsi="Times New Roman" w:eastAsia="宋体" w:cs="Times New Roman"/>
                      <w:color w:val="000000"/>
                      <w:szCs w:val="21"/>
                    </w:rPr>
                  </w:pPr>
                </w:p>
              </w:tc>
              <w:tc>
                <w:tcPr>
                  <w:tcW w:w="1207" w:type="dxa"/>
                  <w:noWrap w:val="0"/>
                  <w:vAlign w:val="center"/>
                </w:tcPr>
                <w:p w14:paraId="1E83736E">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苯乙烯</w:t>
                  </w:r>
                </w:p>
              </w:tc>
              <w:tc>
                <w:tcPr>
                  <w:tcW w:w="4956" w:type="dxa"/>
                  <w:vMerge w:val="continue"/>
                  <w:noWrap w:val="0"/>
                  <w:vAlign w:val="center"/>
                </w:tcPr>
                <w:p w14:paraId="5BAA1065">
                  <w:pPr>
                    <w:shd w:val="clear" w:color="auto" w:fill="FFFFFF"/>
                    <w:spacing w:before="100" w:beforeAutospacing="1" w:after="100" w:afterAutospacing="1"/>
                    <w:jc w:val="center"/>
                    <w:outlineLvl w:val="2"/>
                    <w:rPr>
                      <w:rFonts w:ascii="Times New Roman" w:hAnsi="Times New Roman" w:eastAsia="宋体" w:cs="Times New Roman"/>
                      <w:color w:val="000000"/>
                      <w:szCs w:val="21"/>
                    </w:rPr>
                  </w:pPr>
                </w:p>
              </w:tc>
              <w:tc>
                <w:tcPr>
                  <w:tcW w:w="1303" w:type="dxa"/>
                  <w:noWrap w:val="0"/>
                  <w:vAlign w:val="center"/>
                </w:tcPr>
                <w:p w14:paraId="0EA42B50">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3C87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62469469">
                  <w:pPr>
                    <w:snapToGrid w:val="0"/>
                    <w:jc w:val="center"/>
                    <w:rPr>
                      <w:rFonts w:ascii="Times New Roman" w:hAnsi="Times New Roman" w:eastAsia="宋体" w:cs="Times New Roman"/>
                      <w:color w:val="000000"/>
                      <w:szCs w:val="21"/>
                    </w:rPr>
                  </w:pPr>
                </w:p>
              </w:tc>
              <w:tc>
                <w:tcPr>
                  <w:tcW w:w="1207" w:type="dxa"/>
                  <w:noWrap w:val="0"/>
                  <w:vAlign w:val="center"/>
                </w:tcPr>
                <w:p w14:paraId="7EB42F58">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甲苯</w:t>
                  </w:r>
                </w:p>
              </w:tc>
              <w:tc>
                <w:tcPr>
                  <w:tcW w:w="4956" w:type="dxa"/>
                  <w:vMerge w:val="continue"/>
                  <w:noWrap w:val="0"/>
                  <w:vAlign w:val="center"/>
                </w:tcPr>
                <w:p w14:paraId="080D1F2D">
                  <w:pPr>
                    <w:shd w:val="clear" w:color="auto" w:fill="FFFFFF"/>
                    <w:spacing w:before="100" w:beforeAutospacing="1" w:after="100" w:afterAutospacing="1"/>
                    <w:jc w:val="center"/>
                    <w:outlineLvl w:val="2"/>
                    <w:rPr>
                      <w:rFonts w:ascii="Times New Roman" w:hAnsi="Times New Roman" w:eastAsia="宋体" w:cs="Times New Roman"/>
                      <w:color w:val="000000"/>
                      <w:szCs w:val="21"/>
                    </w:rPr>
                  </w:pPr>
                </w:p>
              </w:tc>
              <w:tc>
                <w:tcPr>
                  <w:tcW w:w="1303" w:type="dxa"/>
                  <w:noWrap w:val="0"/>
                  <w:vAlign w:val="center"/>
                </w:tcPr>
                <w:p w14:paraId="0C8B68FA">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.3</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703C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4A473F3A">
                  <w:pPr>
                    <w:snapToGrid w:val="0"/>
                    <w:jc w:val="center"/>
                    <w:rPr>
                      <w:rFonts w:ascii="Times New Roman" w:hAnsi="Times New Roman" w:eastAsia="宋体" w:cs="Times New Roman"/>
                      <w:color w:val="000000"/>
                      <w:szCs w:val="21"/>
                    </w:rPr>
                  </w:pPr>
                </w:p>
              </w:tc>
              <w:tc>
                <w:tcPr>
                  <w:tcW w:w="1207" w:type="dxa"/>
                  <w:noWrap w:val="0"/>
                  <w:vAlign w:val="center"/>
                </w:tcPr>
                <w:p w14:paraId="59717DD1">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间二甲苯</w:t>
                  </w:r>
                </w:p>
              </w:tc>
              <w:tc>
                <w:tcPr>
                  <w:tcW w:w="4956" w:type="dxa"/>
                  <w:vMerge w:val="continue"/>
                  <w:noWrap w:val="0"/>
                  <w:vAlign w:val="center"/>
                </w:tcPr>
                <w:p w14:paraId="024066DD">
                  <w:pPr>
                    <w:widowControl/>
                    <w:shd w:val="clear" w:color="auto" w:fill="FFFFFF"/>
                    <w:spacing w:before="100" w:beforeAutospacing="1" w:after="100" w:afterAutospacing="1"/>
                    <w:jc w:val="center"/>
                    <w:outlineLvl w:val="2"/>
                    <w:rPr>
                      <w:rFonts w:ascii="宋体" w:hAnsi="宋体" w:eastAsia="宋体"/>
                      <w:b/>
                      <w:bCs/>
                      <w:color w:val="000000"/>
                      <w:kern w:val="0"/>
                      <w:szCs w:val="21"/>
                      <w:lang w:bidi="mn-Mong-CN"/>
                    </w:rPr>
                  </w:pPr>
                </w:p>
              </w:tc>
              <w:tc>
                <w:tcPr>
                  <w:tcW w:w="1303" w:type="dxa"/>
                  <w:noWrap w:val="0"/>
                  <w:vAlign w:val="center"/>
                </w:tcPr>
                <w:p w14:paraId="638543B7">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2F14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3B3A3082">
                  <w:pPr>
                    <w:snapToGrid w:val="0"/>
                    <w:jc w:val="center"/>
                    <w:rPr>
                      <w:rFonts w:ascii="Times New Roman" w:hAnsi="Times New Roman" w:eastAsia="宋体" w:cs="Times New Roman"/>
                      <w:color w:val="000000"/>
                      <w:szCs w:val="21"/>
                    </w:rPr>
                  </w:pPr>
                </w:p>
              </w:tc>
              <w:tc>
                <w:tcPr>
                  <w:tcW w:w="1207" w:type="dxa"/>
                  <w:noWrap w:val="0"/>
                  <w:vAlign w:val="center"/>
                </w:tcPr>
                <w:p w14:paraId="1F26FEB3">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对二甲苯</w:t>
                  </w:r>
                </w:p>
              </w:tc>
              <w:tc>
                <w:tcPr>
                  <w:tcW w:w="4956" w:type="dxa"/>
                  <w:vMerge w:val="continue"/>
                  <w:noWrap w:val="0"/>
                  <w:vAlign w:val="center"/>
                </w:tcPr>
                <w:p w14:paraId="019FCABB">
                  <w:pPr>
                    <w:widowControl/>
                    <w:shd w:val="clear" w:color="auto" w:fill="FFFFFF"/>
                    <w:spacing w:before="100" w:beforeAutospacing="1" w:after="100" w:afterAutospacing="1"/>
                    <w:jc w:val="center"/>
                    <w:outlineLvl w:val="2"/>
                    <w:rPr>
                      <w:rFonts w:ascii="宋体" w:hAnsi="宋体" w:eastAsia="宋体"/>
                      <w:b/>
                      <w:bCs/>
                      <w:color w:val="000000"/>
                      <w:kern w:val="0"/>
                      <w:szCs w:val="21"/>
                      <w:lang w:bidi="mn-Mong-CN"/>
                    </w:rPr>
                  </w:pPr>
                </w:p>
              </w:tc>
              <w:tc>
                <w:tcPr>
                  <w:tcW w:w="1303" w:type="dxa"/>
                  <w:noWrap w:val="0"/>
                  <w:vAlign w:val="center"/>
                </w:tcPr>
                <w:p w14:paraId="65B46848">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0170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179843D8">
                  <w:pPr>
                    <w:snapToGrid w:val="0"/>
                    <w:jc w:val="center"/>
                    <w:rPr>
                      <w:rFonts w:ascii="Times New Roman" w:hAnsi="Times New Roman" w:eastAsia="宋体" w:cs="Times New Roman"/>
                      <w:color w:val="000000"/>
                      <w:szCs w:val="21"/>
                    </w:rPr>
                  </w:pPr>
                </w:p>
              </w:tc>
              <w:tc>
                <w:tcPr>
                  <w:tcW w:w="1207" w:type="dxa"/>
                  <w:noWrap w:val="0"/>
                  <w:vAlign w:val="center"/>
                </w:tcPr>
                <w:p w14:paraId="71148AA2">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邻二甲苯</w:t>
                  </w:r>
                </w:p>
              </w:tc>
              <w:tc>
                <w:tcPr>
                  <w:tcW w:w="4956" w:type="dxa"/>
                  <w:vMerge w:val="continue"/>
                  <w:noWrap w:val="0"/>
                  <w:vAlign w:val="center"/>
                </w:tcPr>
                <w:p w14:paraId="630F5DEF">
                  <w:pPr>
                    <w:jc w:val="center"/>
                    <w:rPr>
                      <w:rFonts w:ascii="Times New Roman" w:hAnsi="Times New Roman" w:eastAsia="宋体" w:cs="Times New Roman"/>
                      <w:color w:val="000000"/>
                      <w:szCs w:val="21"/>
                    </w:rPr>
                  </w:pPr>
                </w:p>
              </w:tc>
              <w:tc>
                <w:tcPr>
                  <w:tcW w:w="1303" w:type="dxa"/>
                  <w:noWrap w:val="0"/>
                  <w:vAlign w:val="center"/>
                </w:tcPr>
                <w:p w14:paraId="2D9608BC">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μ</w:t>
                  </w:r>
                  <w:r>
                    <w:rPr>
                      <w:rFonts w:hint="eastAsia" w:ascii="Times New Roman" w:hAnsi="Times New Roman" w:eastAsia="宋体" w:cs="Times New Roman"/>
                      <w:color w:val="000000"/>
                      <w:szCs w:val="21"/>
                    </w:rPr>
                    <w:t>g/kg</w:t>
                  </w:r>
                </w:p>
              </w:tc>
            </w:tr>
            <w:tr w14:paraId="5E6E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388C05E1">
                  <w:pPr>
                    <w:snapToGrid w:val="0"/>
                    <w:jc w:val="center"/>
                    <w:rPr>
                      <w:rFonts w:ascii="Times New Roman" w:hAnsi="Times New Roman" w:eastAsia="宋体" w:cs="Times New Roman"/>
                      <w:color w:val="000000"/>
                      <w:szCs w:val="21"/>
                    </w:rPr>
                  </w:pPr>
                </w:p>
              </w:tc>
              <w:tc>
                <w:tcPr>
                  <w:tcW w:w="1207" w:type="dxa"/>
                  <w:noWrap w:val="0"/>
                  <w:vAlign w:val="center"/>
                </w:tcPr>
                <w:p w14:paraId="7CA44B73">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苯胺</w:t>
                  </w:r>
                </w:p>
              </w:tc>
              <w:tc>
                <w:tcPr>
                  <w:tcW w:w="4956" w:type="dxa"/>
                  <w:noWrap w:val="0"/>
                  <w:vAlign w:val="center"/>
                </w:tcPr>
                <w:p w14:paraId="313FD7A9">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气相色谱-质谱法测定半挥发性有机物 美国环保局 EPA 8270E-2018</w:t>
                  </w:r>
                </w:p>
              </w:tc>
              <w:tc>
                <w:tcPr>
                  <w:tcW w:w="1303" w:type="dxa"/>
                  <w:noWrap w:val="0"/>
                  <w:vAlign w:val="center"/>
                </w:tcPr>
                <w:p w14:paraId="53CDA2D4">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 xml:space="preserve"> mg/kg</w:t>
                  </w:r>
                </w:p>
              </w:tc>
            </w:tr>
            <w:tr w14:paraId="3E86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6F1EB359">
                  <w:pPr>
                    <w:snapToGrid w:val="0"/>
                    <w:jc w:val="center"/>
                    <w:rPr>
                      <w:rFonts w:ascii="Times New Roman" w:hAnsi="Times New Roman" w:eastAsia="宋体" w:cs="Times New Roman"/>
                      <w:color w:val="000000"/>
                      <w:szCs w:val="21"/>
                    </w:rPr>
                  </w:pPr>
                </w:p>
              </w:tc>
              <w:tc>
                <w:tcPr>
                  <w:tcW w:w="1207" w:type="dxa"/>
                  <w:noWrap w:val="0"/>
                  <w:vAlign w:val="center"/>
                </w:tcPr>
                <w:p w14:paraId="63EC2D25">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萘</w:t>
                  </w:r>
                </w:p>
              </w:tc>
              <w:tc>
                <w:tcPr>
                  <w:tcW w:w="4956" w:type="dxa"/>
                  <w:vMerge w:val="restart"/>
                  <w:noWrap w:val="0"/>
                  <w:vAlign w:val="center"/>
                </w:tcPr>
                <w:p w14:paraId="5121D8B3">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《土壤和沉积物 半挥发性有机物的测定 气相色谱-质谱法》HJ 834-2017</w:t>
                  </w:r>
                </w:p>
                <w:p w14:paraId="4F62E87C">
                  <w:pPr>
                    <w:jc w:val="center"/>
                    <w:rPr>
                      <w:rFonts w:ascii="Times New Roman" w:hAnsi="Times New Roman" w:eastAsia="宋体" w:cs="Times New Roman"/>
                      <w:color w:val="000000"/>
                      <w:szCs w:val="21"/>
                    </w:rPr>
                  </w:pPr>
                </w:p>
              </w:tc>
              <w:tc>
                <w:tcPr>
                  <w:tcW w:w="1303" w:type="dxa"/>
                  <w:noWrap w:val="0"/>
                  <w:vAlign w:val="center"/>
                </w:tcPr>
                <w:p w14:paraId="6E32CB0B">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w:t>
                  </w:r>
                  <w:r>
                    <w:rPr>
                      <w:rFonts w:ascii="Times New Roman" w:hAnsi="Times New Roman" w:eastAsia="宋体" w:cs="Times New Roman"/>
                      <w:color w:val="000000"/>
                      <w:szCs w:val="21"/>
                    </w:rPr>
                    <w:t>9</w:t>
                  </w:r>
                  <w:r>
                    <w:rPr>
                      <w:rFonts w:hint="eastAsia" w:ascii="Times New Roman" w:hAnsi="Times New Roman" w:eastAsia="宋体" w:cs="Times New Roman"/>
                      <w:color w:val="000000"/>
                      <w:szCs w:val="21"/>
                    </w:rPr>
                    <w:t xml:space="preserve"> mg/kg</w:t>
                  </w:r>
                </w:p>
              </w:tc>
            </w:tr>
            <w:tr w14:paraId="0CCC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16F275DD">
                  <w:pPr>
                    <w:snapToGrid w:val="0"/>
                    <w:jc w:val="center"/>
                    <w:rPr>
                      <w:rFonts w:ascii="Times New Roman" w:hAnsi="Times New Roman" w:eastAsia="宋体" w:cs="Times New Roman"/>
                      <w:color w:val="000000"/>
                      <w:szCs w:val="21"/>
                    </w:rPr>
                  </w:pPr>
                </w:p>
              </w:tc>
              <w:tc>
                <w:tcPr>
                  <w:tcW w:w="1207" w:type="dxa"/>
                  <w:noWrap w:val="0"/>
                  <w:vAlign w:val="center"/>
                </w:tcPr>
                <w:p w14:paraId="2744B6A8">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硝基苯</w:t>
                  </w:r>
                </w:p>
              </w:tc>
              <w:tc>
                <w:tcPr>
                  <w:tcW w:w="4956" w:type="dxa"/>
                  <w:vMerge w:val="continue"/>
                  <w:noWrap w:val="0"/>
                  <w:vAlign w:val="center"/>
                </w:tcPr>
                <w:p w14:paraId="0B3CC2B0">
                  <w:pPr>
                    <w:jc w:val="center"/>
                    <w:rPr>
                      <w:rFonts w:ascii="Times New Roman" w:hAnsi="Times New Roman" w:eastAsia="宋体" w:cs="Times New Roman"/>
                      <w:color w:val="000000"/>
                      <w:szCs w:val="21"/>
                    </w:rPr>
                  </w:pPr>
                </w:p>
              </w:tc>
              <w:tc>
                <w:tcPr>
                  <w:tcW w:w="1303" w:type="dxa"/>
                  <w:noWrap w:val="0"/>
                  <w:vAlign w:val="center"/>
                </w:tcPr>
                <w:p w14:paraId="10CC1D7D">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w:t>
                  </w:r>
                  <w:r>
                    <w:rPr>
                      <w:rFonts w:ascii="Times New Roman" w:hAnsi="Times New Roman" w:eastAsia="宋体" w:cs="Times New Roman"/>
                      <w:color w:val="000000"/>
                      <w:szCs w:val="21"/>
                    </w:rPr>
                    <w:t>9</w:t>
                  </w:r>
                  <w:r>
                    <w:rPr>
                      <w:rFonts w:hint="eastAsia" w:ascii="Times New Roman" w:hAnsi="Times New Roman" w:eastAsia="宋体" w:cs="Times New Roman"/>
                      <w:color w:val="000000"/>
                      <w:szCs w:val="21"/>
                    </w:rPr>
                    <w:t xml:space="preserve"> mg/kg</w:t>
                  </w:r>
                </w:p>
              </w:tc>
            </w:tr>
            <w:tr w14:paraId="75B1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28E5B1EA">
                  <w:pPr>
                    <w:snapToGrid w:val="0"/>
                    <w:jc w:val="center"/>
                    <w:rPr>
                      <w:rFonts w:ascii="Times New Roman" w:hAnsi="Times New Roman" w:eastAsia="宋体" w:cs="Times New Roman"/>
                      <w:color w:val="000000"/>
                      <w:szCs w:val="21"/>
                    </w:rPr>
                  </w:pPr>
                </w:p>
              </w:tc>
              <w:tc>
                <w:tcPr>
                  <w:tcW w:w="1207" w:type="dxa"/>
                  <w:noWrap w:val="0"/>
                  <w:vAlign w:val="center"/>
                </w:tcPr>
                <w:p w14:paraId="5230BB79">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2-氯酚</w:t>
                  </w:r>
                </w:p>
              </w:tc>
              <w:tc>
                <w:tcPr>
                  <w:tcW w:w="4956" w:type="dxa"/>
                  <w:vMerge w:val="continue"/>
                  <w:noWrap w:val="0"/>
                  <w:vAlign w:val="center"/>
                </w:tcPr>
                <w:p w14:paraId="77FDB968">
                  <w:pPr>
                    <w:jc w:val="center"/>
                    <w:rPr>
                      <w:rFonts w:ascii="Times New Roman" w:hAnsi="Times New Roman" w:eastAsia="宋体" w:cs="Times New Roman"/>
                      <w:color w:val="000000"/>
                      <w:szCs w:val="21"/>
                    </w:rPr>
                  </w:pPr>
                </w:p>
              </w:tc>
              <w:tc>
                <w:tcPr>
                  <w:tcW w:w="1303" w:type="dxa"/>
                  <w:noWrap w:val="0"/>
                  <w:vAlign w:val="center"/>
                </w:tcPr>
                <w:p w14:paraId="0EA6F612">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0.06 mg/kg</w:t>
                  </w:r>
                </w:p>
              </w:tc>
            </w:tr>
            <w:tr w14:paraId="4D5B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36753C99">
                  <w:pPr>
                    <w:snapToGrid w:val="0"/>
                    <w:jc w:val="center"/>
                    <w:rPr>
                      <w:rFonts w:ascii="Times New Roman" w:hAnsi="Times New Roman" w:eastAsia="宋体" w:cs="Times New Roman"/>
                      <w:color w:val="000000"/>
                      <w:szCs w:val="21"/>
                    </w:rPr>
                  </w:pPr>
                </w:p>
              </w:tc>
              <w:tc>
                <w:tcPr>
                  <w:tcW w:w="1207" w:type="dxa"/>
                  <w:noWrap w:val="0"/>
                  <w:vAlign w:val="center"/>
                </w:tcPr>
                <w:p w14:paraId="28554B81">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苯并[</w:t>
                  </w:r>
                  <w:r>
                    <w:rPr>
                      <w:rFonts w:ascii="Times New Roman" w:hAnsi="Times New Roman" w:eastAsia="宋体" w:cs="Times New Roman"/>
                      <w:color w:val="000000"/>
                      <w:szCs w:val="21"/>
                    </w:rPr>
                    <w:t>a]</w:t>
                  </w:r>
                  <w:r>
                    <w:rPr>
                      <w:rFonts w:hint="eastAsia" w:ascii="Times New Roman" w:hAnsi="Times New Roman" w:eastAsia="宋体" w:cs="Times New Roman"/>
                      <w:color w:val="000000"/>
                      <w:szCs w:val="21"/>
                    </w:rPr>
                    <w:t>蒽</w:t>
                  </w:r>
                </w:p>
              </w:tc>
              <w:tc>
                <w:tcPr>
                  <w:tcW w:w="4956" w:type="dxa"/>
                  <w:vMerge w:val="continue"/>
                  <w:noWrap w:val="0"/>
                  <w:vAlign w:val="center"/>
                </w:tcPr>
                <w:p w14:paraId="5587E4CD">
                  <w:pPr>
                    <w:jc w:val="center"/>
                    <w:rPr>
                      <w:rFonts w:ascii="Times New Roman" w:hAnsi="Times New Roman" w:eastAsia="宋体" w:cs="Times New Roman"/>
                      <w:color w:val="000000"/>
                      <w:szCs w:val="21"/>
                    </w:rPr>
                  </w:pPr>
                </w:p>
              </w:tc>
              <w:tc>
                <w:tcPr>
                  <w:tcW w:w="1303" w:type="dxa"/>
                  <w:noWrap w:val="0"/>
                  <w:vAlign w:val="center"/>
                </w:tcPr>
                <w:p w14:paraId="05CA1A82">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0.1 mg/kg</w:t>
                  </w:r>
                </w:p>
              </w:tc>
            </w:tr>
            <w:tr w14:paraId="2A34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582520E4">
                  <w:pPr>
                    <w:snapToGrid w:val="0"/>
                    <w:jc w:val="center"/>
                    <w:rPr>
                      <w:rFonts w:ascii="Times New Roman" w:hAnsi="Times New Roman" w:eastAsia="宋体" w:cs="Times New Roman"/>
                      <w:color w:val="000000"/>
                      <w:szCs w:val="21"/>
                    </w:rPr>
                  </w:pPr>
                </w:p>
              </w:tc>
              <w:tc>
                <w:tcPr>
                  <w:tcW w:w="1207" w:type="dxa"/>
                  <w:noWrap w:val="0"/>
                  <w:vAlign w:val="center"/>
                </w:tcPr>
                <w:p w14:paraId="66A0D372">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苯并[</w:t>
                  </w:r>
                  <w:r>
                    <w:rPr>
                      <w:rFonts w:ascii="Times New Roman" w:hAnsi="Times New Roman" w:eastAsia="宋体" w:cs="Times New Roman"/>
                      <w:color w:val="000000"/>
                      <w:szCs w:val="21"/>
                    </w:rPr>
                    <w:t>a]</w:t>
                  </w:r>
                  <w:r>
                    <w:rPr>
                      <w:rFonts w:hint="eastAsia" w:ascii="Times New Roman" w:hAnsi="Times New Roman" w:eastAsia="宋体" w:cs="Times New Roman"/>
                      <w:color w:val="000000"/>
                      <w:szCs w:val="21"/>
                    </w:rPr>
                    <w:t>芘</w:t>
                  </w:r>
                </w:p>
              </w:tc>
              <w:tc>
                <w:tcPr>
                  <w:tcW w:w="4956" w:type="dxa"/>
                  <w:vMerge w:val="continue"/>
                  <w:noWrap w:val="0"/>
                  <w:vAlign w:val="center"/>
                </w:tcPr>
                <w:p w14:paraId="7A9B705D">
                  <w:pPr>
                    <w:jc w:val="center"/>
                    <w:rPr>
                      <w:rFonts w:ascii="Times New Roman" w:hAnsi="Times New Roman" w:eastAsia="宋体" w:cs="Times New Roman"/>
                      <w:color w:val="000000"/>
                      <w:szCs w:val="21"/>
                    </w:rPr>
                  </w:pPr>
                </w:p>
              </w:tc>
              <w:tc>
                <w:tcPr>
                  <w:tcW w:w="1303" w:type="dxa"/>
                  <w:noWrap w:val="0"/>
                  <w:vAlign w:val="center"/>
                </w:tcPr>
                <w:p w14:paraId="0797B84D">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0.1 mg/kg</w:t>
                  </w:r>
                </w:p>
              </w:tc>
            </w:tr>
            <w:tr w14:paraId="7000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72F6CCFD">
                  <w:pPr>
                    <w:snapToGrid w:val="0"/>
                    <w:jc w:val="center"/>
                    <w:rPr>
                      <w:rFonts w:ascii="Times New Roman" w:hAnsi="Times New Roman" w:eastAsia="宋体" w:cs="Times New Roman"/>
                      <w:color w:val="000000"/>
                      <w:szCs w:val="21"/>
                    </w:rPr>
                  </w:pPr>
                </w:p>
              </w:tc>
              <w:tc>
                <w:tcPr>
                  <w:tcW w:w="1207" w:type="dxa"/>
                  <w:noWrap w:val="0"/>
                  <w:vAlign w:val="center"/>
                </w:tcPr>
                <w:p w14:paraId="241E9BD2">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苯并[</w:t>
                  </w:r>
                  <w:r>
                    <w:rPr>
                      <w:rFonts w:ascii="Times New Roman" w:hAnsi="Times New Roman" w:eastAsia="宋体" w:cs="Times New Roman"/>
                      <w:color w:val="000000"/>
                      <w:szCs w:val="21"/>
                    </w:rPr>
                    <w:t>b]</w:t>
                  </w:r>
                  <w:r>
                    <w:rPr>
                      <w:rFonts w:hint="eastAsia" w:ascii="Times New Roman" w:hAnsi="Times New Roman" w:eastAsia="宋体" w:cs="Times New Roman"/>
                      <w:color w:val="000000"/>
                      <w:szCs w:val="21"/>
                    </w:rPr>
                    <w:t>荧蒽</w:t>
                  </w:r>
                </w:p>
              </w:tc>
              <w:tc>
                <w:tcPr>
                  <w:tcW w:w="4956" w:type="dxa"/>
                  <w:vMerge w:val="continue"/>
                  <w:noWrap w:val="0"/>
                  <w:vAlign w:val="center"/>
                </w:tcPr>
                <w:p w14:paraId="13946F71">
                  <w:pPr>
                    <w:jc w:val="center"/>
                    <w:rPr>
                      <w:rFonts w:ascii="Times New Roman" w:hAnsi="Times New Roman" w:eastAsia="宋体" w:cs="Times New Roman"/>
                      <w:color w:val="000000"/>
                      <w:szCs w:val="21"/>
                    </w:rPr>
                  </w:pPr>
                </w:p>
              </w:tc>
              <w:tc>
                <w:tcPr>
                  <w:tcW w:w="1303" w:type="dxa"/>
                  <w:noWrap w:val="0"/>
                  <w:vAlign w:val="center"/>
                </w:tcPr>
                <w:p w14:paraId="4326776D">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0.2 mg/kg</w:t>
                  </w:r>
                </w:p>
              </w:tc>
            </w:tr>
            <w:tr w14:paraId="7D6E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1E4DF01C">
                  <w:pPr>
                    <w:snapToGrid w:val="0"/>
                    <w:jc w:val="center"/>
                    <w:rPr>
                      <w:rFonts w:ascii="Times New Roman" w:hAnsi="Times New Roman" w:eastAsia="宋体" w:cs="Times New Roman"/>
                      <w:color w:val="000000"/>
                      <w:szCs w:val="21"/>
                    </w:rPr>
                  </w:pPr>
                </w:p>
              </w:tc>
              <w:tc>
                <w:tcPr>
                  <w:tcW w:w="1207" w:type="dxa"/>
                  <w:noWrap w:val="0"/>
                  <w:vAlign w:val="center"/>
                </w:tcPr>
                <w:p w14:paraId="643089CF">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苯并[</w:t>
                  </w:r>
                  <w:r>
                    <w:rPr>
                      <w:rFonts w:ascii="Times New Roman" w:hAnsi="Times New Roman" w:eastAsia="宋体" w:cs="Times New Roman"/>
                      <w:color w:val="000000"/>
                      <w:szCs w:val="21"/>
                    </w:rPr>
                    <w:t>k]</w:t>
                  </w:r>
                  <w:r>
                    <w:rPr>
                      <w:rFonts w:hint="eastAsia" w:ascii="Times New Roman" w:hAnsi="Times New Roman" w:eastAsia="宋体" w:cs="Times New Roman"/>
                      <w:color w:val="000000"/>
                      <w:szCs w:val="21"/>
                    </w:rPr>
                    <w:t>荧蒽</w:t>
                  </w:r>
                </w:p>
              </w:tc>
              <w:tc>
                <w:tcPr>
                  <w:tcW w:w="4956" w:type="dxa"/>
                  <w:vMerge w:val="continue"/>
                  <w:noWrap w:val="0"/>
                  <w:vAlign w:val="center"/>
                </w:tcPr>
                <w:p w14:paraId="59868888">
                  <w:pPr>
                    <w:jc w:val="center"/>
                    <w:rPr>
                      <w:rFonts w:ascii="Times New Roman" w:hAnsi="Times New Roman" w:eastAsia="宋体" w:cs="Times New Roman"/>
                      <w:color w:val="000000"/>
                      <w:szCs w:val="21"/>
                    </w:rPr>
                  </w:pPr>
                </w:p>
              </w:tc>
              <w:tc>
                <w:tcPr>
                  <w:tcW w:w="1303" w:type="dxa"/>
                  <w:noWrap w:val="0"/>
                  <w:vAlign w:val="center"/>
                </w:tcPr>
                <w:p w14:paraId="3FA5F5E4">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0.1 mg/kg</w:t>
                  </w:r>
                </w:p>
              </w:tc>
            </w:tr>
            <w:tr w14:paraId="3927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3BFAFB84">
                  <w:pPr>
                    <w:snapToGrid w:val="0"/>
                    <w:jc w:val="center"/>
                    <w:rPr>
                      <w:rFonts w:ascii="Times New Roman" w:hAnsi="Times New Roman" w:eastAsia="宋体" w:cs="Times New Roman"/>
                      <w:color w:val="000000"/>
                      <w:szCs w:val="21"/>
                    </w:rPr>
                  </w:pPr>
                </w:p>
              </w:tc>
              <w:tc>
                <w:tcPr>
                  <w:tcW w:w="1207" w:type="dxa"/>
                  <w:noWrap w:val="0"/>
                  <w:vAlign w:val="center"/>
                </w:tcPr>
                <w:p w14:paraId="156C0D60">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䓛</w:t>
                  </w:r>
                </w:p>
              </w:tc>
              <w:tc>
                <w:tcPr>
                  <w:tcW w:w="4956" w:type="dxa"/>
                  <w:vMerge w:val="continue"/>
                  <w:noWrap w:val="0"/>
                  <w:vAlign w:val="center"/>
                </w:tcPr>
                <w:p w14:paraId="4349E935">
                  <w:pPr>
                    <w:jc w:val="center"/>
                    <w:rPr>
                      <w:rFonts w:ascii="Times New Roman" w:hAnsi="Times New Roman" w:eastAsia="宋体" w:cs="Times New Roman"/>
                      <w:color w:val="000000"/>
                      <w:szCs w:val="21"/>
                    </w:rPr>
                  </w:pPr>
                </w:p>
              </w:tc>
              <w:tc>
                <w:tcPr>
                  <w:tcW w:w="1303" w:type="dxa"/>
                  <w:noWrap w:val="0"/>
                  <w:vAlign w:val="center"/>
                </w:tcPr>
                <w:p w14:paraId="1D0C21C9">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0.1 mg/kg</w:t>
                  </w:r>
                </w:p>
              </w:tc>
            </w:tr>
            <w:tr w14:paraId="645E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1B24EED5">
                  <w:pPr>
                    <w:snapToGrid w:val="0"/>
                    <w:jc w:val="center"/>
                    <w:rPr>
                      <w:rFonts w:ascii="Times New Roman" w:hAnsi="Times New Roman" w:eastAsia="宋体" w:cs="Times New Roman"/>
                      <w:color w:val="000000"/>
                      <w:szCs w:val="21"/>
                    </w:rPr>
                  </w:pPr>
                </w:p>
              </w:tc>
              <w:tc>
                <w:tcPr>
                  <w:tcW w:w="1207" w:type="dxa"/>
                  <w:noWrap w:val="0"/>
                  <w:vAlign w:val="center"/>
                </w:tcPr>
                <w:p w14:paraId="517EFB0D">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二苯并[</w:t>
                  </w:r>
                  <w:r>
                    <w:rPr>
                      <w:rFonts w:ascii="Times New Roman" w:hAnsi="Times New Roman" w:eastAsia="宋体" w:cs="Times New Roman"/>
                      <w:color w:val="000000"/>
                      <w:szCs w:val="21"/>
                    </w:rPr>
                    <w:t>a,h]</w:t>
                  </w:r>
                  <w:r>
                    <w:rPr>
                      <w:rFonts w:hint="eastAsia" w:ascii="Times New Roman" w:hAnsi="Times New Roman" w:eastAsia="宋体" w:cs="Times New Roman"/>
                      <w:color w:val="000000"/>
                      <w:szCs w:val="21"/>
                    </w:rPr>
                    <w:t>蒽</w:t>
                  </w:r>
                </w:p>
              </w:tc>
              <w:tc>
                <w:tcPr>
                  <w:tcW w:w="4956" w:type="dxa"/>
                  <w:vMerge w:val="continue"/>
                  <w:noWrap w:val="0"/>
                  <w:vAlign w:val="center"/>
                </w:tcPr>
                <w:p w14:paraId="5B797235">
                  <w:pPr>
                    <w:jc w:val="center"/>
                    <w:rPr>
                      <w:rFonts w:ascii="Times New Roman" w:hAnsi="Times New Roman" w:eastAsia="宋体" w:cs="Times New Roman"/>
                      <w:color w:val="000000"/>
                      <w:szCs w:val="21"/>
                    </w:rPr>
                  </w:pPr>
                </w:p>
              </w:tc>
              <w:tc>
                <w:tcPr>
                  <w:tcW w:w="1303" w:type="dxa"/>
                  <w:noWrap w:val="0"/>
                  <w:vAlign w:val="center"/>
                </w:tcPr>
                <w:p w14:paraId="6B621571">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0.1 mg/kg</w:t>
                  </w:r>
                </w:p>
              </w:tc>
            </w:tr>
            <w:tr w14:paraId="0353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Merge w:val="continue"/>
                  <w:noWrap w:val="0"/>
                  <w:vAlign w:val="center"/>
                </w:tcPr>
                <w:p w14:paraId="13DA9C6B">
                  <w:pPr>
                    <w:snapToGrid w:val="0"/>
                    <w:jc w:val="center"/>
                    <w:rPr>
                      <w:rFonts w:ascii="Times New Roman" w:hAnsi="Times New Roman" w:eastAsia="宋体" w:cs="Times New Roman"/>
                      <w:color w:val="000000"/>
                      <w:szCs w:val="21"/>
                    </w:rPr>
                  </w:pPr>
                </w:p>
              </w:tc>
              <w:tc>
                <w:tcPr>
                  <w:tcW w:w="1207" w:type="dxa"/>
                  <w:noWrap w:val="0"/>
                  <w:vAlign w:val="center"/>
                </w:tcPr>
                <w:p w14:paraId="08469D2F">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茚并 [</w:t>
                  </w:r>
                  <w:r>
                    <w:rPr>
                      <w:rFonts w:ascii="Times New Roman" w:hAnsi="Times New Roman" w:eastAsia="宋体" w:cs="Times New Roman"/>
                      <w:color w:val="000000"/>
                      <w:szCs w:val="21"/>
                    </w:rPr>
                    <w:t>1,2,3-cd]</w:t>
                  </w:r>
                  <w:r>
                    <w:rPr>
                      <w:rFonts w:hint="eastAsia" w:ascii="Times New Roman" w:hAnsi="Times New Roman" w:eastAsia="宋体" w:cs="Times New Roman"/>
                      <w:color w:val="000000"/>
                      <w:szCs w:val="21"/>
                    </w:rPr>
                    <w:t>芘</w:t>
                  </w:r>
                </w:p>
              </w:tc>
              <w:tc>
                <w:tcPr>
                  <w:tcW w:w="4956" w:type="dxa"/>
                  <w:vMerge w:val="continue"/>
                  <w:noWrap w:val="0"/>
                  <w:vAlign w:val="center"/>
                </w:tcPr>
                <w:p w14:paraId="3629A796">
                  <w:pPr>
                    <w:jc w:val="center"/>
                    <w:rPr>
                      <w:rFonts w:ascii="Times New Roman" w:hAnsi="Times New Roman" w:eastAsia="宋体" w:cs="Times New Roman"/>
                      <w:color w:val="000000"/>
                      <w:szCs w:val="21"/>
                    </w:rPr>
                  </w:pPr>
                </w:p>
              </w:tc>
              <w:tc>
                <w:tcPr>
                  <w:tcW w:w="1303" w:type="dxa"/>
                  <w:noWrap w:val="0"/>
                  <w:vAlign w:val="center"/>
                </w:tcPr>
                <w:p w14:paraId="0606C23D">
                  <w:pPr>
                    <w:ind w:left="-105" w:leftChars="-50" w:right="-105" w:rightChars="-5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0.1 mg/kg</w:t>
                  </w:r>
                </w:p>
              </w:tc>
            </w:tr>
          </w:tbl>
          <w:p w14:paraId="3A72F1B4">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④ 评价标准</w:t>
            </w:r>
          </w:p>
          <w:p w14:paraId="19F210E1">
            <w:pPr>
              <w:pStyle w:val="6"/>
              <w:spacing w:line="500" w:lineRule="exact"/>
              <w:ind w:firstLine="480"/>
              <w:rPr>
                <w:rFonts w:hint="eastAsia" w:ascii="Times New Roman" w:hAnsi="Times New Roman" w:eastAsia="宋体" w:cs="Times New Roman"/>
                <w:kern w:val="0"/>
                <w:sz w:val="24"/>
              </w:rPr>
            </w:pPr>
            <w:r>
              <w:rPr>
                <w:rFonts w:hint="default" w:ascii="Times New Roman" w:hAnsi="Times New Roman" w:eastAsia="宋体" w:cs="Times New Roman"/>
                <w:kern w:val="0"/>
                <w:sz w:val="24"/>
              </w:rPr>
              <w:t>《土壤环境质量  建设用地土壤污染风险管控标准（试行）》（GB36600-2018）中第二类用地筛选值</w:t>
            </w:r>
            <w:r>
              <w:rPr>
                <w:rFonts w:hint="eastAsia" w:ascii="Times New Roman" w:hAnsi="Times New Roman" w:eastAsia="宋体" w:cs="Times New Roman"/>
                <w:kern w:val="0"/>
                <w:sz w:val="24"/>
                <w:lang w:eastAsia="zh-CN"/>
              </w:rPr>
              <w:t>参考</w:t>
            </w:r>
            <w:r>
              <w:rPr>
                <w:rFonts w:hint="default" w:ascii="Times New Roman" w:hAnsi="Times New Roman" w:eastAsia="宋体" w:cs="Times New Roman"/>
                <w:kern w:val="0"/>
                <w:sz w:val="24"/>
              </w:rPr>
              <w:t>标准</w:t>
            </w:r>
            <w:r>
              <w:rPr>
                <w:rFonts w:hint="eastAsia" w:ascii="Times New Roman" w:hAnsi="Times New Roman" w:eastAsia="宋体" w:cs="Times New Roman"/>
                <w:kern w:val="0"/>
                <w:sz w:val="24"/>
              </w:rPr>
              <w:t>。</w:t>
            </w:r>
          </w:p>
          <w:p w14:paraId="31E1520E">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⑤ 监测结果</w:t>
            </w:r>
          </w:p>
          <w:p w14:paraId="2665069F">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监测及评价结果见表3-</w:t>
            </w:r>
            <w:r>
              <w:rPr>
                <w:rFonts w:hint="eastAsia" w:cs="Times New Roman"/>
                <w:kern w:val="0"/>
                <w:sz w:val="24"/>
                <w:lang w:val="en-US" w:eastAsia="zh-CN"/>
              </w:rPr>
              <w:t>11</w:t>
            </w:r>
            <w:r>
              <w:rPr>
                <w:rFonts w:hint="eastAsia" w:ascii="Times New Roman" w:hAnsi="Times New Roman" w:eastAsia="宋体" w:cs="Times New Roman"/>
                <w:kern w:val="0"/>
                <w:sz w:val="24"/>
              </w:rPr>
              <w:t>。</w:t>
            </w:r>
          </w:p>
          <w:p w14:paraId="56E77CD0">
            <w:pPr>
              <w:pStyle w:val="6"/>
              <w:spacing w:line="500" w:lineRule="exact"/>
              <w:ind w:firstLine="482"/>
              <w:jc w:val="center"/>
              <w:rPr>
                <w:rFonts w:hint="eastAsia" w:ascii="Times New Roman" w:hAnsi="Times New Roman" w:eastAsia="宋体" w:cs="Times New Roman"/>
                <w:b/>
                <w:bCs/>
                <w:color w:val="auto"/>
                <w:kern w:val="0"/>
                <w:sz w:val="24"/>
                <w:lang w:val="zh-CN"/>
              </w:rPr>
            </w:pPr>
            <w:r>
              <w:rPr>
                <w:rFonts w:hint="eastAsia" w:ascii="Times New Roman" w:hAnsi="Times New Roman" w:eastAsia="宋体" w:cs="Times New Roman"/>
                <w:b/>
                <w:bCs/>
                <w:color w:val="auto"/>
                <w:kern w:val="0"/>
                <w:sz w:val="24"/>
                <w:lang w:val="zh-CN"/>
              </w:rPr>
              <w:t>表3</w:t>
            </w:r>
            <w:r>
              <w:rPr>
                <w:rFonts w:hint="eastAsia" w:ascii="Times New Roman" w:hAnsi="Times New Roman" w:eastAsia="宋体" w:cs="Times New Roman"/>
                <w:b/>
                <w:bCs/>
                <w:color w:val="auto"/>
                <w:kern w:val="0"/>
                <w:sz w:val="24"/>
                <w:lang w:val="en-US" w:eastAsia="zh-CN"/>
              </w:rPr>
              <w:t>-</w:t>
            </w:r>
            <w:r>
              <w:rPr>
                <w:rFonts w:hint="eastAsia" w:cs="Times New Roman"/>
                <w:b/>
                <w:bCs/>
                <w:color w:val="auto"/>
                <w:kern w:val="0"/>
                <w:sz w:val="24"/>
                <w:lang w:val="en-US" w:eastAsia="zh-CN"/>
              </w:rPr>
              <w:t>11</w:t>
            </w:r>
            <w:r>
              <w:rPr>
                <w:rFonts w:hint="eastAsia" w:ascii="Times New Roman" w:hAnsi="Times New Roman" w:eastAsia="宋体" w:cs="Times New Roman"/>
                <w:b/>
                <w:bCs/>
                <w:color w:val="auto"/>
                <w:kern w:val="0"/>
                <w:sz w:val="24"/>
                <w:lang w:val="zh-CN"/>
              </w:rPr>
              <w:t xml:space="preserve"> 土壤现状监测结果及评价</w:t>
            </w:r>
            <w:r>
              <w:rPr>
                <w:rFonts w:hint="eastAsia" w:ascii="Times New Roman" w:hAnsi="Times New Roman" w:eastAsia="宋体" w:cs="Times New Roman"/>
                <w:b/>
                <w:bCs/>
                <w:color w:val="auto"/>
                <w:kern w:val="0"/>
                <w:sz w:val="24"/>
                <w:lang w:val="en-US" w:eastAsia="zh-CN"/>
              </w:rPr>
              <w:t xml:space="preserve">   </w:t>
            </w:r>
            <w:r>
              <w:rPr>
                <w:rFonts w:hint="eastAsia" w:ascii="Times New Roman" w:hAnsi="Times New Roman" w:eastAsia="宋体" w:cs="Times New Roman"/>
                <w:b/>
                <w:bCs/>
                <w:color w:val="auto"/>
                <w:kern w:val="0"/>
                <w:sz w:val="24"/>
                <w:lang w:val="zh-CN"/>
              </w:rPr>
              <w:t>单位：除pH值为无量纲</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2062"/>
              <w:gridCol w:w="1811"/>
              <w:gridCol w:w="2192"/>
              <w:gridCol w:w="1210"/>
            </w:tblGrid>
            <w:tr w14:paraId="1B3E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restart"/>
                  <w:noWrap w:val="0"/>
                  <w:vAlign w:val="center"/>
                </w:tcPr>
                <w:p w14:paraId="40561E7B">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监测点位</w:t>
                  </w:r>
                </w:p>
              </w:tc>
              <w:tc>
                <w:tcPr>
                  <w:tcW w:w="2079" w:type="dxa"/>
                  <w:vMerge w:val="restart"/>
                  <w:noWrap w:val="0"/>
                  <w:vAlign w:val="center"/>
                </w:tcPr>
                <w:p w14:paraId="0314A201">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监测</w:t>
                  </w:r>
                  <w:r>
                    <w:rPr>
                      <w:rFonts w:ascii="Times New Roman" w:hAnsi="Times New Roman" w:eastAsia="宋体" w:cs="Times New Roman"/>
                      <w:b w:val="0"/>
                      <w:bCs/>
                      <w:color w:val="000000"/>
                      <w:szCs w:val="21"/>
                    </w:rPr>
                    <w:t>项目</w:t>
                  </w:r>
                </w:p>
              </w:tc>
              <w:tc>
                <w:tcPr>
                  <w:tcW w:w="1829" w:type="dxa"/>
                  <w:noWrap w:val="0"/>
                  <w:vAlign w:val="center"/>
                </w:tcPr>
                <w:p w14:paraId="20382444">
                  <w:pPr>
                    <w:jc w:val="center"/>
                    <w:rPr>
                      <w:rFonts w:ascii="Times New Roman" w:hAnsi="Times New Roman" w:eastAsia="宋体" w:cs="Times New Roman"/>
                      <w:b w:val="0"/>
                      <w:bCs/>
                      <w:color w:val="000000"/>
                      <w:szCs w:val="21"/>
                    </w:rPr>
                  </w:pPr>
                  <w:r>
                    <w:rPr>
                      <w:rFonts w:ascii="Times New Roman" w:hAnsi="Times New Roman" w:eastAsia="宋体" w:cs="Times New Roman"/>
                      <w:b w:val="0"/>
                      <w:bCs/>
                      <w:color w:val="000000"/>
                      <w:szCs w:val="21"/>
                    </w:rPr>
                    <w:t>筛选值</w:t>
                  </w:r>
                  <w:r>
                    <w:rPr>
                      <w:rFonts w:hint="eastAsia" w:ascii="Times New Roman" w:hAnsi="Times New Roman" w:eastAsia="宋体" w:cs="Times New Roman"/>
                      <w:b w:val="0"/>
                      <w:bCs/>
                      <w:color w:val="000000"/>
                      <w:szCs w:val="21"/>
                    </w:rPr>
                    <w:t>mg</w:t>
                  </w:r>
                  <w:r>
                    <w:rPr>
                      <w:rFonts w:ascii="Times New Roman" w:hAnsi="Times New Roman" w:eastAsia="宋体" w:cs="Times New Roman"/>
                      <w:b w:val="0"/>
                      <w:bCs/>
                      <w:color w:val="000000"/>
                      <w:szCs w:val="21"/>
                    </w:rPr>
                    <w:t>/</w:t>
                  </w:r>
                  <w:r>
                    <w:rPr>
                      <w:rFonts w:hint="eastAsia" w:ascii="Times New Roman" w:hAnsi="Times New Roman" w:eastAsia="宋体" w:cs="Times New Roman"/>
                      <w:b w:val="0"/>
                      <w:bCs/>
                      <w:color w:val="000000"/>
                      <w:szCs w:val="21"/>
                    </w:rPr>
                    <w:t>kg</w:t>
                  </w:r>
                </w:p>
              </w:tc>
              <w:tc>
                <w:tcPr>
                  <w:tcW w:w="2207" w:type="dxa"/>
                  <w:vMerge w:val="restart"/>
                  <w:noWrap w:val="0"/>
                  <w:vAlign w:val="center"/>
                </w:tcPr>
                <w:p w14:paraId="34F1BF26">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监测结果（0</w:t>
                  </w:r>
                  <w:r>
                    <w:rPr>
                      <w:rFonts w:ascii="Times New Roman" w:hAnsi="Times New Roman" w:eastAsia="宋体" w:cs="Times New Roman"/>
                      <w:b w:val="0"/>
                      <w:bCs/>
                      <w:color w:val="000000"/>
                      <w:szCs w:val="21"/>
                    </w:rPr>
                    <w:t>~20cm</w:t>
                  </w:r>
                  <w:r>
                    <w:rPr>
                      <w:rFonts w:hint="eastAsia" w:ascii="Times New Roman" w:hAnsi="Times New Roman" w:eastAsia="宋体" w:cs="Times New Roman"/>
                      <w:b w:val="0"/>
                      <w:bCs/>
                      <w:color w:val="000000"/>
                      <w:szCs w:val="21"/>
                    </w:rPr>
                    <w:t>）</w:t>
                  </w:r>
                </w:p>
              </w:tc>
              <w:tc>
                <w:tcPr>
                  <w:tcW w:w="1223" w:type="dxa"/>
                  <w:vMerge w:val="restart"/>
                  <w:noWrap w:val="0"/>
                  <w:vAlign w:val="center"/>
                </w:tcPr>
                <w:p w14:paraId="1D7436C8">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达标情况</w:t>
                  </w:r>
                </w:p>
              </w:tc>
            </w:tr>
            <w:tr w14:paraId="661B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46124E7A">
                  <w:pPr>
                    <w:jc w:val="center"/>
                    <w:rPr>
                      <w:rFonts w:ascii="Times New Roman" w:hAnsi="Times New Roman" w:eastAsia="宋体" w:cs="Times New Roman"/>
                      <w:b w:val="0"/>
                      <w:bCs/>
                      <w:color w:val="000000"/>
                      <w:szCs w:val="21"/>
                    </w:rPr>
                  </w:pPr>
                </w:p>
              </w:tc>
              <w:tc>
                <w:tcPr>
                  <w:tcW w:w="2079" w:type="dxa"/>
                  <w:vMerge w:val="continue"/>
                  <w:noWrap w:val="0"/>
                  <w:vAlign w:val="center"/>
                </w:tcPr>
                <w:p w14:paraId="6F892C70">
                  <w:pPr>
                    <w:jc w:val="center"/>
                    <w:rPr>
                      <w:rFonts w:ascii="Times New Roman" w:hAnsi="Times New Roman" w:eastAsia="宋体" w:cs="Times New Roman"/>
                      <w:b w:val="0"/>
                      <w:bCs/>
                      <w:color w:val="000000"/>
                      <w:szCs w:val="21"/>
                    </w:rPr>
                  </w:pPr>
                </w:p>
              </w:tc>
              <w:tc>
                <w:tcPr>
                  <w:tcW w:w="1829" w:type="dxa"/>
                  <w:noWrap w:val="0"/>
                  <w:vAlign w:val="center"/>
                </w:tcPr>
                <w:p w14:paraId="4B9B5A2D">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第二类用地</w:t>
                  </w:r>
                </w:p>
              </w:tc>
              <w:tc>
                <w:tcPr>
                  <w:tcW w:w="2207" w:type="dxa"/>
                  <w:vMerge w:val="continue"/>
                  <w:noWrap w:val="0"/>
                  <w:vAlign w:val="center"/>
                </w:tcPr>
                <w:p w14:paraId="2A2BBE7F">
                  <w:pPr>
                    <w:jc w:val="center"/>
                    <w:rPr>
                      <w:rFonts w:ascii="Times New Roman" w:hAnsi="Times New Roman" w:eastAsia="宋体" w:cs="Times New Roman"/>
                      <w:b w:val="0"/>
                      <w:bCs/>
                      <w:color w:val="000000"/>
                      <w:szCs w:val="21"/>
                    </w:rPr>
                  </w:pPr>
                </w:p>
              </w:tc>
              <w:tc>
                <w:tcPr>
                  <w:tcW w:w="1223" w:type="dxa"/>
                  <w:vMerge w:val="continue"/>
                  <w:noWrap w:val="0"/>
                  <w:vAlign w:val="center"/>
                </w:tcPr>
                <w:p w14:paraId="2D4031F2">
                  <w:pPr>
                    <w:jc w:val="center"/>
                    <w:rPr>
                      <w:rFonts w:ascii="Times New Roman" w:hAnsi="Times New Roman" w:eastAsia="宋体" w:cs="Times New Roman"/>
                      <w:b w:val="0"/>
                      <w:bCs/>
                      <w:color w:val="000000"/>
                      <w:szCs w:val="21"/>
                    </w:rPr>
                  </w:pPr>
                </w:p>
              </w:tc>
            </w:tr>
            <w:tr w14:paraId="10F6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1D0DFBDA">
                  <w:pPr>
                    <w:jc w:val="center"/>
                    <w:rPr>
                      <w:rFonts w:ascii="Times New Roman" w:hAnsi="Times New Roman" w:eastAsia="宋体" w:cs="Times New Roman"/>
                      <w:b w:val="0"/>
                      <w:bCs/>
                      <w:color w:val="000000"/>
                      <w:szCs w:val="21"/>
                    </w:rPr>
                  </w:pPr>
                </w:p>
              </w:tc>
              <w:tc>
                <w:tcPr>
                  <w:tcW w:w="2079" w:type="dxa"/>
                  <w:vMerge w:val="continue"/>
                  <w:noWrap w:val="0"/>
                  <w:vAlign w:val="center"/>
                </w:tcPr>
                <w:p w14:paraId="7A79F07C">
                  <w:pPr>
                    <w:jc w:val="center"/>
                    <w:rPr>
                      <w:rFonts w:ascii="Times New Roman" w:hAnsi="Times New Roman" w:eastAsia="宋体" w:cs="Times New Roman"/>
                      <w:b w:val="0"/>
                      <w:bCs/>
                      <w:color w:val="000000"/>
                      <w:szCs w:val="21"/>
                    </w:rPr>
                  </w:pPr>
                </w:p>
              </w:tc>
              <w:tc>
                <w:tcPr>
                  <w:tcW w:w="1829" w:type="dxa"/>
                  <w:noWrap w:val="0"/>
                  <w:vAlign w:val="center"/>
                </w:tcPr>
                <w:p w14:paraId="1E450671">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第二类用地</w:t>
                  </w:r>
                </w:p>
              </w:tc>
              <w:tc>
                <w:tcPr>
                  <w:tcW w:w="2207" w:type="dxa"/>
                  <w:vMerge w:val="continue"/>
                  <w:noWrap w:val="0"/>
                  <w:vAlign w:val="center"/>
                </w:tcPr>
                <w:p w14:paraId="545FFB9E">
                  <w:pPr>
                    <w:jc w:val="center"/>
                    <w:rPr>
                      <w:rFonts w:ascii="Times New Roman" w:hAnsi="Times New Roman" w:eastAsia="宋体" w:cs="Times New Roman"/>
                      <w:b w:val="0"/>
                      <w:bCs/>
                      <w:color w:val="000000"/>
                      <w:szCs w:val="21"/>
                    </w:rPr>
                  </w:pPr>
                </w:p>
              </w:tc>
              <w:tc>
                <w:tcPr>
                  <w:tcW w:w="1223" w:type="dxa"/>
                  <w:vMerge w:val="continue"/>
                  <w:noWrap w:val="0"/>
                  <w:vAlign w:val="center"/>
                </w:tcPr>
                <w:p w14:paraId="60153F7C">
                  <w:pPr>
                    <w:jc w:val="center"/>
                    <w:rPr>
                      <w:rFonts w:ascii="Times New Roman" w:hAnsi="Times New Roman" w:eastAsia="宋体" w:cs="Times New Roman"/>
                      <w:b w:val="0"/>
                      <w:bCs/>
                      <w:color w:val="000000"/>
                      <w:szCs w:val="21"/>
                    </w:rPr>
                  </w:pPr>
                </w:p>
              </w:tc>
            </w:tr>
            <w:tr w14:paraId="2FD5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restart"/>
                  <w:noWrap w:val="0"/>
                  <w:vAlign w:val="center"/>
                </w:tcPr>
                <w:p w14:paraId="584594E6">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T1监测点</w:t>
                  </w:r>
                </w:p>
              </w:tc>
              <w:tc>
                <w:tcPr>
                  <w:tcW w:w="2079" w:type="dxa"/>
                  <w:noWrap w:val="0"/>
                  <w:vAlign w:val="center"/>
                </w:tcPr>
                <w:p w14:paraId="4EE1A772">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p</w:t>
                  </w:r>
                  <w:r>
                    <w:rPr>
                      <w:rFonts w:ascii="Times New Roman" w:hAnsi="Times New Roman" w:eastAsia="宋体" w:cs="Times New Roman"/>
                      <w:b w:val="0"/>
                      <w:bCs/>
                      <w:color w:val="000000"/>
                      <w:szCs w:val="21"/>
                    </w:rPr>
                    <w:t>H</w:t>
                  </w:r>
                  <w:r>
                    <w:rPr>
                      <w:rFonts w:hint="eastAsia" w:ascii="Times New Roman" w:hAnsi="Times New Roman" w:eastAsia="宋体" w:cs="Times New Roman"/>
                      <w:b w:val="0"/>
                      <w:bCs/>
                      <w:color w:val="000000"/>
                      <w:szCs w:val="21"/>
                    </w:rPr>
                    <w:t>值</w:t>
                  </w:r>
                </w:p>
              </w:tc>
              <w:tc>
                <w:tcPr>
                  <w:tcW w:w="1829" w:type="dxa"/>
                  <w:noWrap w:val="0"/>
                  <w:vAlign w:val="center"/>
                </w:tcPr>
                <w:p w14:paraId="7A06A5E0">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w:t>
                  </w:r>
                </w:p>
              </w:tc>
              <w:tc>
                <w:tcPr>
                  <w:tcW w:w="2207" w:type="dxa"/>
                  <w:noWrap w:val="0"/>
                  <w:vAlign w:val="center"/>
                </w:tcPr>
                <w:p w14:paraId="77E4BA87">
                  <w:pPr>
                    <w:jc w:val="center"/>
                    <w:rPr>
                      <w:rFonts w:hint="default" w:ascii="Times New Roman" w:hAnsi="Times New Roman" w:eastAsia="宋体" w:cs="Times New Roman"/>
                      <w:b w:val="0"/>
                      <w:bCs/>
                      <w:color w:val="auto"/>
                      <w:szCs w:val="21"/>
                      <w:lang w:val="en-US" w:eastAsia="zh-CN"/>
                    </w:rPr>
                  </w:pPr>
                </w:p>
              </w:tc>
              <w:tc>
                <w:tcPr>
                  <w:tcW w:w="1223" w:type="dxa"/>
                  <w:noWrap w:val="0"/>
                  <w:vAlign w:val="center"/>
                </w:tcPr>
                <w:p w14:paraId="20E3983F">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w:t>
                  </w:r>
                </w:p>
              </w:tc>
            </w:tr>
            <w:tr w14:paraId="47D1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47C2BAF6">
                  <w:pPr>
                    <w:jc w:val="center"/>
                    <w:rPr>
                      <w:rFonts w:ascii="Times New Roman" w:hAnsi="Times New Roman" w:eastAsia="宋体" w:cs="Times New Roman"/>
                      <w:b w:val="0"/>
                      <w:bCs/>
                      <w:color w:val="000000"/>
                      <w:szCs w:val="21"/>
                    </w:rPr>
                  </w:pPr>
                </w:p>
              </w:tc>
              <w:tc>
                <w:tcPr>
                  <w:tcW w:w="2079" w:type="dxa"/>
                  <w:noWrap w:val="0"/>
                  <w:vAlign w:val="center"/>
                </w:tcPr>
                <w:p w14:paraId="1FB46B6C">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石油烃</w:t>
                  </w:r>
                </w:p>
              </w:tc>
              <w:tc>
                <w:tcPr>
                  <w:tcW w:w="1829" w:type="dxa"/>
                  <w:noWrap w:val="0"/>
                  <w:vAlign w:val="center"/>
                </w:tcPr>
                <w:p w14:paraId="09437D63">
                  <w:pPr>
                    <w:jc w:val="center"/>
                    <w:rPr>
                      <w:rFonts w:ascii="Times New Roman" w:hAnsi="Times New Roman" w:eastAsia="宋体" w:cs="Times New Roman"/>
                      <w:b w:val="0"/>
                      <w:bCs/>
                      <w:color w:val="000000"/>
                      <w:szCs w:val="21"/>
                    </w:rPr>
                  </w:pPr>
                  <w:r>
                    <w:rPr>
                      <w:rFonts w:ascii="Times New Roman" w:hAnsi="Times New Roman" w:eastAsia="宋体" w:cs="Times New Roman"/>
                      <w:b w:val="0"/>
                      <w:bCs/>
                      <w:color w:val="000000"/>
                      <w:szCs w:val="21"/>
                    </w:rPr>
                    <w:t>4</w:t>
                  </w:r>
                  <w:r>
                    <w:rPr>
                      <w:rFonts w:hint="eastAsia" w:ascii="Times New Roman" w:hAnsi="Times New Roman" w:eastAsia="宋体" w:cs="Times New Roman"/>
                      <w:b w:val="0"/>
                      <w:bCs/>
                      <w:color w:val="000000"/>
                      <w:szCs w:val="21"/>
                    </w:rPr>
                    <w:t>5</w:t>
                  </w:r>
                  <w:r>
                    <w:rPr>
                      <w:rFonts w:ascii="Times New Roman" w:hAnsi="Times New Roman" w:eastAsia="宋体" w:cs="Times New Roman"/>
                      <w:b w:val="0"/>
                      <w:bCs/>
                      <w:color w:val="000000"/>
                      <w:szCs w:val="21"/>
                    </w:rPr>
                    <w:t>00</w:t>
                  </w:r>
                </w:p>
              </w:tc>
              <w:tc>
                <w:tcPr>
                  <w:tcW w:w="2207" w:type="dxa"/>
                  <w:noWrap w:val="0"/>
                  <w:vAlign w:val="center"/>
                </w:tcPr>
                <w:p w14:paraId="5DB0DF52">
                  <w:pPr>
                    <w:jc w:val="center"/>
                    <w:rPr>
                      <w:rFonts w:hint="default" w:ascii="Times New Roman" w:hAnsi="Times New Roman" w:eastAsia="宋体" w:cs="Times New Roman"/>
                      <w:b w:val="0"/>
                      <w:bCs/>
                      <w:color w:val="auto"/>
                      <w:szCs w:val="21"/>
                      <w:lang w:val="en-US" w:eastAsia="zh-CN"/>
                    </w:rPr>
                  </w:pPr>
                </w:p>
              </w:tc>
              <w:tc>
                <w:tcPr>
                  <w:tcW w:w="1223" w:type="dxa"/>
                  <w:noWrap w:val="0"/>
                  <w:vAlign w:val="center"/>
                </w:tcPr>
                <w:p w14:paraId="0CEB28FE">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达标</w:t>
                  </w:r>
                </w:p>
              </w:tc>
            </w:tr>
            <w:tr w14:paraId="2EC3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46D20C74">
                  <w:pPr>
                    <w:jc w:val="center"/>
                    <w:rPr>
                      <w:rFonts w:ascii="Times New Roman" w:hAnsi="Times New Roman" w:eastAsia="宋体" w:cs="Times New Roman"/>
                      <w:b w:val="0"/>
                      <w:bCs/>
                      <w:color w:val="000000"/>
                      <w:szCs w:val="21"/>
                    </w:rPr>
                  </w:pPr>
                </w:p>
              </w:tc>
              <w:tc>
                <w:tcPr>
                  <w:tcW w:w="2079" w:type="dxa"/>
                  <w:noWrap w:val="0"/>
                  <w:vAlign w:val="center"/>
                </w:tcPr>
                <w:p w14:paraId="1F0D64F4">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砷</w:t>
                  </w:r>
                </w:p>
              </w:tc>
              <w:tc>
                <w:tcPr>
                  <w:tcW w:w="1829" w:type="dxa"/>
                  <w:noWrap w:val="0"/>
                  <w:vAlign w:val="center"/>
                </w:tcPr>
                <w:p w14:paraId="2538EB70">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6</w:t>
                  </w:r>
                  <w:r>
                    <w:rPr>
                      <w:rFonts w:ascii="Times New Roman" w:hAnsi="Times New Roman" w:eastAsia="宋体" w:cs="Times New Roman"/>
                      <w:b w:val="0"/>
                      <w:bCs/>
                      <w:color w:val="000000"/>
                      <w:szCs w:val="21"/>
                    </w:rPr>
                    <w:t>0</w:t>
                  </w:r>
                </w:p>
              </w:tc>
              <w:tc>
                <w:tcPr>
                  <w:tcW w:w="2207" w:type="dxa"/>
                  <w:noWrap w:val="0"/>
                  <w:vAlign w:val="center"/>
                </w:tcPr>
                <w:p w14:paraId="3B1F690F">
                  <w:pPr>
                    <w:jc w:val="center"/>
                    <w:rPr>
                      <w:rFonts w:hint="default" w:ascii="Times New Roman" w:hAnsi="Times New Roman" w:eastAsia="宋体" w:cs="Times New Roman"/>
                      <w:b w:val="0"/>
                      <w:bCs/>
                      <w:color w:val="auto"/>
                      <w:szCs w:val="21"/>
                      <w:lang w:val="en-US" w:eastAsia="zh-CN"/>
                    </w:rPr>
                  </w:pPr>
                </w:p>
              </w:tc>
              <w:tc>
                <w:tcPr>
                  <w:tcW w:w="1223" w:type="dxa"/>
                  <w:noWrap w:val="0"/>
                  <w:vAlign w:val="center"/>
                </w:tcPr>
                <w:p w14:paraId="7A82C843">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达标</w:t>
                  </w:r>
                </w:p>
              </w:tc>
            </w:tr>
            <w:tr w14:paraId="2A7E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442DA084">
                  <w:pPr>
                    <w:jc w:val="center"/>
                    <w:rPr>
                      <w:rFonts w:ascii="Times New Roman" w:hAnsi="Times New Roman" w:eastAsia="宋体" w:cs="Times New Roman"/>
                      <w:b w:val="0"/>
                      <w:bCs/>
                      <w:color w:val="000000"/>
                      <w:szCs w:val="21"/>
                    </w:rPr>
                  </w:pPr>
                </w:p>
              </w:tc>
              <w:tc>
                <w:tcPr>
                  <w:tcW w:w="2079" w:type="dxa"/>
                  <w:noWrap w:val="0"/>
                  <w:vAlign w:val="center"/>
                </w:tcPr>
                <w:p w14:paraId="414331F0">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镉</w:t>
                  </w:r>
                </w:p>
              </w:tc>
              <w:tc>
                <w:tcPr>
                  <w:tcW w:w="1829" w:type="dxa"/>
                  <w:noWrap w:val="0"/>
                  <w:vAlign w:val="center"/>
                </w:tcPr>
                <w:p w14:paraId="76F1F4D0">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6</w:t>
                  </w:r>
                  <w:r>
                    <w:rPr>
                      <w:rFonts w:ascii="Times New Roman" w:hAnsi="Times New Roman" w:eastAsia="宋体" w:cs="Times New Roman"/>
                      <w:b w:val="0"/>
                      <w:bCs/>
                      <w:color w:val="000000"/>
                      <w:szCs w:val="21"/>
                    </w:rPr>
                    <w:t>5</w:t>
                  </w:r>
                </w:p>
              </w:tc>
              <w:tc>
                <w:tcPr>
                  <w:tcW w:w="2207" w:type="dxa"/>
                  <w:noWrap w:val="0"/>
                  <w:vAlign w:val="center"/>
                </w:tcPr>
                <w:p w14:paraId="4A055F62">
                  <w:pPr>
                    <w:jc w:val="center"/>
                    <w:rPr>
                      <w:rFonts w:hint="default" w:ascii="Times New Roman" w:hAnsi="Times New Roman" w:eastAsia="宋体" w:cs="Times New Roman"/>
                      <w:b w:val="0"/>
                      <w:bCs/>
                      <w:color w:val="auto"/>
                      <w:szCs w:val="21"/>
                      <w:lang w:val="en-US" w:eastAsia="zh-CN"/>
                    </w:rPr>
                  </w:pPr>
                </w:p>
              </w:tc>
              <w:tc>
                <w:tcPr>
                  <w:tcW w:w="1223" w:type="dxa"/>
                  <w:noWrap w:val="0"/>
                  <w:vAlign w:val="center"/>
                </w:tcPr>
                <w:p w14:paraId="55D2E604">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达标</w:t>
                  </w:r>
                </w:p>
              </w:tc>
            </w:tr>
            <w:tr w14:paraId="4BDD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61AE805F">
                  <w:pPr>
                    <w:jc w:val="center"/>
                    <w:rPr>
                      <w:rFonts w:ascii="Times New Roman" w:hAnsi="Times New Roman" w:eastAsia="宋体" w:cs="Times New Roman"/>
                      <w:b w:val="0"/>
                      <w:bCs/>
                      <w:color w:val="000000"/>
                      <w:szCs w:val="21"/>
                    </w:rPr>
                  </w:pPr>
                </w:p>
              </w:tc>
              <w:tc>
                <w:tcPr>
                  <w:tcW w:w="2079" w:type="dxa"/>
                  <w:noWrap w:val="0"/>
                  <w:vAlign w:val="center"/>
                </w:tcPr>
                <w:p w14:paraId="5360E4B7">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铬（六价）</w:t>
                  </w:r>
                </w:p>
              </w:tc>
              <w:tc>
                <w:tcPr>
                  <w:tcW w:w="1829" w:type="dxa"/>
                  <w:noWrap w:val="0"/>
                  <w:vAlign w:val="center"/>
                </w:tcPr>
                <w:p w14:paraId="74D382C0">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5</w:t>
                  </w:r>
                  <w:r>
                    <w:rPr>
                      <w:rFonts w:ascii="Times New Roman" w:hAnsi="Times New Roman" w:eastAsia="宋体" w:cs="Times New Roman"/>
                      <w:b w:val="0"/>
                      <w:bCs/>
                      <w:color w:val="000000"/>
                      <w:szCs w:val="21"/>
                    </w:rPr>
                    <w:t>.7</w:t>
                  </w:r>
                </w:p>
              </w:tc>
              <w:tc>
                <w:tcPr>
                  <w:tcW w:w="2207" w:type="dxa"/>
                  <w:noWrap w:val="0"/>
                  <w:vAlign w:val="center"/>
                </w:tcPr>
                <w:p w14:paraId="2698434D">
                  <w:pPr>
                    <w:jc w:val="center"/>
                    <w:rPr>
                      <w:rFonts w:hint="eastAsia" w:ascii="Times New Roman" w:hAnsi="Times New Roman" w:eastAsia="宋体" w:cs="Times New Roman"/>
                      <w:b w:val="0"/>
                      <w:bCs/>
                      <w:color w:val="auto"/>
                      <w:szCs w:val="21"/>
                      <w:lang w:eastAsia="zh-CN"/>
                    </w:rPr>
                  </w:pPr>
                </w:p>
              </w:tc>
              <w:tc>
                <w:tcPr>
                  <w:tcW w:w="1223" w:type="dxa"/>
                  <w:noWrap w:val="0"/>
                  <w:vAlign w:val="center"/>
                </w:tcPr>
                <w:p w14:paraId="3A6A9BC2">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达标</w:t>
                  </w:r>
                </w:p>
              </w:tc>
            </w:tr>
            <w:tr w14:paraId="0167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4701153D">
                  <w:pPr>
                    <w:jc w:val="center"/>
                    <w:rPr>
                      <w:rFonts w:ascii="Times New Roman" w:hAnsi="Times New Roman" w:eastAsia="宋体" w:cs="Times New Roman"/>
                      <w:b w:val="0"/>
                      <w:bCs/>
                      <w:color w:val="000000"/>
                      <w:szCs w:val="21"/>
                    </w:rPr>
                  </w:pPr>
                </w:p>
              </w:tc>
              <w:tc>
                <w:tcPr>
                  <w:tcW w:w="2079" w:type="dxa"/>
                  <w:noWrap w:val="0"/>
                  <w:vAlign w:val="center"/>
                </w:tcPr>
                <w:p w14:paraId="65C8F937">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铜</w:t>
                  </w:r>
                </w:p>
              </w:tc>
              <w:tc>
                <w:tcPr>
                  <w:tcW w:w="1829" w:type="dxa"/>
                  <w:noWrap w:val="0"/>
                  <w:vAlign w:val="center"/>
                </w:tcPr>
                <w:p w14:paraId="68A3DC31">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1</w:t>
                  </w:r>
                  <w:r>
                    <w:rPr>
                      <w:rFonts w:ascii="Times New Roman" w:hAnsi="Times New Roman" w:eastAsia="宋体" w:cs="Times New Roman"/>
                      <w:b w:val="0"/>
                      <w:bCs/>
                      <w:color w:val="000000"/>
                      <w:szCs w:val="21"/>
                    </w:rPr>
                    <w:t>8000</w:t>
                  </w:r>
                </w:p>
              </w:tc>
              <w:tc>
                <w:tcPr>
                  <w:tcW w:w="2207" w:type="dxa"/>
                  <w:noWrap w:val="0"/>
                  <w:vAlign w:val="center"/>
                </w:tcPr>
                <w:p w14:paraId="748C0208">
                  <w:pPr>
                    <w:jc w:val="center"/>
                    <w:rPr>
                      <w:rFonts w:hint="default" w:ascii="Times New Roman" w:hAnsi="Times New Roman" w:eastAsia="宋体" w:cs="Times New Roman"/>
                      <w:b w:val="0"/>
                      <w:bCs/>
                      <w:color w:val="auto"/>
                      <w:szCs w:val="21"/>
                      <w:lang w:val="en-US" w:eastAsia="zh-CN"/>
                    </w:rPr>
                  </w:pPr>
                </w:p>
              </w:tc>
              <w:tc>
                <w:tcPr>
                  <w:tcW w:w="1223" w:type="dxa"/>
                  <w:noWrap w:val="0"/>
                  <w:vAlign w:val="center"/>
                </w:tcPr>
                <w:p w14:paraId="550637DB">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达标</w:t>
                  </w:r>
                </w:p>
              </w:tc>
            </w:tr>
            <w:tr w14:paraId="58B4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3AAAB20D">
                  <w:pPr>
                    <w:jc w:val="center"/>
                    <w:rPr>
                      <w:rFonts w:ascii="Times New Roman" w:hAnsi="Times New Roman" w:eastAsia="宋体" w:cs="Times New Roman"/>
                      <w:b w:val="0"/>
                      <w:bCs/>
                      <w:color w:val="000000"/>
                      <w:szCs w:val="21"/>
                    </w:rPr>
                  </w:pPr>
                </w:p>
              </w:tc>
              <w:tc>
                <w:tcPr>
                  <w:tcW w:w="2079" w:type="dxa"/>
                  <w:noWrap w:val="0"/>
                  <w:vAlign w:val="center"/>
                </w:tcPr>
                <w:p w14:paraId="523BE9DC">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铅</w:t>
                  </w:r>
                </w:p>
              </w:tc>
              <w:tc>
                <w:tcPr>
                  <w:tcW w:w="1829" w:type="dxa"/>
                  <w:noWrap w:val="0"/>
                  <w:vAlign w:val="center"/>
                </w:tcPr>
                <w:p w14:paraId="6001C34B">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8</w:t>
                  </w:r>
                  <w:r>
                    <w:rPr>
                      <w:rFonts w:ascii="Times New Roman" w:hAnsi="Times New Roman" w:eastAsia="宋体" w:cs="Times New Roman"/>
                      <w:b w:val="0"/>
                      <w:bCs/>
                      <w:color w:val="000000"/>
                      <w:szCs w:val="21"/>
                    </w:rPr>
                    <w:t>00</w:t>
                  </w:r>
                </w:p>
              </w:tc>
              <w:tc>
                <w:tcPr>
                  <w:tcW w:w="2207" w:type="dxa"/>
                  <w:noWrap w:val="0"/>
                  <w:vAlign w:val="center"/>
                </w:tcPr>
                <w:p w14:paraId="3505BBBA">
                  <w:pPr>
                    <w:jc w:val="center"/>
                    <w:rPr>
                      <w:rFonts w:hint="default" w:ascii="Times New Roman" w:hAnsi="Times New Roman" w:eastAsia="宋体" w:cs="Times New Roman"/>
                      <w:b w:val="0"/>
                      <w:bCs/>
                      <w:color w:val="auto"/>
                      <w:szCs w:val="21"/>
                      <w:lang w:val="en-US" w:eastAsia="zh-CN"/>
                    </w:rPr>
                  </w:pPr>
                </w:p>
              </w:tc>
              <w:tc>
                <w:tcPr>
                  <w:tcW w:w="1223" w:type="dxa"/>
                  <w:noWrap w:val="0"/>
                  <w:vAlign w:val="center"/>
                </w:tcPr>
                <w:p w14:paraId="43BB1BCE">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达标</w:t>
                  </w:r>
                </w:p>
              </w:tc>
            </w:tr>
            <w:tr w14:paraId="4C40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0CA070F2">
                  <w:pPr>
                    <w:jc w:val="center"/>
                    <w:rPr>
                      <w:rFonts w:ascii="Times New Roman" w:hAnsi="Times New Roman" w:eastAsia="宋体" w:cs="Times New Roman"/>
                      <w:b w:val="0"/>
                      <w:bCs/>
                      <w:color w:val="000000"/>
                      <w:szCs w:val="21"/>
                    </w:rPr>
                  </w:pPr>
                </w:p>
              </w:tc>
              <w:tc>
                <w:tcPr>
                  <w:tcW w:w="2079" w:type="dxa"/>
                  <w:noWrap w:val="0"/>
                  <w:vAlign w:val="center"/>
                </w:tcPr>
                <w:p w14:paraId="0265984A">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汞</w:t>
                  </w:r>
                </w:p>
              </w:tc>
              <w:tc>
                <w:tcPr>
                  <w:tcW w:w="1829" w:type="dxa"/>
                  <w:noWrap w:val="0"/>
                  <w:vAlign w:val="center"/>
                </w:tcPr>
                <w:p w14:paraId="378EB92C">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3</w:t>
                  </w:r>
                  <w:r>
                    <w:rPr>
                      <w:rFonts w:ascii="Times New Roman" w:hAnsi="Times New Roman" w:eastAsia="宋体" w:cs="Times New Roman"/>
                      <w:b w:val="0"/>
                      <w:bCs/>
                      <w:color w:val="000000"/>
                      <w:szCs w:val="21"/>
                    </w:rPr>
                    <w:t>8</w:t>
                  </w:r>
                </w:p>
              </w:tc>
              <w:tc>
                <w:tcPr>
                  <w:tcW w:w="2207" w:type="dxa"/>
                  <w:noWrap w:val="0"/>
                  <w:vAlign w:val="center"/>
                </w:tcPr>
                <w:p w14:paraId="4F9C306D">
                  <w:pPr>
                    <w:jc w:val="center"/>
                    <w:rPr>
                      <w:rFonts w:hint="default" w:ascii="Times New Roman" w:hAnsi="Times New Roman" w:eastAsia="宋体" w:cs="Times New Roman"/>
                      <w:b w:val="0"/>
                      <w:bCs/>
                      <w:color w:val="auto"/>
                      <w:szCs w:val="21"/>
                      <w:lang w:val="en-US" w:eastAsia="zh-CN"/>
                    </w:rPr>
                  </w:pPr>
                </w:p>
              </w:tc>
              <w:tc>
                <w:tcPr>
                  <w:tcW w:w="1223" w:type="dxa"/>
                  <w:noWrap w:val="0"/>
                  <w:vAlign w:val="center"/>
                </w:tcPr>
                <w:p w14:paraId="2C47F4F9">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达标</w:t>
                  </w:r>
                </w:p>
              </w:tc>
            </w:tr>
            <w:tr w14:paraId="74D2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0973BE5A">
                  <w:pPr>
                    <w:jc w:val="center"/>
                    <w:rPr>
                      <w:rFonts w:ascii="Times New Roman" w:hAnsi="Times New Roman" w:eastAsia="宋体" w:cs="Times New Roman"/>
                      <w:b w:val="0"/>
                      <w:bCs/>
                      <w:color w:val="000000"/>
                      <w:szCs w:val="21"/>
                    </w:rPr>
                  </w:pPr>
                </w:p>
              </w:tc>
              <w:tc>
                <w:tcPr>
                  <w:tcW w:w="2079" w:type="dxa"/>
                  <w:noWrap w:val="0"/>
                  <w:vAlign w:val="center"/>
                </w:tcPr>
                <w:p w14:paraId="581F9E28">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镍</w:t>
                  </w:r>
                </w:p>
              </w:tc>
              <w:tc>
                <w:tcPr>
                  <w:tcW w:w="1829" w:type="dxa"/>
                  <w:noWrap w:val="0"/>
                  <w:vAlign w:val="center"/>
                </w:tcPr>
                <w:p w14:paraId="2436642C">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9</w:t>
                  </w:r>
                  <w:r>
                    <w:rPr>
                      <w:rFonts w:ascii="Times New Roman" w:hAnsi="Times New Roman" w:eastAsia="宋体" w:cs="Times New Roman"/>
                      <w:b w:val="0"/>
                      <w:bCs/>
                      <w:color w:val="000000"/>
                      <w:szCs w:val="21"/>
                    </w:rPr>
                    <w:t>00</w:t>
                  </w:r>
                </w:p>
              </w:tc>
              <w:tc>
                <w:tcPr>
                  <w:tcW w:w="2207" w:type="dxa"/>
                  <w:noWrap w:val="0"/>
                  <w:vAlign w:val="center"/>
                </w:tcPr>
                <w:p w14:paraId="620A6B5A">
                  <w:pPr>
                    <w:jc w:val="center"/>
                    <w:rPr>
                      <w:rFonts w:hint="default" w:ascii="Times New Roman" w:hAnsi="Times New Roman" w:eastAsia="宋体" w:cs="Times New Roman"/>
                      <w:b w:val="0"/>
                      <w:bCs/>
                      <w:color w:val="auto"/>
                      <w:szCs w:val="21"/>
                      <w:lang w:val="en-US" w:eastAsia="zh-CN"/>
                    </w:rPr>
                  </w:pPr>
                </w:p>
              </w:tc>
              <w:tc>
                <w:tcPr>
                  <w:tcW w:w="1223" w:type="dxa"/>
                  <w:noWrap w:val="0"/>
                  <w:vAlign w:val="center"/>
                </w:tcPr>
                <w:p w14:paraId="3EC69094">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达标</w:t>
                  </w:r>
                </w:p>
              </w:tc>
            </w:tr>
            <w:tr w14:paraId="4B90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066AD4C1">
                  <w:pPr>
                    <w:jc w:val="center"/>
                    <w:rPr>
                      <w:rFonts w:ascii="Times New Roman" w:hAnsi="Times New Roman" w:eastAsia="宋体" w:cs="Times New Roman"/>
                      <w:b w:val="0"/>
                      <w:bCs/>
                      <w:color w:val="000000"/>
                      <w:szCs w:val="21"/>
                    </w:rPr>
                  </w:pPr>
                </w:p>
              </w:tc>
              <w:tc>
                <w:tcPr>
                  <w:tcW w:w="2079" w:type="dxa"/>
                  <w:noWrap w:val="0"/>
                  <w:vAlign w:val="center"/>
                </w:tcPr>
                <w:p w14:paraId="5EA278CC">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四氯化碳</w:t>
                  </w:r>
                </w:p>
              </w:tc>
              <w:tc>
                <w:tcPr>
                  <w:tcW w:w="1829" w:type="dxa"/>
                  <w:noWrap w:val="0"/>
                  <w:vAlign w:val="center"/>
                </w:tcPr>
                <w:p w14:paraId="3B90B8F2">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2</w:t>
                  </w:r>
                  <w:r>
                    <w:rPr>
                      <w:rFonts w:ascii="Times New Roman" w:hAnsi="Times New Roman" w:eastAsia="宋体" w:cs="Times New Roman"/>
                      <w:b w:val="0"/>
                      <w:bCs/>
                      <w:color w:val="000000"/>
                      <w:szCs w:val="21"/>
                    </w:rPr>
                    <w:t>.8</w:t>
                  </w:r>
                </w:p>
              </w:tc>
              <w:tc>
                <w:tcPr>
                  <w:tcW w:w="2207" w:type="dxa"/>
                  <w:noWrap w:val="0"/>
                  <w:vAlign w:val="center"/>
                </w:tcPr>
                <w:p w14:paraId="368AA24E">
                  <w:pPr>
                    <w:jc w:val="center"/>
                    <w:rPr>
                      <w:rFonts w:ascii="Times New Roman" w:hAnsi="Times New Roman" w:eastAsia="宋体" w:cs="Times New Roman"/>
                      <w:b w:val="0"/>
                      <w:bCs/>
                      <w:color w:val="000000"/>
                      <w:szCs w:val="21"/>
                    </w:rPr>
                  </w:pPr>
                </w:p>
              </w:tc>
              <w:tc>
                <w:tcPr>
                  <w:tcW w:w="1223" w:type="dxa"/>
                  <w:noWrap w:val="0"/>
                  <w:vAlign w:val="center"/>
                </w:tcPr>
                <w:p w14:paraId="0B7ECBF5">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达标</w:t>
                  </w:r>
                </w:p>
              </w:tc>
            </w:tr>
            <w:tr w14:paraId="4940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5B690286">
                  <w:pPr>
                    <w:jc w:val="center"/>
                    <w:rPr>
                      <w:rFonts w:ascii="Times New Roman" w:hAnsi="Times New Roman" w:eastAsia="宋体" w:cs="Times New Roman"/>
                      <w:b w:val="0"/>
                      <w:bCs/>
                      <w:color w:val="000000"/>
                      <w:szCs w:val="21"/>
                    </w:rPr>
                  </w:pPr>
                </w:p>
              </w:tc>
              <w:tc>
                <w:tcPr>
                  <w:tcW w:w="2079" w:type="dxa"/>
                  <w:noWrap w:val="0"/>
                  <w:vAlign w:val="center"/>
                </w:tcPr>
                <w:p w14:paraId="50EE54C1">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氯仿</w:t>
                  </w:r>
                </w:p>
              </w:tc>
              <w:tc>
                <w:tcPr>
                  <w:tcW w:w="1829" w:type="dxa"/>
                  <w:noWrap w:val="0"/>
                  <w:vAlign w:val="center"/>
                </w:tcPr>
                <w:p w14:paraId="6A74B071">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0</w:t>
                  </w:r>
                  <w:r>
                    <w:rPr>
                      <w:rFonts w:ascii="Times New Roman" w:hAnsi="Times New Roman" w:eastAsia="宋体" w:cs="Times New Roman"/>
                      <w:b w:val="0"/>
                      <w:bCs/>
                      <w:color w:val="000000"/>
                      <w:szCs w:val="21"/>
                    </w:rPr>
                    <w:t>.9</w:t>
                  </w:r>
                </w:p>
              </w:tc>
              <w:tc>
                <w:tcPr>
                  <w:tcW w:w="2207" w:type="dxa"/>
                  <w:noWrap w:val="0"/>
                  <w:vAlign w:val="center"/>
                </w:tcPr>
                <w:p w14:paraId="435A5028">
                  <w:pPr>
                    <w:jc w:val="center"/>
                    <w:rPr>
                      <w:rFonts w:ascii="Times New Roman" w:hAnsi="Times New Roman" w:eastAsia="宋体" w:cs="Times New Roman"/>
                      <w:b w:val="0"/>
                      <w:bCs/>
                      <w:color w:val="000000"/>
                      <w:szCs w:val="21"/>
                    </w:rPr>
                  </w:pPr>
                </w:p>
              </w:tc>
              <w:tc>
                <w:tcPr>
                  <w:tcW w:w="1223" w:type="dxa"/>
                  <w:noWrap w:val="0"/>
                  <w:vAlign w:val="center"/>
                </w:tcPr>
                <w:p w14:paraId="54B304C7">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达标</w:t>
                  </w:r>
                </w:p>
              </w:tc>
            </w:tr>
            <w:tr w14:paraId="5A2D9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4812E998">
                  <w:pPr>
                    <w:jc w:val="center"/>
                    <w:rPr>
                      <w:rFonts w:ascii="Times New Roman" w:hAnsi="Times New Roman" w:eastAsia="宋体" w:cs="Times New Roman"/>
                      <w:b w:val="0"/>
                      <w:bCs/>
                      <w:color w:val="000000"/>
                      <w:szCs w:val="21"/>
                    </w:rPr>
                  </w:pPr>
                </w:p>
              </w:tc>
              <w:tc>
                <w:tcPr>
                  <w:tcW w:w="2079" w:type="dxa"/>
                  <w:noWrap w:val="0"/>
                  <w:vAlign w:val="center"/>
                </w:tcPr>
                <w:p w14:paraId="12FE97CD">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氯甲烷</w:t>
                  </w:r>
                </w:p>
              </w:tc>
              <w:tc>
                <w:tcPr>
                  <w:tcW w:w="1829" w:type="dxa"/>
                  <w:noWrap w:val="0"/>
                  <w:vAlign w:val="center"/>
                </w:tcPr>
                <w:p w14:paraId="126BD101">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3</w:t>
                  </w:r>
                  <w:r>
                    <w:rPr>
                      <w:rFonts w:ascii="Times New Roman" w:hAnsi="Times New Roman" w:eastAsia="宋体" w:cs="Times New Roman"/>
                      <w:b w:val="0"/>
                      <w:bCs/>
                      <w:color w:val="000000"/>
                      <w:szCs w:val="21"/>
                    </w:rPr>
                    <w:t>7</w:t>
                  </w:r>
                </w:p>
              </w:tc>
              <w:tc>
                <w:tcPr>
                  <w:tcW w:w="2207" w:type="dxa"/>
                  <w:noWrap w:val="0"/>
                  <w:vAlign w:val="center"/>
                </w:tcPr>
                <w:p w14:paraId="6C365906">
                  <w:pPr>
                    <w:jc w:val="center"/>
                    <w:rPr>
                      <w:rFonts w:ascii="Times New Roman" w:hAnsi="Times New Roman" w:eastAsia="宋体" w:cs="Times New Roman"/>
                      <w:b w:val="0"/>
                      <w:bCs/>
                      <w:color w:val="000000"/>
                      <w:szCs w:val="21"/>
                    </w:rPr>
                  </w:pPr>
                </w:p>
              </w:tc>
              <w:tc>
                <w:tcPr>
                  <w:tcW w:w="1223" w:type="dxa"/>
                  <w:noWrap w:val="0"/>
                  <w:vAlign w:val="center"/>
                </w:tcPr>
                <w:p w14:paraId="3EB3FB18">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达标</w:t>
                  </w:r>
                </w:p>
              </w:tc>
            </w:tr>
            <w:tr w14:paraId="0E75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5AAFEA47">
                  <w:pPr>
                    <w:jc w:val="center"/>
                    <w:rPr>
                      <w:rFonts w:ascii="Times New Roman" w:hAnsi="Times New Roman" w:eastAsia="宋体" w:cs="Times New Roman"/>
                      <w:b w:val="0"/>
                      <w:bCs/>
                      <w:color w:val="000000"/>
                      <w:szCs w:val="21"/>
                    </w:rPr>
                  </w:pPr>
                </w:p>
              </w:tc>
              <w:tc>
                <w:tcPr>
                  <w:tcW w:w="2079" w:type="dxa"/>
                  <w:noWrap w:val="0"/>
                  <w:vAlign w:val="center"/>
                </w:tcPr>
                <w:p w14:paraId="68412B86">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1,</w:t>
                  </w:r>
                  <w:r>
                    <w:rPr>
                      <w:rFonts w:ascii="Times New Roman" w:hAnsi="Times New Roman" w:eastAsia="宋体" w:cs="Times New Roman"/>
                      <w:b w:val="0"/>
                      <w:bCs/>
                      <w:color w:val="000000"/>
                      <w:szCs w:val="21"/>
                    </w:rPr>
                    <w:t>1</w:t>
                  </w:r>
                  <w:r>
                    <w:rPr>
                      <w:rFonts w:hint="eastAsia" w:ascii="Times New Roman" w:hAnsi="Times New Roman" w:eastAsia="宋体" w:cs="Times New Roman"/>
                      <w:b w:val="0"/>
                      <w:bCs/>
                      <w:color w:val="000000"/>
                      <w:szCs w:val="21"/>
                    </w:rPr>
                    <w:t>-二氯乙烷</w:t>
                  </w:r>
                </w:p>
              </w:tc>
              <w:tc>
                <w:tcPr>
                  <w:tcW w:w="1829" w:type="dxa"/>
                  <w:noWrap w:val="0"/>
                  <w:vAlign w:val="center"/>
                </w:tcPr>
                <w:p w14:paraId="54686AF4">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9</w:t>
                  </w:r>
                </w:p>
              </w:tc>
              <w:tc>
                <w:tcPr>
                  <w:tcW w:w="2207" w:type="dxa"/>
                  <w:noWrap w:val="0"/>
                  <w:vAlign w:val="center"/>
                </w:tcPr>
                <w:p w14:paraId="50739820">
                  <w:pPr>
                    <w:jc w:val="center"/>
                    <w:rPr>
                      <w:rFonts w:ascii="Times New Roman" w:hAnsi="Times New Roman" w:eastAsia="宋体" w:cs="Times New Roman"/>
                      <w:b w:val="0"/>
                      <w:bCs/>
                      <w:color w:val="000000"/>
                      <w:szCs w:val="21"/>
                    </w:rPr>
                  </w:pPr>
                </w:p>
              </w:tc>
              <w:tc>
                <w:tcPr>
                  <w:tcW w:w="1223" w:type="dxa"/>
                  <w:noWrap w:val="0"/>
                  <w:vAlign w:val="center"/>
                </w:tcPr>
                <w:p w14:paraId="137A2316">
                  <w:pPr>
                    <w:jc w:val="center"/>
                    <w:rPr>
                      <w:rFonts w:ascii="Times New Roman" w:hAnsi="Times New Roman" w:eastAsia="宋体" w:cs="Times New Roman"/>
                      <w:b w:val="0"/>
                      <w:bCs/>
                      <w:color w:val="000000"/>
                      <w:szCs w:val="21"/>
                    </w:rPr>
                  </w:pPr>
                  <w:r>
                    <w:rPr>
                      <w:rFonts w:hint="eastAsia" w:ascii="Times New Roman" w:hAnsi="Times New Roman" w:eastAsia="宋体" w:cs="Times New Roman"/>
                      <w:b w:val="0"/>
                      <w:bCs/>
                      <w:color w:val="000000"/>
                      <w:szCs w:val="21"/>
                    </w:rPr>
                    <w:t>达标</w:t>
                  </w:r>
                </w:p>
              </w:tc>
            </w:tr>
            <w:tr w14:paraId="68E8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319E8B12">
                  <w:pPr>
                    <w:jc w:val="center"/>
                    <w:rPr>
                      <w:rFonts w:ascii="Times New Roman" w:hAnsi="Times New Roman" w:eastAsia="宋体" w:cs="Times New Roman"/>
                      <w:color w:val="000000"/>
                      <w:szCs w:val="21"/>
                    </w:rPr>
                  </w:pPr>
                </w:p>
              </w:tc>
              <w:tc>
                <w:tcPr>
                  <w:tcW w:w="2079" w:type="dxa"/>
                  <w:noWrap w:val="0"/>
                  <w:vAlign w:val="center"/>
                </w:tcPr>
                <w:p w14:paraId="44C80362">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-二氯乙烷</w:t>
                  </w:r>
                </w:p>
              </w:tc>
              <w:tc>
                <w:tcPr>
                  <w:tcW w:w="1829" w:type="dxa"/>
                  <w:noWrap w:val="0"/>
                  <w:vAlign w:val="center"/>
                </w:tcPr>
                <w:p w14:paraId="12FB8731">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w:t>
                  </w:r>
                </w:p>
              </w:tc>
              <w:tc>
                <w:tcPr>
                  <w:tcW w:w="2207" w:type="dxa"/>
                  <w:noWrap w:val="0"/>
                  <w:vAlign w:val="center"/>
                </w:tcPr>
                <w:p w14:paraId="55F68BF6">
                  <w:pPr>
                    <w:jc w:val="center"/>
                    <w:rPr>
                      <w:rFonts w:ascii="Times New Roman" w:hAnsi="Times New Roman" w:eastAsia="宋体" w:cs="Times New Roman"/>
                      <w:color w:val="000000"/>
                      <w:szCs w:val="21"/>
                    </w:rPr>
                  </w:pPr>
                </w:p>
              </w:tc>
              <w:tc>
                <w:tcPr>
                  <w:tcW w:w="1223" w:type="dxa"/>
                  <w:noWrap w:val="0"/>
                  <w:vAlign w:val="center"/>
                </w:tcPr>
                <w:p w14:paraId="74B3500B">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5B3E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122138F3">
                  <w:pPr>
                    <w:jc w:val="center"/>
                    <w:rPr>
                      <w:rFonts w:ascii="Times New Roman" w:hAnsi="Times New Roman" w:eastAsia="宋体" w:cs="Times New Roman"/>
                      <w:color w:val="000000"/>
                      <w:szCs w:val="21"/>
                    </w:rPr>
                  </w:pPr>
                </w:p>
              </w:tc>
              <w:tc>
                <w:tcPr>
                  <w:tcW w:w="2079" w:type="dxa"/>
                  <w:noWrap w:val="0"/>
                  <w:vAlign w:val="center"/>
                </w:tcPr>
                <w:p w14:paraId="045D842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-二氯乙烯</w:t>
                  </w:r>
                </w:p>
              </w:tc>
              <w:tc>
                <w:tcPr>
                  <w:tcW w:w="1829" w:type="dxa"/>
                  <w:noWrap w:val="0"/>
                  <w:vAlign w:val="center"/>
                </w:tcPr>
                <w:p w14:paraId="7040CDD5">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6</w:t>
                  </w:r>
                  <w:r>
                    <w:rPr>
                      <w:rFonts w:ascii="Times New Roman" w:hAnsi="Times New Roman" w:eastAsia="宋体" w:cs="Times New Roman"/>
                      <w:color w:val="000000"/>
                      <w:szCs w:val="21"/>
                    </w:rPr>
                    <w:t>6</w:t>
                  </w:r>
                </w:p>
              </w:tc>
              <w:tc>
                <w:tcPr>
                  <w:tcW w:w="2207" w:type="dxa"/>
                  <w:noWrap w:val="0"/>
                  <w:vAlign w:val="center"/>
                </w:tcPr>
                <w:p w14:paraId="0B43EC79">
                  <w:pPr>
                    <w:jc w:val="center"/>
                    <w:rPr>
                      <w:rFonts w:ascii="Times New Roman" w:hAnsi="Times New Roman" w:eastAsia="宋体" w:cs="Times New Roman"/>
                      <w:color w:val="000000"/>
                      <w:szCs w:val="21"/>
                    </w:rPr>
                  </w:pPr>
                </w:p>
              </w:tc>
              <w:tc>
                <w:tcPr>
                  <w:tcW w:w="1223" w:type="dxa"/>
                  <w:noWrap w:val="0"/>
                  <w:vAlign w:val="center"/>
                </w:tcPr>
                <w:p w14:paraId="16FAD96B">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0480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4B99FF31">
                  <w:pPr>
                    <w:jc w:val="center"/>
                    <w:rPr>
                      <w:rFonts w:ascii="Times New Roman" w:hAnsi="Times New Roman" w:eastAsia="宋体" w:cs="Times New Roman"/>
                      <w:color w:val="000000"/>
                      <w:szCs w:val="21"/>
                    </w:rPr>
                  </w:pPr>
                </w:p>
              </w:tc>
              <w:tc>
                <w:tcPr>
                  <w:tcW w:w="2079" w:type="dxa"/>
                  <w:noWrap w:val="0"/>
                  <w:vAlign w:val="center"/>
                </w:tcPr>
                <w:p w14:paraId="06FC1830">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顺-</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-二氯乙烯</w:t>
                  </w:r>
                </w:p>
              </w:tc>
              <w:tc>
                <w:tcPr>
                  <w:tcW w:w="1829" w:type="dxa"/>
                  <w:noWrap w:val="0"/>
                  <w:vAlign w:val="center"/>
                </w:tcPr>
                <w:p w14:paraId="58F9487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w:t>
                  </w:r>
                  <w:r>
                    <w:rPr>
                      <w:rFonts w:ascii="Times New Roman" w:hAnsi="Times New Roman" w:eastAsia="宋体" w:cs="Times New Roman"/>
                      <w:color w:val="000000"/>
                      <w:szCs w:val="21"/>
                    </w:rPr>
                    <w:t>96</w:t>
                  </w:r>
                </w:p>
              </w:tc>
              <w:tc>
                <w:tcPr>
                  <w:tcW w:w="2207" w:type="dxa"/>
                  <w:noWrap w:val="0"/>
                  <w:vAlign w:val="center"/>
                </w:tcPr>
                <w:p w14:paraId="28E80670">
                  <w:pPr>
                    <w:jc w:val="center"/>
                    <w:rPr>
                      <w:rFonts w:ascii="Times New Roman" w:hAnsi="Times New Roman" w:eastAsia="宋体" w:cs="Times New Roman"/>
                      <w:color w:val="000000"/>
                      <w:szCs w:val="21"/>
                    </w:rPr>
                  </w:pPr>
                </w:p>
              </w:tc>
              <w:tc>
                <w:tcPr>
                  <w:tcW w:w="1223" w:type="dxa"/>
                  <w:noWrap w:val="0"/>
                  <w:vAlign w:val="center"/>
                </w:tcPr>
                <w:p w14:paraId="7D1DFFC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05D7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302291CE">
                  <w:pPr>
                    <w:jc w:val="center"/>
                    <w:rPr>
                      <w:rFonts w:ascii="Times New Roman" w:hAnsi="Times New Roman" w:eastAsia="宋体" w:cs="Times New Roman"/>
                      <w:color w:val="000000"/>
                      <w:szCs w:val="21"/>
                    </w:rPr>
                  </w:pPr>
                </w:p>
              </w:tc>
              <w:tc>
                <w:tcPr>
                  <w:tcW w:w="2079" w:type="dxa"/>
                  <w:noWrap w:val="0"/>
                  <w:vAlign w:val="center"/>
                </w:tcPr>
                <w:p w14:paraId="76CC4D0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反-</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-二氯乙烯</w:t>
                  </w:r>
                </w:p>
              </w:tc>
              <w:tc>
                <w:tcPr>
                  <w:tcW w:w="1829" w:type="dxa"/>
                  <w:noWrap w:val="0"/>
                  <w:vAlign w:val="center"/>
                </w:tcPr>
                <w:p w14:paraId="19E49AD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w:t>
                  </w:r>
                  <w:r>
                    <w:rPr>
                      <w:rFonts w:ascii="Times New Roman" w:hAnsi="Times New Roman" w:eastAsia="宋体" w:cs="Times New Roman"/>
                      <w:color w:val="000000"/>
                      <w:szCs w:val="21"/>
                    </w:rPr>
                    <w:t>4</w:t>
                  </w:r>
                </w:p>
              </w:tc>
              <w:tc>
                <w:tcPr>
                  <w:tcW w:w="2207" w:type="dxa"/>
                  <w:noWrap w:val="0"/>
                  <w:vAlign w:val="center"/>
                </w:tcPr>
                <w:p w14:paraId="1939186F">
                  <w:pPr>
                    <w:jc w:val="center"/>
                    <w:rPr>
                      <w:rFonts w:ascii="Times New Roman" w:hAnsi="Times New Roman" w:eastAsia="宋体" w:cs="Times New Roman"/>
                      <w:color w:val="000000"/>
                      <w:szCs w:val="21"/>
                    </w:rPr>
                  </w:pPr>
                </w:p>
              </w:tc>
              <w:tc>
                <w:tcPr>
                  <w:tcW w:w="1223" w:type="dxa"/>
                  <w:noWrap w:val="0"/>
                  <w:vAlign w:val="center"/>
                </w:tcPr>
                <w:p w14:paraId="31CBDE7D">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5E7C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06684207">
                  <w:pPr>
                    <w:jc w:val="center"/>
                    <w:rPr>
                      <w:rFonts w:ascii="Times New Roman" w:hAnsi="Times New Roman" w:eastAsia="宋体" w:cs="Times New Roman"/>
                      <w:color w:val="000000"/>
                      <w:szCs w:val="21"/>
                    </w:rPr>
                  </w:pPr>
                </w:p>
              </w:tc>
              <w:tc>
                <w:tcPr>
                  <w:tcW w:w="2079" w:type="dxa"/>
                  <w:noWrap w:val="0"/>
                  <w:vAlign w:val="center"/>
                </w:tcPr>
                <w:p w14:paraId="69BDF15A">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二氯甲烷</w:t>
                  </w:r>
                </w:p>
              </w:tc>
              <w:tc>
                <w:tcPr>
                  <w:tcW w:w="1829" w:type="dxa"/>
                  <w:noWrap w:val="0"/>
                  <w:vAlign w:val="center"/>
                </w:tcPr>
                <w:p w14:paraId="004D07B9">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6</w:t>
                  </w:r>
                  <w:r>
                    <w:rPr>
                      <w:rFonts w:ascii="Times New Roman" w:hAnsi="Times New Roman" w:eastAsia="宋体" w:cs="Times New Roman"/>
                      <w:color w:val="000000"/>
                      <w:szCs w:val="21"/>
                    </w:rPr>
                    <w:t>16</w:t>
                  </w:r>
                </w:p>
              </w:tc>
              <w:tc>
                <w:tcPr>
                  <w:tcW w:w="2207" w:type="dxa"/>
                  <w:noWrap w:val="0"/>
                  <w:vAlign w:val="center"/>
                </w:tcPr>
                <w:p w14:paraId="417062CA">
                  <w:pPr>
                    <w:jc w:val="center"/>
                    <w:rPr>
                      <w:rFonts w:hint="default" w:ascii="Times New Roman" w:hAnsi="Times New Roman" w:eastAsia="宋体" w:cs="Times New Roman"/>
                      <w:color w:val="000000"/>
                      <w:szCs w:val="21"/>
                      <w:lang w:val="en-US" w:eastAsia="zh-CN"/>
                    </w:rPr>
                  </w:pPr>
                </w:p>
              </w:tc>
              <w:tc>
                <w:tcPr>
                  <w:tcW w:w="1223" w:type="dxa"/>
                  <w:noWrap w:val="0"/>
                  <w:vAlign w:val="center"/>
                </w:tcPr>
                <w:p w14:paraId="2ADBEB8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5BE0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4A22D41B">
                  <w:pPr>
                    <w:jc w:val="center"/>
                    <w:rPr>
                      <w:rFonts w:ascii="Times New Roman" w:hAnsi="Times New Roman" w:eastAsia="宋体" w:cs="Times New Roman"/>
                      <w:color w:val="000000"/>
                      <w:szCs w:val="21"/>
                    </w:rPr>
                  </w:pPr>
                </w:p>
              </w:tc>
              <w:tc>
                <w:tcPr>
                  <w:tcW w:w="2079" w:type="dxa"/>
                  <w:noWrap w:val="0"/>
                  <w:vAlign w:val="center"/>
                </w:tcPr>
                <w:p w14:paraId="473A834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-二氯丙烷</w:t>
                  </w:r>
                </w:p>
              </w:tc>
              <w:tc>
                <w:tcPr>
                  <w:tcW w:w="1829" w:type="dxa"/>
                  <w:noWrap w:val="0"/>
                  <w:vAlign w:val="center"/>
                </w:tcPr>
                <w:p w14:paraId="0959F750">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w:t>
                  </w:r>
                </w:p>
              </w:tc>
              <w:tc>
                <w:tcPr>
                  <w:tcW w:w="2207" w:type="dxa"/>
                  <w:noWrap w:val="0"/>
                  <w:vAlign w:val="center"/>
                </w:tcPr>
                <w:p w14:paraId="1B6E7B2F">
                  <w:pPr>
                    <w:jc w:val="center"/>
                    <w:rPr>
                      <w:rFonts w:ascii="Times New Roman" w:hAnsi="Times New Roman" w:eastAsia="宋体" w:cs="Times New Roman"/>
                      <w:color w:val="000000"/>
                      <w:szCs w:val="21"/>
                    </w:rPr>
                  </w:pPr>
                </w:p>
              </w:tc>
              <w:tc>
                <w:tcPr>
                  <w:tcW w:w="1223" w:type="dxa"/>
                  <w:noWrap w:val="0"/>
                  <w:vAlign w:val="center"/>
                </w:tcPr>
                <w:p w14:paraId="498B885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44FF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77E64A2E">
                  <w:pPr>
                    <w:jc w:val="center"/>
                    <w:rPr>
                      <w:rFonts w:ascii="Times New Roman" w:hAnsi="Times New Roman" w:eastAsia="宋体" w:cs="Times New Roman"/>
                      <w:color w:val="000000"/>
                      <w:szCs w:val="21"/>
                    </w:rPr>
                  </w:pPr>
                </w:p>
              </w:tc>
              <w:tc>
                <w:tcPr>
                  <w:tcW w:w="2079" w:type="dxa"/>
                  <w:noWrap w:val="0"/>
                  <w:vAlign w:val="center"/>
                </w:tcPr>
                <w:p w14:paraId="3C838BB5">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-四氯乙烷</w:t>
                  </w:r>
                </w:p>
              </w:tc>
              <w:tc>
                <w:tcPr>
                  <w:tcW w:w="1829" w:type="dxa"/>
                  <w:noWrap w:val="0"/>
                  <w:vAlign w:val="center"/>
                </w:tcPr>
                <w:p w14:paraId="74FD253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0</w:t>
                  </w:r>
                </w:p>
              </w:tc>
              <w:tc>
                <w:tcPr>
                  <w:tcW w:w="2207" w:type="dxa"/>
                  <w:noWrap w:val="0"/>
                  <w:vAlign w:val="center"/>
                </w:tcPr>
                <w:p w14:paraId="5AC38AC8">
                  <w:pPr>
                    <w:jc w:val="center"/>
                    <w:rPr>
                      <w:rFonts w:ascii="Times New Roman" w:hAnsi="Times New Roman" w:eastAsia="宋体" w:cs="Times New Roman"/>
                      <w:color w:val="000000"/>
                      <w:szCs w:val="21"/>
                    </w:rPr>
                  </w:pPr>
                </w:p>
              </w:tc>
              <w:tc>
                <w:tcPr>
                  <w:tcW w:w="1223" w:type="dxa"/>
                  <w:noWrap w:val="0"/>
                  <w:vAlign w:val="center"/>
                </w:tcPr>
                <w:p w14:paraId="7ED1CDBA">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10C9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1A4CA5AE">
                  <w:pPr>
                    <w:jc w:val="center"/>
                    <w:rPr>
                      <w:rFonts w:ascii="Times New Roman" w:hAnsi="Times New Roman" w:eastAsia="宋体" w:cs="Times New Roman"/>
                      <w:color w:val="000000"/>
                      <w:szCs w:val="21"/>
                    </w:rPr>
                  </w:pPr>
                </w:p>
              </w:tc>
              <w:tc>
                <w:tcPr>
                  <w:tcW w:w="2079" w:type="dxa"/>
                  <w:noWrap w:val="0"/>
                  <w:vAlign w:val="center"/>
                </w:tcPr>
                <w:p w14:paraId="2A2098C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-四氯乙烷</w:t>
                  </w:r>
                </w:p>
              </w:tc>
              <w:tc>
                <w:tcPr>
                  <w:tcW w:w="1829" w:type="dxa"/>
                  <w:noWrap w:val="0"/>
                  <w:vAlign w:val="center"/>
                </w:tcPr>
                <w:p w14:paraId="0E3A8C22">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6</w:t>
                  </w:r>
                  <w:r>
                    <w:rPr>
                      <w:rFonts w:ascii="Times New Roman" w:hAnsi="Times New Roman" w:eastAsia="宋体" w:cs="Times New Roman"/>
                      <w:color w:val="000000"/>
                      <w:szCs w:val="21"/>
                    </w:rPr>
                    <w:t>.8</w:t>
                  </w:r>
                </w:p>
              </w:tc>
              <w:tc>
                <w:tcPr>
                  <w:tcW w:w="2207" w:type="dxa"/>
                  <w:noWrap w:val="0"/>
                  <w:vAlign w:val="center"/>
                </w:tcPr>
                <w:p w14:paraId="696133D4">
                  <w:pPr>
                    <w:jc w:val="center"/>
                    <w:rPr>
                      <w:rFonts w:ascii="Times New Roman" w:hAnsi="Times New Roman" w:eastAsia="宋体" w:cs="Times New Roman"/>
                      <w:color w:val="000000"/>
                      <w:szCs w:val="21"/>
                    </w:rPr>
                  </w:pPr>
                </w:p>
              </w:tc>
              <w:tc>
                <w:tcPr>
                  <w:tcW w:w="1223" w:type="dxa"/>
                  <w:noWrap w:val="0"/>
                  <w:vAlign w:val="center"/>
                </w:tcPr>
                <w:p w14:paraId="4080AC5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3C26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6CAFCAD2">
                  <w:pPr>
                    <w:jc w:val="center"/>
                    <w:rPr>
                      <w:rFonts w:ascii="Times New Roman" w:hAnsi="Times New Roman" w:eastAsia="宋体" w:cs="Times New Roman"/>
                      <w:color w:val="000000"/>
                      <w:szCs w:val="21"/>
                    </w:rPr>
                  </w:pPr>
                </w:p>
              </w:tc>
              <w:tc>
                <w:tcPr>
                  <w:tcW w:w="2079" w:type="dxa"/>
                  <w:noWrap w:val="0"/>
                  <w:vAlign w:val="center"/>
                </w:tcPr>
                <w:p w14:paraId="69CB94C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四氯乙烯</w:t>
                  </w:r>
                </w:p>
              </w:tc>
              <w:tc>
                <w:tcPr>
                  <w:tcW w:w="1829" w:type="dxa"/>
                  <w:noWrap w:val="0"/>
                  <w:vAlign w:val="center"/>
                </w:tcPr>
                <w:p w14:paraId="3DEEAF8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w:t>
                  </w:r>
                  <w:r>
                    <w:rPr>
                      <w:rFonts w:ascii="Times New Roman" w:hAnsi="Times New Roman" w:eastAsia="宋体" w:cs="Times New Roman"/>
                      <w:color w:val="000000"/>
                      <w:szCs w:val="21"/>
                    </w:rPr>
                    <w:t>3</w:t>
                  </w:r>
                </w:p>
              </w:tc>
              <w:tc>
                <w:tcPr>
                  <w:tcW w:w="2207" w:type="dxa"/>
                  <w:noWrap w:val="0"/>
                  <w:vAlign w:val="center"/>
                </w:tcPr>
                <w:p w14:paraId="1A6DAD08">
                  <w:pPr>
                    <w:jc w:val="center"/>
                    <w:rPr>
                      <w:rFonts w:ascii="Times New Roman" w:hAnsi="Times New Roman" w:eastAsia="宋体" w:cs="Times New Roman"/>
                      <w:color w:val="000000"/>
                      <w:szCs w:val="21"/>
                    </w:rPr>
                  </w:pPr>
                </w:p>
              </w:tc>
              <w:tc>
                <w:tcPr>
                  <w:tcW w:w="1223" w:type="dxa"/>
                  <w:noWrap w:val="0"/>
                  <w:vAlign w:val="center"/>
                </w:tcPr>
                <w:p w14:paraId="6AA19CDD">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3EDA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757FE83C">
                  <w:pPr>
                    <w:jc w:val="center"/>
                    <w:rPr>
                      <w:rFonts w:ascii="Times New Roman" w:hAnsi="Times New Roman" w:eastAsia="宋体" w:cs="Times New Roman"/>
                      <w:color w:val="000000"/>
                      <w:szCs w:val="21"/>
                    </w:rPr>
                  </w:pPr>
                </w:p>
              </w:tc>
              <w:tc>
                <w:tcPr>
                  <w:tcW w:w="2079" w:type="dxa"/>
                  <w:noWrap w:val="0"/>
                  <w:vAlign w:val="center"/>
                </w:tcPr>
                <w:p w14:paraId="4BDD02B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三氯乙烷</w:t>
                  </w:r>
                </w:p>
              </w:tc>
              <w:tc>
                <w:tcPr>
                  <w:tcW w:w="1829" w:type="dxa"/>
                  <w:noWrap w:val="0"/>
                  <w:vAlign w:val="center"/>
                </w:tcPr>
                <w:p w14:paraId="5AB3E6D0">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8</w:t>
                  </w:r>
                  <w:r>
                    <w:rPr>
                      <w:rFonts w:ascii="Times New Roman" w:hAnsi="Times New Roman" w:eastAsia="宋体" w:cs="Times New Roman"/>
                      <w:color w:val="000000"/>
                      <w:szCs w:val="21"/>
                    </w:rPr>
                    <w:t>40</w:t>
                  </w:r>
                </w:p>
              </w:tc>
              <w:tc>
                <w:tcPr>
                  <w:tcW w:w="2207" w:type="dxa"/>
                  <w:noWrap w:val="0"/>
                  <w:vAlign w:val="center"/>
                </w:tcPr>
                <w:p w14:paraId="007F7AC7">
                  <w:pPr>
                    <w:jc w:val="center"/>
                    <w:rPr>
                      <w:rFonts w:ascii="Times New Roman" w:hAnsi="Times New Roman" w:eastAsia="宋体" w:cs="Times New Roman"/>
                      <w:color w:val="000000"/>
                      <w:szCs w:val="21"/>
                    </w:rPr>
                  </w:pPr>
                </w:p>
              </w:tc>
              <w:tc>
                <w:tcPr>
                  <w:tcW w:w="1223" w:type="dxa"/>
                  <w:noWrap w:val="0"/>
                  <w:vAlign w:val="center"/>
                </w:tcPr>
                <w:p w14:paraId="42AAC171">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5AB4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467FD25C">
                  <w:pPr>
                    <w:jc w:val="center"/>
                    <w:rPr>
                      <w:rFonts w:ascii="Times New Roman" w:hAnsi="Times New Roman" w:eastAsia="宋体" w:cs="Times New Roman"/>
                      <w:color w:val="000000"/>
                      <w:szCs w:val="21"/>
                    </w:rPr>
                  </w:pPr>
                </w:p>
              </w:tc>
              <w:tc>
                <w:tcPr>
                  <w:tcW w:w="2079" w:type="dxa"/>
                  <w:noWrap w:val="0"/>
                  <w:vAlign w:val="center"/>
                </w:tcPr>
                <w:p w14:paraId="1AD89906">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三氯乙烷</w:t>
                  </w:r>
                </w:p>
              </w:tc>
              <w:tc>
                <w:tcPr>
                  <w:tcW w:w="1829" w:type="dxa"/>
                  <w:noWrap w:val="0"/>
                  <w:vAlign w:val="center"/>
                </w:tcPr>
                <w:p w14:paraId="2A182D15">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w:t>
                  </w:r>
                  <w:r>
                    <w:rPr>
                      <w:rFonts w:ascii="Times New Roman" w:hAnsi="Times New Roman" w:eastAsia="宋体" w:cs="Times New Roman"/>
                      <w:color w:val="000000"/>
                      <w:szCs w:val="21"/>
                    </w:rPr>
                    <w:t>.8</w:t>
                  </w:r>
                </w:p>
              </w:tc>
              <w:tc>
                <w:tcPr>
                  <w:tcW w:w="2207" w:type="dxa"/>
                  <w:noWrap w:val="0"/>
                  <w:vAlign w:val="center"/>
                </w:tcPr>
                <w:p w14:paraId="4246FE02">
                  <w:pPr>
                    <w:jc w:val="center"/>
                    <w:rPr>
                      <w:rFonts w:ascii="Times New Roman" w:hAnsi="Times New Roman" w:eastAsia="宋体" w:cs="Times New Roman"/>
                      <w:color w:val="000000"/>
                      <w:szCs w:val="21"/>
                    </w:rPr>
                  </w:pPr>
                </w:p>
              </w:tc>
              <w:tc>
                <w:tcPr>
                  <w:tcW w:w="1223" w:type="dxa"/>
                  <w:noWrap w:val="0"/>
                  <w:vAlign w:val="center"/>
                </w:tcPr>
                <w:p w14:paraId="4ECC1AC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0C8A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6C9AF1A3">
                  <w:pPr>
                    <w:jc w:val="center"/>
                    <w:rPr>
                      <w:rFonts w:ascii="Times New Roman" w:hAnsi="Times New Roman" w:eastAsia="宋体" w:cs="Times New Roman"/>
                      <w:color w:val="000000"/>
                      <w:szCs w:val="21"/>
                    </w:rPr>
                  </w:pPr>
                </w:p>
              </w:tc>
              <w:tc>
                <w:tcPr>
                  <w:tcW w:w="2079" w:type="dxa"/>
                  <w:noWrap w:val="0"/>
                  <w:vAlign w:val="center"/>
                </w:tcPr>
                <w:p w14:paraId="7F0971A9">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三氯乙烯</w:t>
                  </w:r>
                </w:p>
              </w:tc>
              <w:tc>
                <w:tcPr>
                  <w:tcW w:w="1829" w:type="dxa"/>
                  <w:noWrap w:val="0"/>
                  <w:vAlign w:val="center"/>
                </w:tcPr>
                <w:p w14:paraId="4E874DA2">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w:t>
                  </w:r>
                  <w:r>
                    <w:rPr>
                      <w:rFonts w:ascii="Times New Roman" w:hAnsi="Times New Roman" w:eastAsia="宋体" w:cs="Times New Roman"/>
                      <w:color w:val="000000"/>
                      <w:szCs w:val="21"/>
                    </w:rPr>
                    <w:t>.8</w:t>
                  </w:r>
                </w:p>
              </w:tc>
              <w:tc>
                <w:tcPr>
                  <w:tcW w:w="2207" w:type="dxa"/>
                  <w:noWrap w:val="0"/>
                  <w:vAlign w:val="center"/>
                </w:tcPr>
                <w:p w14:paraId="06C69E2E">
                  <w:pPr>
                    <w:jc w:val="center"/>
                    <w:rPr>
                      <w:rFonts w:ascii="Times New Roman" w:hAnsi="Times New Roman" w:eastAsia="宋体" w:cs="Times New Roman"/>
                      <w:color w:val="000000"/>
                      <w:szCs w:val="21"/>
                    </w:rPr>
                  </w:pPr>
                </w:p>
              </w:tc>
              <w:tc>
                <w:tcPr>
                  <w:tcW w:w="1223" w:type="dxa"/>
                  <w:noWrap w:val="0"/>
                  <w:vAlign w:val="center"/>
                </w:tcPr>
                <w:p w14:paraId="0E8ACB11">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3260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12313E7E">
                  <w:pPr>
                    <w:jc w:val="center"/>
                    <w:rPr>
                      <w:rFonts w:ascii="Times New Roman" w:hAnsi="Times New Roman" w:eastAsia="宋体" w:cs="Times New Roman"/>
                      <w:color w:val="000000"/>
                      <w:szCs w:val="21"/>
                    </w:rPr>
                  </w:pPr>
                </w:p>
              </w:tc>
              <w:tc>
                <w:tcPr>
                  <w:tcW w:w="2079" w:type="dxa"/>
                  <w:noWrap w:val="0"/>
                  <w:vAlign w:val="center"/>
                </w:tcPr>
                <w:p w14:paraId="1FD2E69B">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3-</w:t>
                  </w:r>
                  <w:r>
                    <w:rPr>
                      <w:rFonts w:hint="eastAsia" w:ascii="Times New Roman" w:hAnsi="Times New Roman" w:eastAsia="宋体" w:cs="Times New Roman"/>
                      <w:color w:val="000000"/>
                      <w:szCs w:val="21"/>
                    </w:rPr>
                    <w:t>三氯丙烷</w:t>
                  </w:r>
                </w:p>
              </w:tc>
              <w:tc>
                <w:tcPr>
                  <w:tcW w:w="1829" w:type="dxa"/>
                  <w:noWrap w:val="0"/>
                  <w:vAlign w:val="center"/>
                </w:tcPr>
                <w:p w14:paraId="256616B9">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r>
                    <w:rPr>
                      <w:rFonts w:ascii="Times New Roman" w:hAnsi="Times New Roman" w:eastAsia="宋体" w:cs="Times New Roman"/>
                      <w:color w:val="000000"/>
                      <w:szCs w:val="21"/>
                    </w:rPr>
                    <w:t>.5</w:t>
                  </w:r>
                </w:p>
              </w:tc>
              <w:tc>
                <w:tcPr>
                  <w:tcW w:w="2207" w:type="dxa"/>
                  <w:noWrap w:val="0"/>
                  <w:vAlign w:val="center"/>
                </w:tcPr>
                <w:p w14:paraId="63DB4B92">
                  <w:pPr>
                    <w:jc w:val="center"/>
                    <w:rPr>
                      <w:rFonts w:ascii="Times New Roman" w:hAnsi="Times New Roman" w:eastAsia="宋体" w:cs="Times New Roman"/>
                      <w:color w:val="000000"/>
                      <w:szCs w:val="21"/>
                    </w:rPr>
                  </w:pPr>
                </w:p>
              </w:tc>
              <w:tc>
                <w:tcPr>
                  <w:tcW w:w="1223" w:type="dxa"/>
                  <w:noWrap w:val="0"/>
                  <w:vAlign w:val="center"/>
                </w:tcPr>
                <w:p w14:paraId="5143DD05">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4450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63828284">
                  <w:pPr>
                    <w:jc w:val="center"/>
                    <w:rPr>
                      <w:rFonts w:ascii="Times New Roman" w:hAnsi="Times New Roman" w:eastAsia="宋体" w:cs="Times New Roman"/>
                      <w:color w:val="000000"/>
                      <w:szCs w:val="21"/>
                    </w:rPr>
                  </w:pPr>
                </w:p>
              </w:tc>
              <w:tc>
                <w:tcPr>
                  <w:tcW w:w="2079" w:type="dxa"/>
                  <w:noWrap w:val="0"/>
                  <w:vAlign w:val="center"/>
                </w:tcPr>
                <w:p w14:paraId="2ABFF43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氯乙烯</w:t>
                  </w:r>
                </w:p>
              </w:tc>
              <w:tc>
                <w:tcPr>
                  <w:tcW w:w="1829" w:type="dxa"/>
                  <w:noWrap w:val="0"/>
                  <w:vAlign w:val="center"/>
                </w:tcPr>
                <w:p w14:paraId="0733F1F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r>
                    <w:rPr>
                      <w:rFonts w:ascii="Times New Roman" w:hAnsi="Times New Roman" w:eastAsia="宋体" w:cs="Times New Roman"/>
                      <w:color w:val="000000"/>
                      <w:szCs w:val="21"/>
                    </w:rPr>
                    <w:t>.43</w:t>
                  </w:r>
                </w:p>
              </w:tc>
              <w:tc>
                <w:tcPr>
                  <w:tcW w:w="2207" w:type="dxa"/>
                  <w:noWrap w:val="0"/>
                  <w:vAlign w:val="center"/>
                </w:tcPr>
                <w:p w14:paraId="13874A3E">
                  <w:pPr>
                    <w:jc w:val="center"/>
                    <w:rPr>
                      <w:rFonts w:ascii="Times New Roman" w:hAnsi="Times New Roman" w:eastAsia="宋体" w:cs="Times New Roman"/>
                      <w:color w:val="000000"/>
                      <w:szCs w:val="21"/>
                    </w:rPr>
                  </w:pPr>
                </w:p>
              </w:tc>
              <w:tc>
                <w:tcPr>
                  <w:tcW w:w="1223" w:type="dxa"/>
                  <w:noWrap w:val="0"/>
                  <w:vAlign w:val="center"/>
                </w:tcPr>
                <w:p w14:paraId="5E7A0D13">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43CC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2E4241A9">
                  <w:pPr>
                    <w:jc w:val="center"/>
                    <w:rPr>
                      <w:rFonts w:ascii="Times New Roman" w:hAnsi="Times New Roman" w:eastAsia="宋体" w:cs="Times New Roman"/>
                      <w:color w:val="000000"/>
                      <w:szCs w:val="21"/>
                    </w:rPr>
                  </w:pPr>
                </w:p>
              </w:tc>
              <w:tc>
                <w:tcPr>
                  <w:tcW w:w="2079" w:type="dxa"/>
                  <w:noWrap w:val="0"/>
                  <w:vAlign w:val="center"/>
                </w:tcPr>
                <w:p w14:paraId="0F11A9F1">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苯</w:t>
                  </w:r>
                </w:p>
              </w:tc>
              <w:tc>
                <w:tcPr>
                  <w:tcW w:w="1829" w:type="dxa"/>
                  <w:noWrap w:val="0"/>
                  <w:vAlign w:val="center"/>
                </w:tcPr>
                <w:p w14:paraId="1D3BAF5A">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4</w:t>
                  </w:r>
                </w:p>
              </w:tc>
              <w:tc>
                <w:tcPr>
                  <w:tcW w:w="2207" w:type="dxa"/>
                  <w:noWrap w:val="0"/>
                  <w:vAlign w:val="center"/>
                </w:tcPr>
                <w:p w14:paraId="5E8EF7B4">
                  <w:pPr>
                    <w:jc w:val="center"/>
                    <w:rPr>
                      <w:rFonts w:ascii="Times New Roman" w:hAnsi="Times New Roman" w:eastAsia="宋体" w:cs="Times New Roman"/>
                      <w:color w:val="000000"/>
                      <w:szCs w:val="21"/>
                    </w:rPr>
                  </w:pPr>
                </w:p>
              </w:tc>
              <w:tc>
                <w:tcPr>
                  <w:tcW w:w="1223" w:type="dxa"/>
                  <w:noWrap w:val="0"/>
                  <w:vAlign w:val="center"/>
                </w:tcPr>
                <w:p w14:paraId="3979CB96">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08F0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197A94C0">
                  <w:pPr>
                    <w:jc w:val="center"/>
                    <w:rPr>
                      <w:rFonts w:ascii="Times New Roman" w:hAnsi="Times New Roman" w:eastAsia="宋体" w:cs="Times New Roman"/>
                      <w:color w:val="000000"/>
                      <w:szCs w:val="21"/>
                    </w:rPr>
                  </w:pPr>
                </w:p>
              </w:tc>
              <w:tc>
                <w:tcPr>
                  <w:tcW w:w="2079" w:type="dxa"/>
                  <w:noWrap w:val="0"/>
                  <w:vAlign w:val="center"/>
                </w:tcPr>
                <w:p w14:paraId="7A6021E8">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氯苯</w:t>
                  </w:r>
                </w:p>
              </w:tc>
              <w:tc>
                <w:tcPr>
                  <w:tcW w:w="1829" w:type="dxa"/>
                  <w:noWrap w:val="0"/>
                  <w:vAlign w:val="center"/>
                </w:tcPr>
                <w:p w14:paraId="1E7BF491">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w:t>
                  </w:r>
                  <w:r>
                    <w:rPr>
                      <w:rFonts w:ascii="Times New Roman" w:hAnsi="Times New Roman" w:eastAsia="宋体" w:cs="Times New Roman"/>
                      <w:color w:val="000000"/>
                      <w:szCs w:val="21"/>
                    </w:rPr>
                    <w:t>70</w:t>
                  </w:r>
                </w:p>
              </w:tc>
              <w:tc>
                <w:tcPr>
                  <w:tcW w:w="2207" w:type="dxa"/>
                  <w:noWrap w:val="0"/>
                  <w:vAlign w:val="center"/>
                </w:tcPr>
                <w:p w14:paraId="76111038">
                  <w:pPr>
                    <w:jc w:val="center"/>
                    <w:rPr>
                      <w:rFonts w:ascii="Times New Roman" w:hAnsi="Times New Roman" w:eastAsia="宋体" w:cs="Times New Roman"/>
                      <w:color w:val="000000"/>
                      <w:szCs w:val="21"/>
                    </w:rPr>
                  </w:pPr>
                </w:p>
              </w:tc>
              <w:tc>
                <w:tcPr>
                  <w:tcW w:w="1223" w:type="dxa"/>
                  <w:noWrap w:val="0"/>
                  <w:vAlign w:val="center"/>
                </w:tcPr>
                <w:p w14:paraId="4B58F1B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70B4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366A7322">
                  <w:pPr>
                    <w:jc w:val="center"/>
                    <w:rPr>
                      <w:rFonts w:ascii="Times New Roman" w:hAnsi="Times New Roman" w:eastAsia="宋体" w:cs="Times New Roman"/>
                      <w:color w:val="000000"/>
                      <w:szCs w:val="21"/>
                    </w:rPr>
                  </w:pPr>
                </w:p>
              </w:tc>
              <w:tc>
                <w:tcPr>
                  <w:tcW w:w="2079" w:type="dxa"/>
                  <w:noWrap w:val="0"/>
                  <w:vAlign w:val="center"/>
                </w:tcPr>
                <w:p w14:paraId="03C6E996">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二氯苯</w:t>
                  </w:r>
                </w:p>
              </w:tc>
              <w:tc>
                <w:tcPr>
                  <w:tcW w:w="1829" w:type="dxa"/>
                  <w:noWrap w:val="0"/>
                  <w:vAlign w:val="center"/>
                </w:tcPr>
                <w:p w14:paraId="602C7320">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w:t>
                  </w:r>
                  <w:r>
                    <w:rPr>
                      <w:rFonts w:ascii="Times New Roman" w:hAnsi="Times New Roman" w:eastAsia="宋体" w:cs="Times New Roman"/>
                      <w:color w:val="000000"/>
                      <w:szCs w:val="21"/>
                    </w:rPr>
                    <w:t>60</w:t>
                  </w:r>
                </w:p>
              </w:tc>
              <w:tc>
                <w:tcPr>
                  <w:tcW w:w="2207" w:type="dxa"/>
                  <w:noWrap w:val="0"/>
                  <w:vAlign w:val="center"/>
                </w:tcPr>
                <w:p w14:paraId="09503333">
                  <w:pPr>
                    <w:jc w:val="center"/>
                    <w:rPr>
                      <w:rFonts w:ascii="Times New Roman" w:hAnsi="Times New Roman" w:eastAsia="宋体" w:cs="Times New Roman"/>
                      <w:color w:val="000000"/>
                      <w:szCs w:val="21"/>
                    </w:rPr>
                  </w:pPr>
                </w:p>
              </w:tc>
              <w:tc>
                <w:tcPr>
                  <w:tcW w:w="1223" w:type="dxa"/>
                  <w:noWrap w:val="0"/>
                  <w:vAlign w:val="center"/>
                </w:tcPr>
                <w:p w14:paraId="5109EA7B">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243C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6B2AC33B">
                  <w:pPr>
                    <w:jc w:val="center"/>
                    <w:rPr>
                      <w:rFonts w:ascii="Times New Roman" w:hAnsi="Times New Roman" w:eastAsia="宋体" w:cs="Times New Roman"/>
                      <w:color w:val="000000"/>
                      <w:szCs w:val="21"/>
                    </w:rPr>
                  </w:pPr>
                </w:p>
              </w:tc>
              <w:tc>
                <w:tcPr>
                  <w:tcW w:w="2079" w:type="dxa"/>
                  <w:noWrap w:val="0"/>
                  <w:vAlign w:val="center"/>
                </w:tcPr>
                <w:p w14:paraId="3F74957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4-</w:t>
                  </w:r>
                  <w:r>
                    <w:rPr>
                      <w:rFonts w:hint="eastAsia" w:ascii="Times New Roman" w:hAnsi="Times New Roman" w:eastAsia="宋体" w:cs="Times New Roman"/>
                      <w:color w:val="000000"/>
                      <w:szCs w:val="21"/>
                    </w:rPr>
                    <w:t>二氯苯</w:t>
                  </w:r>
                </w:p>
              </w:tc>
              <w:tc>
                <w:tcPr>
                  <w:tcW w:w="1829" w:type="dxa"/>
                  <w:noWrap w:val="0"/>
                  <w:vAlign w:val="center"/>
                </w:tcPr>
                <w:p w14:paraId="73E478EE">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w:t>
                  </w:r>
                  <w:r>
                    <w:rPr>
                      <w:rFonts w:ascii="Times New Roman" w:hAnsi="Times New Roman" w:eastAsia="宋体" w:cs="Times New Roman"/>
                      <w:color w:val="000000"/>
                      <w:szCs w:val="21"/>
                    </w:rPr>
                    <w:t>0</w:t>
                  </w:r>
                </w:p>
              </w:tc>
              <w:tc>
                <w:tcPr>
                  <w:tcW w:w="2207" w:type="dxa"/>
                  <w:noWrap w:val="0"/>
                  <w:vAlign w:val="center"/>
                </w:tcPr>
                <w:p w14:paraId="67C9A9CC">
                  <w:pPr>
                    <w:jc w:val="center"/>
                    <w:rPr>
                      <w:rFonts w:ascii="Times New Roman" w:hAnsi="Times New Roman" w:eastAsia="宋体" w:cs="Times New Roman"/>
                      <w:color w:val="000000"/>
                      <w:szCs w:val="21"/>
                    </w:rPr>
                  </w:pPr>
                </w:p>
              </w:tc>
              <w:tc>
                <w:tcPr>
                  <w:tcW w:w="1223" w:type="dxa"/>
                  <w:noWrap w:val="0"/>
                  <w:vAlign w:val="center"/>
                </w:tcPr>
                <w:p w14:paraId="3122505B">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3B81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69D023E3">
                  <w:pPr>
                    <w:jc w:val="center"/>
                    <w:rPr>
                      <w:rFonts w:ascii="Times New Roman" w:hAnsi="Times New Roman" w:eastAsia="宋体" w:cs="Times New Roman"/>
                      <w:color w:val="000000"/>
                      <w:szCs w:val="21"/>
                    </w:rPr>
                  </w:pPr>
                </w:p>
              </w:tc>
              <w:tc>
                <w:tcPr>
                  <w:tcW w:w="2079" w:type="dxa"/>
                  <w:noWrap w:val="0"/>
                  <w:vAlign w:val="center"/>
                </w:tcPr>
                <w:p w14:paraId="0B83F5F8">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乙苯</w:t>
                  </w:r>
                </w:p>
              </w:tc>
              <w:tc>
                <w:tcPr>
                  <w:tcW w:w="1829" w:type="dxa"/>
                  <w:noWrap w:val="0"/>
                  <w:vAlign w:val="center"/>
                </w:tcPr>
                <w:p w14:paraId="07946309">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w:t>
                  </w:r>
                  <w:r>
                    <w:rPr>
                      <w:rFonts w:ascii="Times New Roman" w:hAnsi="Times New Roman" w:eastAsia="宋体" w:cs="Times New Roman"/>
                      <w:color w:val="000000"/>
                      <w:szCs w:val="21"/>
                    </w:rPr>
                    <w:t>8</w:t>
                  </w:r>
                </w:p>
              </w:tc>
              <w:tc>
                <w:tcPr>
                  <w:tcW w:w="2207" w:type="dxa"/>
                  <w:noWrap w:val="0"/>
                  <w:vAlign w:val="center"/>
                </w:tcPr>
                <w:p w14:paraId="4CFA3816">
                  <w:pPr>
                    <w:jc w:val="center"/>
                    <w:rPr>
                      <w:rFonts w:ascii="Times New Roman" w:hAnsi="Times New Roman" w:eastAsia="宋体" w:cs="Times New Roman"/>
                      <w:color w:val="000000"/>
                      <w:szCs w:val="21"/>
                    </w:rPr>
                  </w:pPr>
                </w:p>
              </w:tc>
              <w:tc>
                <w:tcPr>
                  <w:tcW w:w="1223" w:type="dxa"/>
                  <w:noWrap w:val="0"/>
                  <w:vAlign w:val="center"/>
                </w:tcPr>
                <w:p w14:paraId="428074B1">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7EAC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3A9524C6">
                  <w:pPr>
                    <w:jc w:val="center"/>
                    <w:rPr>
                      <w:rFonts w:ascii="Times New Roman" w:hAnsi="Times New Roman" w:eastAsia="宋体" w:cs="Times New Roman"/>
                      <w:color w:val="000000"/>
                      <w:szCs w:val="21"/>
                    </w:rPr>
                  </w:pPr>
                </w:p>
              </w:tc>
              <w:tc>
                <w:tcPr>
                  <w:tcW w:w="2079" w:type="dxa"/>
                  <w:noWrap w:val="0"/>
                  <w:vAlign w:val="center"/>
                </w:tcPr>
                <w:p w14:paraId="5512617D">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苯乙烯</w:t>
                  </w:r>
                </w:p>
              </w:tc>
              <w:tc>
                <w:tcPr>
                  <w:tcW w:w="1829" w:type="dxa"/>
                  <w:noWrap w:val="0"/>
                  <w:vAlign w:val="center"/>
                </w:tcPr>
                <w:p w14:paraId="3956FB1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290</w:t>
                  </w:r>
                </w:p>
              </w:tc>
              <w:tc>
                <w:tcPr>
                  <w:tcW w:w="2207" w:type="dxa"/>
                  <w:noWrap w:val="0"/>
                  <w:vAlign w:val="center"/>
                </w:tcPr>
                <w:p w14:paraId="18171DDA">
                  <w:pPr>
                    <w:jc w:val="center"/>
                    <w:rPr>
                      <w:rFonts w:ascii="Times New Roman" w:hAnsi="Times New Roman" w:eastAsia="宋体" w:cs="Times New Roman"/>
                      <w:color w:val="000000"/>
                      <w:szCs w:val="21"/>
                    </w:rPr>
                  </w:pPr>
                </w:p>
              </w:tc>
              <w:tc>
                <w:tcPr>
                  <w:tcW w:w="1223" w:type="dxa"/>
                  <w:noWrap w:val="0"/>
                  <w:vAlign w:val="center"/>
                </w:tcPr>
                <w:p w14:paraId="1AACC07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0A5F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4984F6A9">
                  <w:pPr>
                    <w:jc w:val="center"/>
                    <w:rPr>
                      <w:rFonts w:ascii="Times New Roman" w:hAnsi="Times New Roman" w:eastAsia="宋体" w:cs="Times New Roman"/>
                      <w:color w:val="000000"/>
                      <w:szCs w:val="21"/>
                    </w:rPr>
                  </w:pPr>
                </w:p>
              </w:tc>
              <w:tc>
                <w:tcPr>
                  <w:tcW w:w="2079" w:type="dxa"/>
                  <w:noWrap w:val="0"/>
                  <w:vAlign w:val="center"/>
                </w:tcPr>
                <w:p w14:paraId="1463D6F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甲苯</w:t>
                  </w:r>
                </w:p>
              </w:tc>
              <w:tc>
                <w:tcPr>
                  <w:tcW w:w="1829" w:type="dxa"/>
                  <w:noWrap w:val="0"/>
                  <w:vAlign w:val="center"/>
                </w:tcPr>
                <w:p w14:paraId="0BD4BAE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200</w:t>
                  </w:r>
                </w:p>
              </w:tc>
              <w:tc>
                <w:tcPr>
                  <w:tcW w:w="2207" w:type="dxa"/>
                  <w:noWrap w:val="0"/>
                  <w:vAlign w:val="center"/>
                </w:tcPr>
                <w:p w14:paraId="0A88A8FB">
                  <w:pPr>
                    <w:jc w:val="center"/>
                    <w:rPr>
                      <w:rFonts w:ascii="Times New Roman" w:hAnsi="Times New Roman" w:eastAsia="宋体" w:cs="Times New Roman"/>
                      <w:color w:val="000000"/>
                      <w:szCs w:val="21"/>
                    </w:rPr>
                  </w:pPr>
                </w:p>
              </w:tc>
              <w:tc>
                <w:tcPr>
                  <w:tcW w:w="1223" w:type="dxa"/>
                  <w:noWrap w:val="0"/>
                  <w:vAlign w:val="center"/>
                </w:tcPr>
                <w:p w14:paraId="3926142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0127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2A26E20F">
                  <w:pPr>
                    <w:jc w:val="center"/>
                    <w:rPr>
                      <w:rFonts w:ascii="Times New Roman" w:hAnsi="Times New Roman" w:eastAsia="宋体" w:cs="Times New Roman"/>
                      <w:color w:val="000000"/>
                      <w:szCs w:val="21"/>
                    </w:rPr>
                  </w:pPr>
                </w:p>
              </w:tc>
              <w:tc>
                <w:tcPr>
                  <w:tcW w:w="2079" w:type="dxa"/>
                  <w:noWrap w:val="0"/>
                  <w:vAlign w:val="center"/>
                </w:tcPr>
                <w:p w14:paraId="1D9E6178">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间二甲苯</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对二甲苯</w:t>
                  </w:r>
                </w:p>
              </w:tc>
              <w:tc>
                <w:tcPr>
                  <w:tcW w:w="1829" w:type="dxa"/>
                  <w:noWrap w:val="0"/>
                  <w:vAlign w:val="center"/>
                </w:tcPr>
                <w:p w14:paraId="7F95CB16">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w:t>
                  </w:r>
                  <w:r>
                    <w:rPr>
                      <w:rFonts w:ascii="Times New Roman" w:hAnsi="Times New Roman" w:eastAsia="宋体" w:cs="Times New Roman"/>
                      <w:color w:val="000000"/>
                      <w:szCs w:val="21"/>
                    </w:rPr>
                    <w:t>70</w:t>
                  </w:r>
                </w:p>
              </w:tc>
              <w:tc>
                <w:tcPr>
                  <w:tcW w:w="2207" w:type="dxa"/>
                  <w:noWrap w:val="0"/>
                  <w:vAlign w:val="center"/>
                </w:tcPr>
                <w:p w14:paraId="247A413F">
                  <w:pPr>
                    <w:jc w:val="center"/>
                    <w:rPr>
                      <w:rFonts w:ascii="Times New Roman" w:hAnsi="Times New Roman" w:eastAsia="宋体" w:cs="Times New Roman"/>
                      <w:color w:val="000000"/>
                      <w:szCs w:val="21"/>
                    </w:rPr>
                  </w:pPr>
                </w:p>
              </w:tc>
              <w:tc>
                <w:tcPr>
                  <w:tcW w:w="1223" w:type="dxa"/>
                  <w:noWrap w:val="0"/>
                  <w:vAlign w:val="center"/>
                </w:tcPr>
                <w:p w14:paraId="57040890">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670C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0CC03C7F">
                  <w:pPr>
                    <w:jc w:val="center"/>
                    <w:rPr>
                      <w:rFonts w:ascii="Times New Roman" w:hAnsi="Times New Roman" w:eastAsia="宋体" w:cs="Times New Roman"/>
                      <w:color w:val="000000"/>
                      <w:szCs w:val="21"/>
                    </w:rPr>
                  </w:pPr>
                </w:p>
              </w:tc>
              <w:tc>
                <w:tcPr>
                  <w:tcW w:w="2079" w:type="dxa"/>
                  <w:noWrap w:val="0"/>
                  <w:vAlign w:val="center"/>
                </w:tcPr>
                <w:p w14:paraId="0A8E71E0">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邻二甲苯</w:t>
                  </w:r>
                </w:p>
              </w:tc>
              <w:tc>
                <w:tcPr>
                  <w:tcW w:w="1829" w:type="dxa"/>
                  <w:noWrap w:val="0"/>
                  <w:vAlign w:val="center"/>
                </w:tcPr>
                <w:p w14:paraId="7A13522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6</w:t>
                  </w:r>
                  <w:r>
                    <w:rPr>
                      <w:rFonts w:ascii="Times New Roman" w:hAnsi="Times New Roman" w:eastAsia="宋体" w:cs="Times New Roman"/>
                      <w:color w:val="000000"/>
                      <w:szCs w:val="21"/>
                    </w:rPr>
                    <w:t>40</w:t>
                  </w:r>
                </w:p>
              </w:tc>
              <w:tc>
                <w:tcPr>
                  <w:tcW w:w="2207" w:type="dxa"/>
                  <w:noWrap w:val="0"/>
                  <w:vAlign w:val="center"/>
                </w:tcPr>
                <w:p w14:paraId="4FCE9FAE">
                  <w:pPr>
                    <w:jc w:val="center"/>
                    <w:rPr>
                      <w:rFonts w:ascii="Times New Roman" w:hAnsi="Times New Roman" w:eastAsia="宋体" w:cs="Times New Roman"/>
                      <w:color w:val="000000"/>
                      <w:szCs w:val="21"/>
                    </w:rPr>
                  </w:pPr>
                </w:p>
              </w:tc>
              <w:tc>
                <w:tcPr>
                  <w:tcW w:w="1223" w:type="dxa"/>
                  <w:noWrap w:val="0"/>
                  <w:vAlign w:val="center"/>
                </w:tcPr>
                <w:p w14:paraId="0BE39D32">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7254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1FC1B978">
                  <w:pPr>
                    <w:jc w:val="center"/>
                    <w:rPr>
                      <w:rFonts w:ascii="Times New Roman" w:hAnsi="Times New Roman" w:eastAsia="宋体" w:cs="Times New Roman"/>
                      <w:color w:val="000000"/>
                      <w:szCs w:val="21"/>
                    </w:rPr>
                  </w:pPr>
                </w:p>
              </w:tc>
              <w:tc>
                <w:tcPr>
                  <w:tcW w:w="2079" w:type="dxa"/>
                  <w:noWrap w:val="0"/>
                  <w:vAlign w:val="center"/>
                </w:tcPr>
                <w:p w14:paraId="1A9DF38E">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硝基苯</w:t>
                  </w:r>
                </w:p>
              </w:tc>
              <w:tc>
                <w:tcPr>
                  <w:tcW w:w="1829" w:type="dxa"/>
                  <w:noWrap w:val="0"/>
                  <w:vAlign w:val="center"/>
                </w:tcPr>
                <w:p w14:paraId="19A4E3D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6</w:t>
                  </w:r>
                </w:p>
              </w:tc>
              <w:tc>
                <w:tcPr>
                  <w:tcW w:w="2207" w:type="dxa"/>
                  <w:noWrap w:val="0"/>
                  <w:vAlign w:val="center"/>
                </w:tcPr>
                <w:p w14:paraId="5CFFCB7C">
                  <w:pPr>
                    <w:jc w:val="center"/>
                    <w:rPr>
                      <w:rFonts w:ascii="Times New Roman" w:hAnsi="Times New Roman" w:eastAsia="宋体" w:cs="Times New Roman"/>
                      <w:color w:val="000000"/>
                      <w:szCs w:val="21"/>
                    </w:rPr>
                  </w:pPr>
                </w:p>
              </w:tc>
              <w:tc>
                <w:tcPr>
                  <w:tcW w:w="1223" w:type="dxa"/>
                  <w:noWrap w:val="0"/>
                  <w:vAlign w:val="center"/>
                </w:tcPr>
                <w:p w14:paraId="110E8D6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48FB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6FAB657C">
                  <w:pPr>
                    <w:jc w:val="center"/>
                    <w:rPr>
                      <w:rFonts w:ascii="Times New Roman" w:hAnsi="Times New Roman" w:eastAsia="宋体" w:cs="Times New Roman"/>
                      <w:color w:val="000000"/>
                      <w:szCs w:val="21"/>
                    </w:rPr>
                  </w:pPr>
                </w:p>
              </w:tc>
              <w:tc>
                <w:tcPr>
                  <w:tcW w:w="2079" w:type="dxa"/>
                  <w:noWrap w:val="0"/>
                  <w:vAlign w:val="center"/>
                </w:tcPr>
                <w:p w14:paraId="32F0EE2D">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苯胺</w:t>
                  </w:r>
                </w:p>
              </w:tc>
              <w:tc>
                <w:tcPr>
                  <w:tcW w:w="1829" w:type="dxa"/>
                  <w:noWrap w:val="0"/>
                  <w:vAlign w:val="center"/>
                </w:tcPr>
                <w:p w14:paraId="436877E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w:t>
                  </w:r>
                  <w:r>
                    <w:rPr>
                      <w:rFonts w:ascii="Times New Roman" w:hAnsi="Times New Roman" w:eastAsia="宋体" w:cs="Times New Roman"/>
                      <w:color w:val="000000"/>
                      <w:szCs w:val="21"/>
                    </w:rPr>
                    <w:t>60</w:t>
                  </w:r>
                </w:p>
              </w:tc>
              <w:tc>
                <w:tcPr>
                  <w:tcW w:w="2207" w:type="dxa"/>
                  <w:noWrap w:val="0"/>
                  <w:vAlign w:val="center"/>
                </w:tcPr>
                <w:p w14:paraId="44830FB4">
                  <w:pPr>
                    <w:jc w:val="center"/>
                    <w:rPr>
                      <w:rFonts w:ascii="Times New Roman" w:hAnsi="Times New Roman" w:eastAsia="宋体" w:cs="Times New Roman"/>
                      <w:color w:val="000000"/>
                      <w:szCs w:val="21"/>
                    </w:rPr>
                  </w:pPr>
                </w:p>
              </w:tc>
              <w:tc>
                <w:tcPr>
                  <w:tcW w:w="1223" w:type="dxa"/>
                  <w:noWrap w:val="0"/>
                  <w:vAlign w:val="center"/>
                </w:tcPr>
                <w:p w14:paraId="0303B880">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384F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091C0FB0">
                  <w:pPr>
                    <w:jc w:val="center"/>
                    <w:rPr>
                      <w:rFonts w:ascii="Times New Roman" w:hAnsi="Times New Roman" w:eastAsia="宋体" w:cs="Times New Roman"/>
                      <w:color w:val="000000"/>
                      <w:szCs w:val="21"/>
                    </w:rPr>
                  </w:pPr>
                </w:p>
              </w:tc>
              <w:tc>
                <w:tcPr>
                  <w:tcW w:w="2079" w:type="dxa"/>
                  <w:noWrap w:val="0"/>
                  <w:vAlign w:val="center"/>
                </w:tcPr>
                <w:p w14:paraId="3D1C9010">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氯酚</w:t>
                  </w:r>
                </w:p>
              </w:tc>
              <w:tc>
                <w:tcPr>
                  <w:tcW w:w="1829" w:type="dxa"/>
                  <w:noWrap w:val="0"/>
                  <w:vAlign w:val="center"/>
                </w:tcPr>
                <w:p w14:paraId="4F1571BA">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w:t>
                  </w:r>
                  <w:r>
                    <w:rPr>
                      <w:rFonts w:ascii="Times New Roman" w:hAnsi="Times New Roman" w:eastAsia="宋体" w:cs="Times New Roman"/>
                      <w:color w:val="000000"/>
                      <w:szCs w:val="21"/>
                    </w:rPr>
                    <w:t>256</w:t>
                  </w:r>
                </w:p>
              </w:tc>
              <w:tc>
                <w:tcPr>
                  <w:tcW w:w="2207" w:type="dxa"/>
                  <w:noWrap w:val="0"/>
                  <w:vAlign w:val="center"/>
                </w:tcPr>
                <w:p w14:paraId="6157F516">
                  <w:pPr>
                    <w:jc w:val="center"/>
                    <w:rPr>
                      <w:rFonts w:ascii="Times New Roman" w:hAnsi="Times New Roman" w:eastAsia="宋体" w:cs="Times New Roman"/>
                      <w:color w:val="000000"/>
                      <w:szCs w:val="21"/>
                    </w:rPr>
                  </w:pPr>
                </w:p>
              </w:tc>
              <w:tc>
                <w:tcPr>
                  <w:tcW w:w="1223" w:type="dxa"/>
                  <w:noWrap w:val="0"/>
                  <w:vAlign w:val="center"/>
                </w:tcPr>
                <w:p w14:paraId="082F776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572A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3723EBC6">
                  <w:pPr>
                    <w:jc w:val="center"/>
                    <w:rPr>
                      <w:rFonts w:ascii="Times New Roman" w:hAnsi="Times New Roman" w:eastAsia="宋体" w:cs="Times New Roman"/>
                      <w:color w:val="000000"/>
                      <w:szCs w:val="21"/>
                    </w:rPr>
                  </w:pPr>
                </w:p>
              </w:tc>
              <w:tc>
                <w:tcPr>
                  <w:tcW w:w="2079" w:type="dxa"/>
                  <w:noWrap w:val="0"/>
                  <w:vAlign w:val="center"/>
                </w:tcPr>
                <w:p w14:paraId="44C1664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苯并</w:t>
                  </w:r>
                  <w:r>
                    <w:rPr>
                      <w:rFonts w:ascii="Times New Roman" w:hAnsi="Times New Roman" w:eastAsia="宋体" w:cs="Times New Roman"/>
                      <w:color w:val="000000"/>
                      <w:szCs w:val="21"/>
                    </w:rPr>
                    <w:t>[a]蒽</w:t>
                  </w:r>
                </w:p>
              </w:tc>
              <w:tc>
                <w:tcPr>
                  <w:tcW w:w="1829" w:type="dxa"/>
                  <w:noWrap w:val="0"/>
                  <w:vAlign w:val="center"/>
                </w:tcPr>
                <w:p w14:paraId="724D2CE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5</w:t>
                  </w:r>
                </w:p>
              </w:tc>
              <w:tc>
                <w:tcPr>
                  <w:tcW w:w="2207" w:type="dxa"/>
                  <w:noWrap w:val="0"/>
                  <w:vAlign w:val="center"/>
                </w:tcPr>
                <w:p w14:paraId="6DED5832">
                  <w:pPr>
                    <w:jc w:val="center"/>
                    <w:rPr>
                      <w:rFonts w:ascii="Times New Roman" w:hAnsi="Times New Roman" w:eastAsia="宋体" w:cs="Times New Roman"/>
                      <w:color w:val="000000"/>
                      <w:szCs w:val="21"/>
                    </w:rPr>
                  </w:pPr>
                </w:p>
              </w:tc>
              <w:tc>
                <w:tcPr>
                  <w:tcW w:w="1223" w:type="dxa"/>
                  <w:noWrap w:val="0"/>
                  <w:vAlign w:val="center"/>
                </w:tcPr>
                <w:p w14:paraId="006CB63A">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7505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4C23F709">
                  <w:pPr>
                    <w:jc w:val="center"/>
                    <w:rPr>
                      <w:rFonts w:ascii="Times New Roman" w:hAnsi="Times New Roman" w:eastAsia="宋体" w:cs="Times New Roman"/>
                      <w:color w:val="000000"/>
                      <w:szCs w:val="21"/>
                    </w:rPr>
                  </w:pPr>
                </w:p>
              </w:tc>
              <w:tc>
                <w:tcPr>
                  <w:tcW w:w="2079" w:type="dxa"/>
                  <w:noWrap w:val="0"/>
                  <w:vAlign w:val="center"/>
                </w:tcPr>
                <w:p w14:paraId="1EF9A6D0">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苯并</w:t>
                  </w:r>
                  <w:r>
                    <w:rPr>
                      <w:rFonts w:ascii="Times New Roman" w:hAnsi="Times New Roman" w:eastAsia="宋体" w:cs="Times New Roman"/>
                      <w:color w:val="000000"/>
                      <w:szCs w:val="21"/>
                    </w:rPr>
                    <w:t>[a]芘</w:t>
                  </w:r>
                </w:p>
              </w:tc>
              <w:tc>
                <w:tcPr>
                  <w:tcW w:w="1829" w:type="dxa"/>
                  <w:noWrap w:val="0"/>
                  <w:vAlign w:val="center"/>
                </w:tcPr>
                <w:p w14:paraId="3C74CAE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.5</w:t>
                  </w:r>
                </w:p>
              </w:tc>
              <w:tc>
                <w:tcPr>
                  <w:tcW w:w="2207" w:type="dxa"/>
                  <w:noWrap w:val="0"/>
                  <w:vAlign w:val="center"/>
                </w:tcPr>
                <w:p w14:paraId="69F47396">
                  <w:pPr>
                    <w:jc w:val="center"/>
                    <w:rPr>
                      <w:rFonts w:ascii="Times New Roman" w:hAnsi="Times New Roman" w:eastAsia="宋体" w:cs="Times New Roman"/>
                      <w:color w:val="000000"/>
                      <w:szCs w:val="21"/>
                    </w:rPr>
                  </w:pPr>
                </w:p>
              </w:tc>
              <w:tc>
                <w:tcPr>
                  <w:tcW w:w="1223" w:type="dxa"/>
                  <w:noWrap w:val="0"/>
                  <w:vAlign w:val="center"/>
                </w:tcPr>
                <w:p w14:paraId="6E1F3E1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3173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72C0C0EF">
                  <w:pPr>
                    <w:jc w:val="center"/>
                    <w:rPr>
                      <w:rFonts w:ascii="Times New Roman" w:hAnsi="Times New Roman" w:eastAsia="宋体" w:cs="Times New Roman"/>
                      <w:color w:val="000000"/>
                      <w:szCs w:val="21"/>
                    </w:rPr>
                  </w:pPr>
                </w:p>
              </w:tc>
              <w:tc>
                <w:tcPr>
                  <w:tcW w:w="2079" w:type="dxa"/>
                  <w:noWrap w:val="0"/>
                  <w:vAlign w:val="center"/>
                </w:tcPr>
                <w:p w14:paraId="3D155CA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苯并</w:t>
                  </w:r>
                  <w:r>
                    <w:rPr>
                      <w:rFonts w:ascii="Times New Roman" w:hAnsi="Times New Roman" w:eastAsia="宋体" w:cs="Times New Roman"/>
                      <w:color w:val="000000"/>
                      <w:szCs w:val="21"/>
                    </w:rPr>
                    <w:t>[b]荧蒽</w:t>
                  </w:r>
                </w:p>
              </w:tc>
              <w:tc>
                <w:tcPr>
                  <w:tcW w:w="1829" w:type="dxa"/>
                  <w:noWrap w:val="0"/>
                  <w:vAlign w:val="center"/>
                </w:tcPr>
                <w:p w14:paraId="76D89FB0">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5</w:t>
                  </w:r>
                </w:p>
              </w:tc>
              <w:tc>
                <w:tcPr>
                  <w:tcW w:w="2207" w:type="dxa"/>
                  <w:noWrap w:val="0"/>
                  <w:vAlign w:val="center"/>
                </w:tcPr>
                <w:p w14:paraId="01AEFBA2">
                  <w:pPr>
                    <w:jc w:val="center"/>
                    <w:rPr>
                      <w:rFonts w:ascii="Times New Roman" w:hAnsi="Times New Roman" w:eastAsia="宋体" w:cs="Times New Roman"/>
                      <w:color w:val="000000"/>
                      <w:szCs w:val="21"/>
                    </w:rPr>
                  </w:pPr>
                </w:p>
              </w:tc>
              <w:tc>
                <w:tcPr>
                  <w:tcW w:w="1223" w:type="dxa"/>
                  <w:noWrap w:val="0"/>
                  <w:vAlign w:val="center"/>
                </w:tcPr>
                <w:p w14:paraId="0E388A11">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5E69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6CDAAE17">
                  <w:pPr>
                    <w:jc w:val="center"/>
                    <w:rPr>
                      <w:rFonts w:ascii="Times New Roman" w:hAnsi="Times New Roman" w:eastAsia="宋体" w:cs="Times New Roman"/>
                      <w:color w:val="000000"/>
                      <w:szCs w:val="21"/>
                    </w:rPr>
                  </w:pPr>
                </w:p>
              </w:tc>
              <w:tc>
                <w:tcPr>
                  <w:tcW w:w="2079" w:type="dxa"/>
                  <w:noWrap w:val="0"/>
                  <w:vAlign w:val="center"/>
                </w:tcPr>
                <w:p w14:paraId="1C6568C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苯并</w:t>
                  </w:r>
                  <w:r>
                    <w:rPr>
                      <w:rFonts w:ascii="Times New Roman" w:hAnsi="Times New Roman" w:eastAsia="宋体" w:cs="Times New Roman"/>
                      <w:color w:val="000000"/>
                      <w:szCs w:val="21"/>
                    </w:rPr>
                    <w:t>[k]荧蒽</w:t>
                  </w:r>
                </w:p>
              </w:tc>
              <w:tc>
                <w:tcPr>
                  <w:tcW w:w="1829" w:type="dxa"/>
                  <w:noWrap w:val="0"/>
                  <w:vAlign w:val="center"/>
                </w:tcPr>
                <w:p w14:paraId="1344B116">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51</w:t>
                  </w:r>
                </w:p>
              </w:tc>
              <w:tc>
                <w:tcPr>
                  <w:tcW w:w="2207" w:type="dxa"/>
                  <w:noWrap w:val="0"/>
                  <w:vAlign w:val="center"/>
                </w:tcPr>
                <w:p w14:paraId="7C8CA63F">
                  <w:pPr>
                    <w:jc w:val="center"/>
                    <w:rPr>
                      <w:rFonts w:ascii="Times New Roman" w:hAnsi="Times New Roman" w:eastAsia="宋体" w:cs="Times New Roman"/>
                      <w:color w:val="000000"/>
                      <w:szCs w:val="21"/>
                    </w:rPr>
                  </w:pPr>
                </w:p>
              </w:tc>
              <w:tc>
                <w:tcPr>
                  <w:tcW w:w="1223" w:type="dxa"/>
                  <w:noWrap w:val="0"/>
                  <w:vAlign w:val="center"/>
                </w:tcPr>
                <w:p w14:paraId="1190F15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4C36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671707DB">
                  <w:pPr>
                    <w:jc w:val="center"/>
                    <w:rPr>
                      <w:rFonts w:ascii="Times New Roman" w:hAnsi="Times New Roman" w:eastAsia="宋体" w:cs="Times New Roman"/>
                      <w:color w:val="000000"/>
                      <w:szCs w:val="21"/>
                    </w:rPr>
                  </w:pPr>
                </w:p>
              </w:tc>
              <w:tc>
                <w:tcPr>
                  <w:tcW w:w="2079" w:type="dxa"/>
                  <w:noWrap w:val="0"/>
                  <w:vAlign w:val="center"/>
                </w:tcPr>
                <w:p w14:paraId="0207E9F3">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䓛</w:t>
                  </w:r>
                </w:p>
              </w:tc>
              <w:tc>
                <w:tcPr>
                  <w:tcW w:w="1829" w:type="dxa"/>
                  <w:noWrap w:val="0"/>
                  <w:vAlign w:val="center"/>
                </w:tcPr>
                <w:p w14:paraId="21B4233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293</w:t>
                  </w:r>
                </w:p>
              </w:tc>
              <w:tc>
                <w:tcPr>
                  <w:tcW w:w="2207" w:type="dxa"/>
                  <w:noWrap w:val="0"/>
                  <w:vAlign w:val="center"/>
                </w:tcPr>
                <w:p w14:paraId="3DF1F772">
                  <w:pPr>
                    <w:jc w:val="center"/>
                    <w:rPr>
                      <w:rFonts w:ascii="Times New Roman" w:hAnsi="Times New Roman" w:eastAsia="宋体" w:cs="Times New Roman"/>
                      <w:color w:val="000000"/>
                      <w:szCs w:val="21"/>
                    </w:rPr>
                  </w:pPr>
                </w:p>
              </w:tc>
              <w:tc>
                <w:tcPr>
                  <w:tcW w:w="1223" w:type="dxa"/>
                  <w:noWrap w:val="0"/>
                  <w:vAlign w:val="center"/>
                </w:tcPr>
                <w:p w14:paraId="6772973D">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6BB2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080F38CD">
                  <w:pPr>
                    <w:jc w:val="center"/>
                    <w:rPr>
                      <w:rFonts w:ascii="Times New Roman" w:hAnsi="Times New Roman" w:eastAsia="宋体" w:cs="Times New Roman"/>
                      <w:color w:val="000000"/>
                      <w:szCs w:val="21"/>
                    </w:rPr>
                  </w:pPr>
                </w:p>
              </w:tc>
              <w:tc>
                <w:tcPr>
                  <w:tcW w:w="2079" w:type="dxa"/>
                  <w:noWrap w:val="0"/>
                  <w:vAlign w:val="center"/>
                </w:tcPr>
                <w:p w14:paraId="5177926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二苯并</w:t>
                  </w:r>
                  <w:r>
                    <w:rPr>
                      <w:rFonts w:ascii="Times New Roman" w:hAnsi="Times New Roman" w:eastAsia="宋体" w:cs="Times New Roman"/>
                      <w:color w:val="000000"/>
                      <w:szCs w:val="21"/>
                    </w:rPr>
                    <w:t>[a,h]蒽</w:t>
                  </w:r>
                </w:p>
              </w:tc>
              <w:tc>
                <w:tcPr>
                  <w:tcW w:w="1829" w:type="dxa"/>
                  <w:noWrap w:val="0"/>
                  <w:vAlign w:val="center"/>
                </w:tcPr>
                <w:p w14:paraId="2EB9B229">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.5</w:t>
                  </w:r>
                </w:p>
              </w:tc>
              <w:tc>
                <w:tcPr>
                  <w:tcW w:w="2207" w:type="dxa"/>
                  <w:noWrap w:val="0"/>
                  <w:vAlign w:val="center"/>
                </w:tcPr>
                <w:p w14:paraId="14A88662">
                  <w:pPr>
                    <w:jc w:val="center"/>
                    <w:rPr>
                      <w:rFonts w:ascii="Times New Roman" w:hAnsi="Times New Roman" w:eastAsia="宋体" w:cs="Times New Roman"/>
                      <w:color w:val="000000"/>
                      <w:szCs w:val="21"/>
                    </w:rPr>
                  </w:pPr>
                </w:p>
              </w:tc>
              <w:tc>
                <w:tcPr>
                  <w:tcW w:w="1223" w:type="dxa"/>
                  <w:noWrap w:val="0"/>
                  <w:vAlign w:val="center"/>
                </w:tcPr>
                <w:p w14:paraId="5F7AA6A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37E2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3F31BE73">
                  <w:pPr>
                    <w:jc w:val="center"/>
                    <w:rPr>
                      <w:rFonts w:ascii="Times New Roman" w:hAnsi="Times New Roman" w:eastAsia="宋体" w:cs="Times New Roman"/>
                      <w:color w:val="000000"/>
                      <w:szCs w:val="21"/>
                    </w:rPr>
                  </w:pPr>
                </w:p>
              </w:tc>
              <w:tc>
                <w:tcPr>
                  <w:tcW w:w="2079" w:type="dxa"/>
                  <w:noWrap w:val="0"/>
                  <w:vAlign w:val="center"/>
                </w:tcPr>
                <w:p w14:paraId="6870E086">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茚并</w:t>
                  </w:r>
                  <w:r>
                    <w:rPr>
                      <w:rFonts w:ascii="Times New Roman" w:hAnsi="Times New Roman" w:eastAsia="宋体" w:cs="Times New Roman"/>
                      <w:color w:val="000000"/>
                      <w:szCs w:val="21"/>
                    </w:rPr>
                    <w:t>[1,2,3-cd]芘</w:t>
                  </w:r>
                </w:p>
              </w:tc>
              <w:tc>
                <w:tcPr>
                  <w:tcW w:w="1829" w:type="dxa"/>
                  <w:noWrap w:val="0"/>
                  <w:vAlign w:val="center"/>
                </w:tcPr>
                <w:p w14:paraId="02D23977">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5</w:t>
                  </w:r>
                </w:p>
              </w:tc>
              <w:tc>
                <w:tcPr>
                  <w:tcW w:w="2207" w:type="dxa"/>
                  <w:noWrap w:val="0"/>
                  <w:vAlign w:val="center"/>
                </w:tcPr>
                <w:p w14:paraId="762A0D95">
                  <w:pPr>
                    <w:jc w:val="center"/>
                    <w:rPr>
                      <w:rFonts w:ascii="Times New Roman" w:hAnsi="Times New Roman" w:eastAsia="宋体" w:cs="Times New Roman"/>
                      <w:color w:val="000000"/>
                      <w:szCs w:val="21"/>
                    </w:rPr>
                  </w:pPr>
                </w:p>
              </w:tc>
              <w:tc>
                <w:tcPr>
                  <w:tcW w:w="1223" w:type="dxa"/>
                  <w:noWrap w:val="0"/>
                  <w:vAlign w:val="center"/>
                </w:tcPr>
                <w:p w14:paraId="308FE1F5">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r w14:paraId="5F4C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vMerge w:val="continue"/>
                  <w:noWrap w:val="0"/>
                  <w:vAlign w:val="center"/>
                </w:tcPr>
                <w:p w14:paraId="06C6EC4A">
                  <w:pPr>
                    <w:jc w:val="center"/>
                    <w:rPr>
                      <w:rFonts w:ascii="Times New Roman" w:hAnsi="Times New Roman" w:eastAsia="宋体" w:cs="Times New Roman"/>
                      <w:color w:val="000000"/>
                      <w:szCs w:val="21"/>
                    </w:rPr>
                  </w:pPr>
                </w:p>
              </w:tc>
              <w:tc>
                <w:tcPr>
                  <w:tcW w:w="2079" w:type="dxa"/>
                  <w:noWrap w:val="0"/>
                  <w:vAlign w:val="center"/>
                </w:tcPr>
                <w:p w14:paraId="0E1818F1">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萘</w:t>
                  </w:r>
                </w:p>
              </w:tc>
              <w:tc>
                <w:tcPr>
                  <w:tcW w:w="1829" w:type="dxa"/>
                  <w:noWrap w:val="0"/>
                  <w:vAlign w:val="center"/>
                </w:tcPr>
                <w:p w14:paraId="0554C41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0</w:t>
                  </w:r>
                </w:p>
              </w:tc>
              <w:tc>
                <w:tcPr>
                  <w:tcW w:w="2207" w:type="dxa"/>
                  <w:noWrap w:val="0"/>
                  <w:vAlign w:val="center"/>
                </w:tcPr>
                <w:p w14:paraId="0DCE49CE">
                  <w:pPr>
                    <w:jc w:val="center"/>
                    <w:rPr>
                      <w:rFonts w:ascii="Times New Roman" w:hAnsi="Times New Roman" w:eastAsia="宋体" w:cs="Times New Roman"/>
                      <w:color w:val="000000"/>
                      <w:szCs w:val="21"/>
                    </w:rPr>
                  </w:pPr>
                </w:p>
              </w:tc>
              <w:tc>
                <w:tcPr>
                  <w:tcW w:w="1223" w:type="dxa"/>
                  <w:noWrap w:val="0"/>
                  <w:vAlign w:val="center"/>
                </w:tcPr>
                <w:p w14:paraId="3B63856D">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达标</w:t>
                  </w:r>
                </w:p>
              </w:tc>
            </w:tr>
          </w:tbl>
          <w:p w14:paraId="4A950FEE">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监测结果表明，</w:t>
            </w:r>
            <w:r>
              <w:rPr>
                <w:rFonts w:hint="eastAsia" w:ascii="Times New Roman" w:hAnsi="Times New Roman" w:eastAsia="宋体" w:cs="Times New Roman"/>
                <w:kern w:val="0"/>
                <w:sz w:val="24"/>
                <w:lang w:val="en-US" w:eastAsia="zh-CN"/>
              </w:rPr>
              <w:t>各</w:t>
            </w:r>
            <w:r>
              <w:rPr>
                <w:rFonts w:hint="eastAsia" w:ascii="Times New Roman" w:hAnsi="Times New Roman" w:eastAsia="宋体" w:cs="Times New Roman"/>
                <w:kern w:val="0"/>
                <w:sz w:val="24"/>
                <w:lang w:eastAsia="zh-CN"/>
              </w:rPr>
              <w:t>点位</w:t>
            </w:r>
            <w:r>
              <w:rPr>
                <w:rFonts w:hint="eastAsia" w:ascii="Times New Roman" w:hAnsi="Times New Roman" w:eastAsia="宋体" w:cs="Times New Roman"/>
                <w:kern w:val="0"/>
                <w:sz w:val="24"/>
              </w:rPr>
              <w:t>土壤监测因子均满足《土壤环境质量 建设用地土壤污染风险管控标准（试行）》（GB36600-2018）中第二类用地筛选值标准。</w:t>
            </w:r>
          </w:p>
          <w:p w14:paraId="20384146">
            <w:pPr>
              <w:pStyle w:val="6"/>
              <w:spacing w:line="500" w:lineRule="exact"/>
              <w:ind w:firstLine="480"/>
              <w:rPr>
                <w:rFonts w:hint="eastAsia"/>
                <w:kern w:val="0"/>
                <w:sz w:val="24"/>
              </w:rPr>
            </w:pPr>
            <w:r>
              <w:rPr>
                <w:rFonts w:hint="eastAsia"/>
                <w:kern w:val="0"/>
                <w:sz w:val="24"/>
              </w:rPr>
              <w:t>五、生态环境质量现状</w:t>
            </w:r>
          </w:p>
          <w:p w14:paraId="41256C8B">
            <w:pPr>
              <w:pStyle w:val="6"/>
              <w:spacing w:line="500" w:lineRule="exact"/>
              <w:ind w:firstLine="480"/>
              <w:rPr>
                <w:rFonts w:hint="eastAsia"/>
                <w:kern w:val="0"/>
                <w:sz w:val="24"/>
              </w:rPr>
            </w:pPr>
            <w:r>
              <w:rPr>
                <w:rFonts w:hint="eastAsia"/>
                <w:kern w:val="0"/>
                <w:sz w:val="24"/>
              </w:rPr>
              <w:t>根据规划环评和现场调查，项目用地范围内无生态环境保护目标，根据《建设项目环境影响报告表编制技术指南（污染影响类）（试行）》，不再做现状监测。</w:t>
            </w:r>
          </w:p>
          <w:p w14:paraId="6B0F9131">
            <w:pPr>
              <w:pStyle w:val="6"/>
              <w:spacing w:line="500" w:lineRule="exact"/>
              <w:ind w:left="0" w:leftChars="0" w:firstLine="0" w:firstLineChars="0"/>
              <w:rPr>
                <w:rFonts w:hint="eastAsia"/>
                <w:kern w:val="0"/>
                <w:szCs w:val="21"/>
                <w:lang w:val="en-US" w:eastAsia="zh-CN"/>
              </w:rPr>
            </w:pPr>
          </w:p>
          <w:p w14:paraId="120F228B">
            <w:pPr>
              <w:pStyle w:val="6"/>
              <w:spacing w:line="500" w:lineRule="exact"/>
              <w:ind w:left="0" w:leftChars="0" w:firstLine="0" w:firstLineChars="0"/>
              <w:rPr>
                <w:rFonts w:hint="eastAsia"/>
                <w:kern w:val="0"/>
                <w:szCs w:val="21"/>
                <w:lang w:val="en-US" w:eastAsia="zh-CN"/>
              </w:rPr>
            </w:pPr>
          </w:p>
          <w:p w14:paraId="0458D989">
            <w:pPr>
              <w:pStyle w:val="6"/>
              <w:spacing w:line="500" w:lineRule="exact"/>
              <w:ind w:left="0" w:leftChars="0" w:firstLine="0" w:firstLineChars="0"/>
              <w:rPr>
                <w:rFonts w:hint="eastAsia"/>
                <w:kern w:val="0"/>
                <w:szCs w:val="21"/>
                <w:lang w:val="en-US" w:eastAsia="zh-CN"/>
              </w:rPr>
            </w:pPr>
          </w:p>
          <w:p w14:paraId="01167A21">
            <w:pPr>
              <w:pStyle w:val="6"/>
              <w:spacing w:line="500" w:lineRule="exact"/>
              <w:ind w:left="0" w:leftChars="0" w:firstLine="0" w:firstLineChars="0"/>
              <w:rPr>
                <w:rFonts w:hint="eastAsia"/>
                <w:kern w:val="0"/>
                <w:szCs w:val="21"/>
                <w:lang w:val="en-US" w:eastAsia="zh-CN"/>
              </w:rPr>
            </w:pPr>
          </w:p>
          <w:p w14:paraId="69B05E39">
            <w:pPr>
              <w:pStyle w:val="6"/>
              <w:spacing w:line="500" w:lineRule="exact"/>
              <w:ind w:left="0" w:leftChars="0" w:firstLine="0" w:firstLineChars="0"/>
              <w:rPr>
                <w:rFonts w:hint="eastAsia"/>
                <w:kern w:val="0"/>
                <w:szCs w:val="21"/>
                <w:lang w:val="en-US" w:eastAsia="zh-CN"/>
              </w:rPr>
            </w:pPr>
          </w:p>
          <w:p w14:paraId="6BDD4B32">
            <w:pPr>
              <w:pStyle w:val="6"/>
              <w:spacing w:line="500" w:lineRule="exact"/>
              <w:ind w:left="0" w:leftChars="0" w:firstLine="0" w:firstLineChars="0"/>
              <w:rPr>
                <w:rFonts w:hint="eastAsia"/>
                <w:kern w:val="0"/>
                <w:szCs w:val="21"/>
                <w:lang w:val="en-US" w:eastAsia="zh-CN"/>
              </w:rPr>
            </w:pPr>
          </w:p>
          <w:p w14:paraId="3CE6E2F8">
            <w:pPr>
              <w:pStyle w:val="6"/>
              <w:spacing w:line="500" w:lineRule="exact"/>
              <w:ind w:left="0" w:leftChars="0" w:firstLine="0" w:firstLineChars="0"/>
              <w:rPr>
                <w:rFonts w:hint="eastAsia"/>
                <w:kern w:val="0"/>
                <w:szCs w:val="21"/>
                <w:lang w:val="en-US" w:eastAsia="zh-CN"/>
              </w:rPr>
            </w:pPr>
          </w:p>
          <w:p w14:paraId="1AA190C1">
            <w:pPr>
              <w:pStyle w:val="6"/>
              <w:spacing w:line="500" w:lineRule="exact"/>
              <w:ind w:left="0" w:leftChars="0" w:firstLine="0" w:firstLineChars="0"/>
              <w:rPr>
                <w:rFonts w:hint="eastAsia"/>
                <w:kern w:val="0"/>
                <w:szCs w:val="21"/>
                <w:lang w:val="en-US" w:eastAsia="zh-CN"/>
              </w:rPr>
            </w:pPr>
          </w:p>
          <w:p w14:paraId="3696C05C">
            <w:pPr>
              <w:pStyle w:val="6"/>
              <w:spacing w:line="500" w:lineRule="exact"/>
              <w:ind w:left="0" w:leftChars="0" w:firstLine="0" w:firstLineChars="0"/>
              <w:rPr>
                <w:rFonts w:hint="eastAsia"/>
                <w:kern w:val="0"/>
                <w:szCs w:val="21"/>
                <w:lang w:val="en-US" w:eastAsia="zh-CN"/>
              </w:rPr>
            </w:pPr>
          </w:p>
          <w:p w14:paraId="1C84C332">
            <w:pPr>
              <w:pStyle w:val="6"/>
              <w:spacing w:line="500" w:lineRule="exact"/>
              <w:ind w:left="0" w:leftChars="0" w:firstLine="0" w:firstLineChars="0"/>
              <w:rPr>
                <w:rFonts w:hint="eastAsia"/>
                <w:kern w:val="0"/>
                <w:szCs w:val="21"/>
                <w:lang w:val="en-US" w:eastAsia="zh-CN"/>
              </w:rPr>
            </w:pPr>
          </w:p>
          <w:p w14:paraId="378309AF">
            <w:pPr>
              <w:pStyle w:val="6"/>
              <w:spacing w:line="500" w:lineRule="exact"/>
              <w:ind w:left="0" w:leftChars="0" w:firstLine="0" w:firstLineChars="0"/>
              <w:rPr>
                <w:rFonts w:hint="eastAsia"/>
                <w:kern w:val="0"/>
                <w:szCs w:val="21"/>
                <w:lang w:val="en-US" w:eastAsia="zh-CN"/>
              </w:rPr>
            </w:pPr>
          </w:p>
          <w:p w14:paraId="7FA08FCD">
            <w:pPr>
              <w:pStyle w:val="6"/>
              <w:spacing w:line="500" w:lineRule="exact"/>
              <w:ind w:left="0" w:leftChars="0" w:firstLine="0" w:firstLineChars="0"/>
              <w:rPr>
                <w:rFonts w:hint="eastAsia"/>
                <w:kern w:val="0"/>
                <w:szCs w:val="21"/>
                <w:lang w:val="en-US" w:eastAsia="zh-CN"/>
              </w:rPr>
            </w:pPr>
          </w:p>
          <w:p w14:paraId="2783EEB6">
            <w:pPr>
              <w:pStyle w:val="6"/>
              <w:spacing w:line="500" w:lineRule="exact"/>
              <w:ind w:left="0" w:leftChars="0" w:firstLine="0" w:firstLineChars="0"/>
              <w:rPr>
                <w:rFonts w:hint="eastAsia"/>
                <w:kern w:val="0"/>
                <w:szCs w:val="21"/>
                <w:lang w:val="en-US" w:eastAsia="zh-CN"/>
              </w:rPr>
            </w:pPr>
          </w:p>
          <w:p w14:paraId="2475B69B">
            <w:pPr>
              <w:pStyle w:val="6"/>
              <w:spacing w:line="500" w:lineRule="exact"/>
              <w:ind w:left="0" w:leftChars="0" w:firstLine="0" w:firstLineChars="0"/>
              <w:rPr>
                <w:rFonts w:hint="default"/>
                <w:kern w:val="0"/>
                <w:szCs w:val="21"/>
                <w:lang w:val="en-US" w:eastAsia="zh-CN"/>
              </w:rPr>
            </w:pPr>
          </w:p>
          <w:p w14:paraId="028A268B">
            <w:pPr>
              <w:pStyle w:val="6"/>
              <w:spacing w:line="500" w:lineRule="exact"/>
              <w:ind w:left="0" w:leftChars="0" w:firstLine="0" w:firstLineChars="0"/>
              <w:rPr>
                <w:rFonts w:hint="default" w:eastAsia="宋体"/>
                <w:kern w:val="0"/>
                <w:szCs w:val="21"/>
                <w:lang w:val="en-US" w:eastAsia="zh-CN"/>
              </w:rPr>
            </w:pPr>
          </w:p>
        </w:tc>
      </w:tr>
      <w:tr w14:paraId="502D1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1" w:hRule="atLeast"/>
          <w:jc w:val="center"/>
        </w:trPr>
        <w:tc>
          <w:tcPr>
            <w:tcW w:w="404" w:type="dxa"/>
            <w:noWrap w:val="0"/>
            <w:vAlign w:val="center"/>
          </w:tcPr>
          <w:p w14:paraId="63C74C34">
            <w:pPr>
              <w:adjustRightInd w:val="0"/>
              <w:snapToGrid w:val="0"/>
              <w:jc w:val="center"/>
              <w:rPr>
                <w:kern w:val="0"/>
                <w:szCs w:val="21"/>
              </w:rPr>
            </w:pPr>
            <w:r>
              <w:rPr>
                <w:kern w:val="0"/>
                <w:szCs w:val="21"/>
              </w:rPr>
              <w:t>环境</w:t>
            </w:r>
          </w:p>
          <w:p w14:paraId="6DE80BEE">
            <w:pPr>
              <w:adjustRightInd w:val="0"/>
              <w:snapToGrid w:val="0"/>
              <w:jc w:val="center"/>
              <w:rPr>
                <w:kern w:val="0"/>
                <w:szCs w:val="21"/>
              </w:rPr>
            </w:pPr>
            <w:r>
              <w:rPr>
                <w:kern w:val="0"/>
                <w:szCs w:val="21"/>
              </w:rPr>
              <w:t>保护</w:t>
            </w:r>
          </w:p>
          <w:p w14:paraId="755740F3">
            <w:pPr>
              <w:adjustRightInd w:val="0"/>
              <w:snapToGrid w:val="0"/>
              <w:jc w:val="center"/>
              <w:rPr>
                <w:kern w:val="0"/>
                <w:szCs w:val="21"/>
              </w:rPr>
            </w:pPr>
            <w:r>
              <w:rPr>
                <w:kern w:val="0"/>
                <w:szCs w:val="21"/>
              </w:rPr>
              <w:t>目标</w:t>
            </w:r>
          </w:p>
        </w:tc>
        <w:tc>
          <w:tcPr>
            <w:tcW w:w="8657" w:type="dxa"/>
            <w:noWrap w:val="0"/>
            <w:vAlign w:val="center"/>
          </w:tcPr>
          <w:p w14:paraId="5143D53D">
            <w:pPr>
              <w:pStyle w:val="6"/>
              <w:spacing w:line="500" w:lineRule="exact"/>
              <w:ind w:firstLine="48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rPr>
              <w:t>项目所在地位</w:t>
            </w:r>
            <w:r>
              <w:rPr>
                <w:rFonts w:hint="eastAsia" w:ascii="Times New Roman" w:hAnsi="Times New Roman" w:eastAsia="宋体" w:cs="Times New Roman"/>
                <w:kern w:val="0"/>
                <w:sz w:val="24"/>
                <w:lang w:val="en-US" w:eastAsia="zh-CN"/>
              </w:rPr>
              <w:t>于</w:t>
            </w:r>
            <w:r>
              <w:rPr>
                <w:rFonts w:hint="eastAsia" w:ascii="Times New Roman" w:hAnsi="Times New Roman" w:eastAsia="宋体" w:cs="Times New Roman"/>
                <w:kern w:val="0"/>
                <w:sz w:val="24"/>
                <w:lang w:eastAsia="zh-CN"/>
              </w:rPr>
              <w:t>钦州市中国（广西）自由贸易试验区钦州港片区金鼓江西岸</w:t>
            </w:r>
            <w:r>
              <w:rPr>
                <w:rFonts w:hint="eastAsia" w:ascii="Times New Roman" w:hAnsi="Times New Roman" w:eastAsia="宋体" w:cs="Times New Roman"/>
                <w:kern w:val="0"/>
                <w:sz w:val="24"/>
              </w:rPr>
              <w:t>，评价范围内无自然保护区、水源地保护区、森林公园、风景名胜区、国家生态公益林分布。环境保护目标</w:t>
            </w:r>
            <w:r>
              <w:rPr>
                <w:rFonts w:hint="eastAsia" w:ascii="Times New Roman" w:hAnsi="Times New Roman" w:eastAsia="宋体" w:cs="Times New Roman"/>
                <w:kern w:val="0"/>
                <w:sz w:val="24"/>
                <w:lang w:val="en-US" w:eastAsia="zh-CN"/>
              </w:rPr>
              <w:t>见表3-1</w:t>
            </w:r>
            <w:r>
              <w:rPr>
                <w:rFonts w:hint="eastAsia" w:cs="Times New Roman"/>
                <w:kern w:val="0"/>
                <w:sz w:val="24"/>
                <w:lang w:val="en-US" w:eastAsia="zh-CN"/>
              </w:rPr>
              <w:t>2</w:t>
            </w:r>
            <w:r>
              <w:rPr>
                <w:rFonts w:hint="eastAsia" w:ascii="Times New Roman" w:hAnsi="Times New Roman" w:eastAsia="宋体" w:cs="Times New Roman"/>
                <w:kern w:val="0"/>
                <w:sz w:val="24"/>
                <w:lang w:eastAsia="zh-CN"/>
              </w:rPr>
              <w:t>。</w:t>
            </w:r>
          </w:p>
          <w:p w14:paraId="655BCD0B">
            <w:pPr>
              <w:pStyle w:val="6"/>
              <w:spacing w:line="500" w:lineRule="exact"/>
              <w:ind w:firstLine="482"/>
              <w:jc w:val="center"/>
              <w:rPr>
                <w:rFonts w:hint="eastAsia" w:ascii="Times New Roman" w:hAnsi="Times New Roman" w:eastAsia="宋体" w:cs="Times New Roman"/>
                <w:b/>
                <w:bCs/>
                <w:color w:val="auto"/>
                <w:kern w:val="0"/>
                <w:sz w:val="24"/>
                <w:lang w:val="zh-CN"/>
              </w:rPr>
            </w:pPr>
            <w:r>
              <w:rPr>
                <w:rFonts w:hint="eastAsia" w:ascii="Times New Roman" w:hAnsi="Times New Roman" w:eastAsia="宋体" w:cs="Times New Roman"/>
                <w:b/>
                <w:bCs/>
                <w:color w:val="auto"/>
                <w:kern w:val="0"/>
                <w:sz w:val="24"/>
                <w:lang w:val="zh-CN"/>
              </w:rPr>
              <w:t>表3-</w:t>
            </w:r>
            <w:r>
              <w:rPr>
                <w:rFonts w:hint="eastAsia" w:ascii="Times New Roman" w:hAnsi="Times New Roman" w:eastAsia="宋体" w:cs="Times New Roman"/>
                <w:b/>
                <w:bCs/>
                <w:color w:val="auto"/>
                <w:kern w:val="0"/>
                <w:sz w:val="24"/>
                <w:lang w:val="en-US" w:eastAsia="zh-CN"/>
              </w:rPr>
              <w:t>1</w:t>
            </w:r>
            <w:r>
              <w:rPr>
                <w:rFonts w:hint="eastAsia" w:cs="Times New Roman"/>
                <w:b/>
                <w:bCs/>
                <w:color w:val="auto"/>
                <w:kern w:val="0"/>
                <w:sz w:val="24"/>
                <w:lang w:val="en-US" w:eastAsia="zh-CN"/>
              </w:rPr>
              <w:t>2</w:t>
            </w:r>
            <w:r>
              <w:rPr>
                <w:rFonts w:hint="eastAsia" w:ascii="Times New Roman" w:hAnsi="Times New Roman" w:eastAsia="宋体" w:cs="Times New Roman"/>
                <w:b/>
                <w:bCs/>
                <w:color w:val="auto"/>
                <w:kern w:val="0"/>
                <w:sz w:val="24"/>
                <w:lang w:val="zh-CN"/>
              </w:rPr>
              <w:t xml:space="preserve"> 主要环境保护目标</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27"/>
              <w:gridCol w:w="1274"/>
              <w:gridCol w:w="1074"/>
              <w:gridCol w:w="1102"/>
              <w:gridCol w:w="1294"/>
              <w:gridCol w:w="61"/>
              <w:gridCol w:w="1114"/>
              <w:gridCol w:w="1838"/>
            </w:tblGrid>
            <w:tr w14:paraId="619E27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47" w:type="dxa"/>
                  <w:noWrap w:val="0"/>
                  <w:vAlign w:val="center"/>
                </w:tcPr>
                <w:p w14:paraId="10B3893B">
                  <w:pPr>
                    <w:jc w:val="center"/>
                  </w:pPr>
                  <w:r>
                    <w:rPr>
                      <w:rFonts w:hint="eastAsia"/>
                    </w:rPr>
                    <w:t>序号</w:t>
                  </w:r>
                </w:p>
              </w:tc>
              <w:tc>
                <w:tcPr>
                  <w:tcW w:w="1359" w:type="dxa"/>
                  <w:noWrap w:val="0"/>
                  <w:vAlign w:val="center"/>
                </w:tcPr>
                <w:p w14:paraId="2E0B15E1">
                  <w:pPr>
                    <w:jc w:val="center"/>
                  </w:pPr>
                  <w:r>
                    <w:t>环境敏感点</w:t>
                  </w:r>
                </w:p>
              </w:tc>
              <w:tc>
                <w:tcPr>
                  <w:tcW w:w="1139" w:type="dxa"/>
                  <w:noWrap w:val="0"/>
                  <w:vAlign w:val="center"/>
                </w:tcPr>
                <w:p w14:paraId="0381E71A">
                  <w:pPr>
                    <w:jc w:val="center"/>
                  </w:pPr>
                  <w:r>
                    <w:rPr>
                      <w:rFonts w:hint="eastAsia"/>
                    </w:rPr>
                    <w:t>相对位置</w:t>
                  </w:r>
                </w:p>
              </w:tc>
              <w:tc>
                <w:tcPr>
                  <w:tcW w:w="1159" w:type="dxa"/>
                  <w:noWrap w:val="0"/>
                  <w:vAlign w:val="center"/>
                </w:tcPr>
                <w:p w14:paraId="661B8525">
                  <w:pPr>
                    <w:jc w:val="center"/>
                  </w:pPr>
                  <w:r>
                    <w:rPr>
                      <w:rFonts w:hint="eastAsia"/>
                    </w:rPr>
                    <w:t>相对距离</w:t>
                  </w:r>
                </w:p>
              </w:tc>
              <w:tc>
                <w:tcPr>
                  <w:tcW w:w="1380" w:type="dxa"/>
                  <w:noWrap w:val="0"/>
                  <w:vAlign w:val="center"/>
                </w:tcPr>
                <w:p w14:paraId="2D63C13E">
                  <w:pPr>
                    <w:jc w:val="center"/>
                  </w:pPr>
                  <w:r>
                    <w:rPr>
                      <w:rFonts w:hint="eastAsia"/>
                    </w:rPr>
                    <w:t>基本情况</w:t>
                  </w:r>
                </w:p>
              </w:tc>
              <w:tc>
                <w:tcPr>
                  <w:tcW w:w="1249" w:type="dxa"/>
                  <w:gridSpan w:val="2"/>
                  <w:noWrap w:val="0"/>
                  <w:vAlign w:val="center"/>
                </w:tcPr>
                <w:p w14:paraId="308263CF">
                  <w:pPr>
                    <w:jc w:val="center"/>
                  </w:pPr>
                  <w:r>
                    <w:rPr>
                      <w:rFonts w:hint="eastAsia"/>
                    </w:rPr>
                    <w:t>饮用水情况</w:t>
                  </w:r>
                </w:p>
              </w:tc>
              <w:tc>
                <w:tcPr>
                  <w:tcW w:w="1451" w:type="dxa"/>
                  <w:noWrap w:val="0"/>
                  <w:vAlign w:val="center"/>
                </w:tcPr>
                <w:p w14:paraId="42DB69AD">
                  <w:pPr>
                    <w:jc w:val="center"/>
                  </w:pPr>
                  <w:r>
                    <w:t>执行标准</w:t>
                  </w:r>
                </w:p>
              </w:tc>
            </w:tr>
            <w:tr w14:paraId="3D7A54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384" w:type="dxa"/>
                  <w:gridSpan w:val="8"/>
                  <w:noWrap w:val="0"/>
                  <w:vAlign w:val="center"/>
                </w:tcPr>
                <w:p w14:paraId="27176F8D">
                  <w:pPr>
                    <w:jc w:val="center"/>
                    <w:rPr>
                      <w:rFonts w:hint="eastAsia"/>
                    </w:rPr>
                  </w:pPr>
                  <w:r>
                    <w:rPr>
                      <w:rFonts w:hint="eastAsia"/>
                    </w:rPr>
                    <w:t>声环境</w:t>
                  </w:r>
                </w:p>
              </w:tc>
            </w:tr>
            <w:tr w14:paraId="03F7FD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384" w:type="dxa"/>
                  <w:gridSpan w:val="8"/>
                  <w:noWrap w:val="0"/>
                  <w:vAlign w:val="center"/>
                </w:tcPr>
                <w:p w14:paraId="10FEA381">
                  <w:pPr>
                    <w:jc w:val="center"/>
                    <w:rPr>
                      <w:rFonts w:hint="eastAsia"/>
                      <w:lang w:eastAsia="zh-CN"/>
                    </w:rPr>
                  </w:pPr>
                  <w:r>
                    <w:rPr>
                      <w:rFonts w:hint="eastAsia"/>
                      <w:lang w:val="en-US" w:eastAsia="zh-CN"/>
                    </w:rPr>
                    <w:t>/</w:t>
                  </w:r>
                </w:p>
              </w:tc>
            </w:tr>
            <w:tr w14:paraId="5701E8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384" w:type="dxa"/>
                  <w:gridSpan w:val="8"/>
                  <w:noWrap w:val="0"/>
                  <w:vAlign w:val="center"/>
                </w:tcPr>
                <w:p w14:paraId="6B2CA69D">
                  <w:pPr>
                    <w:jc w:val="center"/>
                  </w:pPr>
                  <w:r>
                    <w:t>大气环境</w:t>
                  </w:r>
                </w:p>
              </w:tc>
            </w:tr>
            <w:tr w14:paraId="3891C0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47" w:type="dxa"/>
                  <w:noWrap w:val="0"/>
                  <w:vAlign w:val="center"/>
                </w:tcPr>
                <w:p w14:paraId="042B0A88">
                  <w:pPr>
                    <w:jc w:val="center"/>
                    <w:rPr>
                      <w:rFonts w:hint="default"/>
                      <w:lang w:val="en-US" w:eastAsia="zh-CN"/>
                    </w:rPr>
                  </w:pPr>
                  <w:r>
                    <w:rPr>
                      <w:rFonts w:hint="eastAsia"/>
                      <w:lang w:val="en-US" w:eastAsia="zh-CN"/>
                    </w:rPr>
                    <w:t>1</w:t>
                  </w:r>
                </w:p>
              </w:tc>
              <w:tc>
                <w:tcPr>
                  <w:tcW w:w="1359" w:type="dxa"/>
                  <w:noWrap w:val="0"/>
                  <w:vAlign w:val="center"/>
                </w:tcPr>
                <w:p w14:paraId="5594E9EA">
                  <w:pPr>
                    <w:jc w:val="center"/>
                    <w:rPr>
                      <w:rFonts w:hint="eastAsia"/>
                      <w:color w:val="auto"/>
                      <w:lang w:val="en-US" w:eastAsia="zh-CN"/>
                    </w:rPr>
                  </w:pPr>
                  <w:r>
                    <w:rPr>
                      <w:rFonts w:hint="eastAsia"/>
                      <w:color w:val="auto"/>
                      <w:lang w:val="en-US" w:eastAsia="zh-CN"/>
                    </w:rPr>
                    <w:t>沙岗头村</w:t>
                  </w:r>
                </w:p>
              </w:tc>
              <w:tc>
                <w:tcPr>
                  <w:tcW w:w="1139" w:type="dxa"/>
                  <w:noWrap w:val="0"/>
                  <w:vAlign w:val="center"/>
                </w:tcPr>
                <w:p w14:paraId="202BDD28">
                  <w:pPr>
                    <w:jc w:val="center"/>
                    <w:rPr>
                      <w:rFonts w:hint="default"/>
                      <w:color w:val="auto"/>
                      <w:lang w:val="en-US" w:eastAsia="zh-CN"/>
                    </w:rPr>
                  </w:pPr>
                  <w:r>
                    <w:rPr>
                      <w:rFonts w:hint="eastAsia"/>
                      <w:color w:val="auto"/>
                      <w:lang w:val="en-US" w:eastAsia="zh-CN"/>
                    </w:rPr>
                    <w:t>西</w:t>
                  </w:r>
                </w:p>
              </w:tc>
              <w:tc>
                <w:tcPr>
                  <w:tcW w:w="1159" w:type="dxa"/>
                  <w:noWrap w:val="0"/>
                  <w:vAlign w:val="center"/>
                </w:tcPr>
                <w:p w14:paraId="69C694AA">
                  <w:pPr>
                    <w:jc w:val="center"/>
                    <w:rPr>
                      <w:rFonts w:hint="default"/>
                      <w:color w:val="auto"/>
                      <w:lang w:val="en-US" w:eastAsia="zh-CN"/>
                    </w:rPr>
                  </w:pPr>
                  <w:r>
                    <w:rPr>
                      <w:rFonts w:hint="eastAsia"/>
                      <w:color w:val="auto"/>
                      <w:u w:val="single"/>
                      <w:lang w:val="en-US" w:eastAsia="zh-CN"/>
                    </w:rPr>
                    <w:t>296</w:t>
                  </w:r>
                </w:p>
              </w:tc>
              <w:tc>
                <w:tcPr>
                  <w:tcW w:w="1447" w:type="dxa"/>
                  <w:gridSpan w:val="2"/>
                  <w:noWrap w:val="0"/>
                  <w:vAlign w:val="center"/>
                </w:tcPr>
                <w:p w14:paraId="0A928C79">
                  <w:pPr>
                    <w:jc w:val="center"/>
                    <w:rPr>
                      <w:rFonts w:hint="default"/>
                      <w:color w:val="auto"/>
                      <w:lang w:val="en-US" w:eastAsia="zh-CN"/>
                    </w:rPr>
                  </w:pPr>
                  <w:r>
                    <w:rPr>
                      <w:rFonts w:hint="eastAsia"/>
                      <w:color w:val="auto"/>
                      <w:lang w:val="en-US" w:eastAsia="zh-CN"/>
                    </w:rPr>
                    <w:t>50人</w:t>
                  </w:r>
                </w:p>
              </w:tc>
              <w:tc>
                <w:tcPr>
                  <w:tcW w:w="1182" w:type="dxa"/>
                  <w:noWrap w:val="0"/>
                  <w:vAlign w:val="center"/>
                </w:tcPr>
                <w:p w14:paraId="3D80D520">
                  <w:pPr>
                    <w:jc w:val="center"/>
                    <w:rPr>
                      <w:rFonts w:hint="default"/>
                      <w:color w:val="auto"/>
                      <w:lang w:val="en-US" w:eastAsia="zh-CN"/>
                    </w:rPr>
                  </w:pPr>
                  <w:r>
                    <w:rPr>
                      <w:rFonts w:hint="eastAsia"/>
                      <w:color w:val="auto"/>
                      <w:lang w:val="en-US" w:eastAsia="zh-CN"/>
                    </w:rPr>
                    <w:t>自来水</w:t>
                  </w:r>
                </w:p>
              </w:tc>
              <w:tc>
                <w:tcPr>
                  <w:tcW w:w="1451" w:type="dxa"/>
                  <w:noWrap w:val="0"/>
                  <w:vAlign w:val="center"/>
                </w:tcPr>
                <w:p w14:paraId="67A6F79D">
                  <w:pPr>
                    <w:jc w:val="center"/>
                    <w:rPr>
                      <w:rFonts w:hint="eastAsia"/>
                      <w:color w:val="auto"/>
                      <w:lang w:val="en-US" w:eastAsia="zh-CN"/>
                    </w:rPr>
                  </w:pPr>
                  <w:r>
                    <w:rPr>
                      <w:rFonts w:hint="eastAsia"/>
                      <w:color w:val="auto"/>
                      <w:lang w:val="en-US" w:eastAsia="zh-CN"/>
                    </w:rPr>
                    <w:t>《环境空气质量标准》（GB3095-2012）二级</w:t>
                  </w:r>
                </w:p>
              </w:tc>
            </w:tr>
            <w:tr w14:paraId="4F2615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384" w:type="dxa"/>
                  <w:gridSpan w:val="8"/>
                  <w:noWrap w:val="0"/>
                  <w:vAlign w:val="center"/>
                </w:tcPr>
                <w:p w14:paraId="50832C07">
                  <w:pPr>
                    <w:jc w:val="center"/>
                  </w:pPr>
                  <w:r>
                    <w:t>地下水环境：</w:t>
                  </w:r>
                  <w:r>
                    <w:rPr>
                      <w:rFonts w:hint="eastAsia"/>
                    </w:rPr>
                    <w:t>项目厂界外500m范围内不存在地下水集中式饮用水水源和热水、矿泉水、温泉等特殊地下水资源</w:t>
                  </w:r>
                </w:p>
              </w:tc>
            </w:tr>
            <w:tr w14:paraId="0DDA97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384" w:type="dxa"/>
                  <w:gridSpan w:val="8"/>
                  <w:noWrap w:val="0"/>
                  <w:vAlign w:val="center"/>
                </w:tcPr>
                <w:p w14:paraId="45C62329">
                  <w:pPr>
                    <w:jc w:val="center"/>
                  </w:pPr>
                  <w:r>
                    <w:t>生态环境：</w:t>
                  </w:r>
                  <w:r>
                    <w:rPr>
                      <w:rFonts w:hint="eastAsia"/>
                    </w:rPr>
                    <w:t>项目用地范围内不存在生态环境保护目标</w:t>
                  </w:r>
                </w:p>
              </w:tc>
            </w:tr>
          </w:tbl>
          <w:p w14:paraId="3BA342E9"/>
        </w:tc>
      </w:tr>
      <w:tr w14:paraId="0B822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404" w:type="dxa"/>
            <w:noWrap w:val="0"/>
            <w:tcMar>
              <w:left w:w="28" w:type="dxa"/>
              <w:right w:w="28" w:type="dxa"/>
            </w:tcMar>
            <w:vAlign w:val="center"/>
          </w:tcPr>
          <w:p w14:paraId="5E757F88">
            <w:pPr>
              <w:adjustRightInd w:val="0"/>
              <w:snapToGrid w:val="0"/>
              <w:jc w:val="center"/>
              <w:rPr>
                <w:kern w:val="0"/>
                <w:szCs w:val="21"/>
              </w:rPr>
            </w:pPr>
            <w:r>
              <w:rPr>
                <w:kern w:val="0"/>
                <w:szCs w:val="21"/>
              </w:rPr>
              <w:t>污染</w:t>
            </w:r>
          </w:p>
          <w:p w14:paraId="0A4C7108">
            <w:pPr>
              <w:adjustRightInd w:val="0"/>
              <w:snapToGrid w:val="0"/>
              <w:jc w:val="center"/>
              <w:rPr>
                <w:kern w:val="0"/>
                <w:szCs w:val="21"/>
              </w:rPr>
            </w:pPr>
            <w:r>
              <w:rPr>
                <w:kern w:val="0"/>
                <w:szCs w:val="21"/>
              </w:rPr>
              <w:t>物排</w:t>
            </w:r>
          </w:p>
          <w:p w14:paraId="6AED47AA">
            <w:pPr>
              <w:adjustRightInd w:val="0"/>
              <w:snapToGrid w:val="0"/>
              <w:jc w:val="center"/>
              <w:rPr>
                <w:kern w:val="0"/>
                <w:szCs w:val="21"/>
              </w:rPr>
            </w:pPr>
            <w:r>
              <w:rPr>
                <w:kern w:val="0"/>
                <w:szCs w:val="21"/>
              </w:rPr>
              <w:t>放控</w:t>
            </w:r>
          </w:p>
          <w:p w14:paraId="59C28411">
            <w:pPr>
              <w:adjustRightInd w:val="0"/>
              <w:snapToGrid w:val="0"/>
              <w:jc w:val="center"/>
              <w:rPr>
                <w:kern w:val="0"/>
                <w:szCs w:val="21"/>
              </w:rPr>
            </w:pPr>
            <w:r>
              <w:rPr>
                <w:kern w:val="0"/>
                <w:szCs w:val="21"/>
              </w:rPr>
              <w:t>制标</w:t>
            </w:r>
          </w:p>
          <w:p w14:paraId="5732FF04">
            <w:pPr>
              <w:adjustRightInd w:val="0"/>
              <w:snapToGrid w:val="0"/>
              <w:jc w:val="center"/>
              <w:rPr>
                <w:kern w:val="0"/>
                <w:szCs w:val="21"/>
              </w:rPr>
            </w:pPr>
            <w:r>
              <w:rPr>
                <w:kern w:val="0"/>
                <w:szCs w:val="21"/>
              </w:rPr>
              <w:t>准</w:t>
            </w:r>
          </w:p>
        </w:tc>
        <w:tc>
          <w:tcPr>
            <w:tcW w:w="8657" w:type="dxa"/>
            <w:noWrap w:val="0"/>
            <w:vAlign w:val="center"/>
          </w:tcPr>
          <w:p w14:paraId="50DC3D3D">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1、废气</w:t>
            </w:r>
          </w:p>
          <w:p w14:paraId="17B3BA3F">
            <w:pPr>
              <w:pStyle w:val="6"/>
              <w:spacing w:line="500" w:lineRule="exact"/>
              <w:ind w:firstLine="480"/>
              <w:rPr>
                <w:rFonts w:hint="eastAsia" w:ascii="Times New Roman" w:hAnsi="Times New Roman" w:eastAsia="宋体" w:cs="Times New Roman"/>
                <w:kern w:val="0"/>
                <w:sz w:val="24"/>
                <w:u w:val="none"/>
                <w:lang w:val="en-US" w:eastAsia="zh-CN"/>
              </w:rPr>
            </w:pPr>
            <w:r>
              <w:rPr>
                <w:rFonts w:hint="eastAsia" w:ascii="Times New Roman" w:hAnsi="Times New Roman" w:eastAsia="宋体" w:cs="Times New Roman"/>
                <w:kern w:val="0"/>
                <w:sz w:val="24"/>
                <w:u w:val="none"/>
                <w:lang w:val="en-US" w:eastAsia="zh-CN"/>
              </w:rPr>
              <w:t>施工期无组织扬尘执行《大气污染物综合排放标准》（GB16297-1996）表2无组织排放监测浓度限值，工程机械尾气执行《非道路移动机械用柴油机排气污染物排放限值及测量方法（中国第三、四阶段）》（GB 20891-2014）修改单中相应标准限值。</w:t>
            </w:r>
          </w:p>
          <w:p w14:paraId="07813CA8">
            <w:pPr>
              <w:pStyle w:val="6"/>
              <w:spacing w:line="500" w:lineRule="exact"/>
              <w:ind w:firstLine="480"/>
              <w:rPr>
                <w:rFonts w:hint="eastAsia" w:ascii="Times New Roman" w:hAnsi="Times New Roman" w:eastAsia="宋体" w:cs="Times New Roman"/>
                <w:color w:val="auto"/>
                <w:kern w:val="0"/>
                <w:sz w:val="24"/>
                <w:u w:val="none"/>
                <w:lang w:val="en-US" w:eastAsia="zh-CN"/>
              </w:rPr>
            </w:pPr>
            <w:r>
              <w:rPr>
                <w:rFonts w:hint="eastAsia" w:ascii="Times New Roman" w:hAnsi="Times New Roman" w:eastAsia="宋体" w:cs="Times New Roman"/>
                <w:color w:val="auto"/>
                <w:kern w:val="0"/>
                <w:sz w:val="24"/>
                <w:u w:val="none"/>
                <w:lang w:val="en-US" w:eastAsia="zh-CN"/>
              </w:rPr>
              <w:t>运营期汽车尾气、运输扬尘执行《大气污染物综合排放标准》（GB16297-1996）表2无组织排放监测浓度限值。</w:t>
            </w:r>
          </w:p>
          <w:p w14:paraId="6178EAD3">
            <w:pPr>
              <w:spacing w:line="500" w:lineRule="exact"/>
              <w:jc w:val="center"/>
              <w:rPr>
                <w:rFonts w:hint="eastAsia" w:ascii="Times New Roman" w:hAnsi="Times New Roman" w:eastAsia="宋体" w:cs="Times New Roman"/>
                <w:b/>
                <w:sz w:val="24"/>
                <w:lang w:val="en-GB"/>
              </w:rPr>
            </w:pPr>
            <w:r>
              <w:rPr>
                <w:rFonts w:hint="default" w:ascii="Times New Roman" w:hAnsi="Times New Roman" w:eastAsia="宋体" w:cs="Times New Roman"/>
                <w:b/>
                <w:sz w:val="24"/>
                <w:lang w:val="en-GB"/>
              </w:rPr>
              <w:t>表</w:t>
            </w:r>
            <w:r>
              <w:rPr>
                <w:rFonts w:hint="eastAsia" w:ascii="Times New Roman" w:hAnsi="Times New Roman" w:eastAsia="宋体" w:cs="Times New Roman"/>
                <w:b/>
                <w:sz w:val="24"/>
                <w:lang w:val="en-US" w:eastAsia="zh-CN"/>
              </w:rPr>
              <w:t>3-1</w:t>
            </w:r>
            <w:r>
              <w:rPr>
                <w:rFonts w:hint="eastAsia" w:cs="Times New Roman"/>
                <w:b/>
                <w:sz w:val="24"/>
                <w:lang w:val="en-US" w:eastAsia="zh-CN"/>
              </w:rPr>
              <w:t>3</w:t>
            </w:r>
            <w:r>
              <w:rPr>
                <w:rFonts w:hint="default" w:ascii="Times New Roman" w:hAnsi="Times New Roman" w:eastAsia="宋体" w:cs="Times New Roman"/>
                <w:b/>
                <w:sz w:val="24"/>
                <w:lang w:val="en-US" w:eastAsia="zh-CN"/>
              </w:rPr>
              <w:t xml:space="preserve">  </w:t>
            </w:r>
            <w:r>
              <w:rPr>
                <w:rFonts w:hint="default" w:ascii="Times New Roman" w:hAnsi="Times New Roman" w:eastAsia="宋体" w:cs="Times New Roman"/>
                <w:b/>
                <w:sz w:val="24"/>
                <w:lang w:val="en-GB"/>
              </w:rPr>
              <w:t>《大气污染物综合排放标准》（GB16297-1996）（摘录）</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47"/>
              <w:gridCol w:w="2308"/>
              <w:gridCol w:w="3001"/>
            </w:tblGrid>
            <w:tr w14:paraId="5ED89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23" w:type="pct"/>
                  <w:vMerge w:val="restart"/>
                  <w:tcBorders>
                    <w:top w:val="single" w:color="auto" w:sz="4" w:space="0"/>
                    <w:left w:val="single" w:color="auto" w:sz="4" w:space="0"/>
                    <w:bottom w:val="single" w:color="auto" w:sz="4" w:space="0"/>
                    <w:right w:val="single" w:color="auto" w:sz="4" w:space="0"/>
                  </w:tcBorders>
                  <w:noWrap w:val="0"/>
                  <w:vAlign w:val="center"/>
                </w:tcPr>
                <w:p w14:paraId="2B6F9D75">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rPr>
                    <w:t>污染物</w:t>
                  </w:r>
                </w:p>
              </w:tc>
              <w:tc>
                <w:tcPr>
                  <w:tcW w:w="3176" w:type="pct"/>
                  <w:gridSpan w:val="2"/>
                  <w:tcBorders>
                    <w:top w:val="single" w:color="auto" w:sz="4" w:space="0"/>
                    <w:left w:val="single" w:color="auto" w:sz="4" w:space="0"/>
                    <w:bottom w:val="single" w:color="auto" w:sz="4" w:space="0"/>
                    <w:right w:val="single" w:color="auto" w:sz="4" w:space="0"/>
                  </w:tcBorders>
                  <w:noWrap w:val="0"/>
                  <w:vAlign w:val="center"/>
                </w:tcPr>
                <w:p w14:paraId="696041D5">
                  <w:pPr>
                    <w:jc w:val="center"/>
                    <w:rPr>
                      <w:rFonts w:hint="default" w:ascii="Times New Roman" w:hAnsi="Times New Roman" w:eastAsia="宋体" w:cs="Times New Roman"/>
                      <w:szCs w:val="21"/>
                    </w:rPr>
                  </w:pPr>
                  <w:r>
                    <w:rPr>
                      <w:rFonts w:hint="default" w:ascii="Times New Roman" w:hAnsi="Times New Roman" w:eastAsia="宋体" w:cs="Times New Roman"/>
                      <w:szCs w:val="21"/>
                    </w:rPr>
                    <w:t>无组织排放监控浓度限值</w:t>
                  </w:r>
                </w:p>
              </w:tc>
            </w:tr>
            <w:tr w14:paraId="261E4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23" w:type="pct"/>
                  <w:vMerge w:val="continue"/>
                  <w:tcBorders>
                    <w:top w:val="single" w:color="auto" w:sz="4" w:space="0"/>
                    <w:left w:val="single" w:color="auto" w:sz="4" w:space="0"/>
                    <w:bottom w:val="single" w:color="auto" w:sz="4" w:space="0"/>
                    <w:right w:val="single" w:color="auto" w:sz="4" w:space="0"/>
                  </w:tcBorders>
                  <w:noWrap w:val="0"/>
                  <w:vAlign w:val="center"/>
                </w:tcPr>
                <w:p w14:paraId="2E2977A7">
                  <w:pPr>
                    <w:jc w:val="center"/>
                    <w:rPr>
                      <w:rFonts w:hint="default" w:ascii="Times New Roman" w:hAnsi="Times New Roman" w:eastAsia="宋体" w:cs="Times New Roman"/>
                      <w:szCs w:val="21"/>
                    </w:rPr>
                  </w:pPr>
                </w:p>
              </w:tc>
              <w:tc>
                <w:tcPr>
                  <w:tcW w:w="1381" w:type="pct"/>
                  <w:tcBorders>
                    <w:top w:val="single" w:color="auto" w:sz="4" w:space="0"/>
                    <w:left w:val="single" w:color="auto" w:sz="4" w:space="0"/>
                    <w:bottom w:val="single" w:color="auto" w:sz="4" w:space="0"/>
                    <w:right w:val="single" w:color="auto" w:sz="4" w:space="0"/>
                  </w:tcBorders>
                  <w:noWrap w:val="0"/>
                  <w:vAlign w:val="center"/>
                </w:tcPr>
                <w:p w14:paraId="0E3BAC35">
                  <w:pPr>
                    <w:jc w:val="center"/>
                    <w:rPr>
                      <w:rFonts w:hint="default" w:ascii="Times New Roman" w:hAnsi="Times New Roman" w:eastAsia="宋体" w:cs="Times New Roman"/>
                      <w:szCs w:val="21"/>
                    </w:rPr>
                  </w:pPr>
                  <w:r>
                    <w:rPr>
                      <w:rFonts w:hint="default" w:ascii="Times New Roman" w:hAnsi="Times New Roman" w:eastAsia="宋体" w:cs="Times New Roman"/>
                      <w:szCs w:val="21"/>
                    </w:rPr>
                    <w:t>监控点</w:t>
                  </w:r>
                </w:p>
              </w:tc>
              <w:tc>
                <w:tcPr>
                  <w:tcW w:w="1795" w:type="pct"/>
                  <w:tcBorders>
                    <w:top w:val="single" w:color="auto" w:sz="4" w:space="0"/>
                    <w:left w:val="single" w:color="auto" w:sz="4" w:space="0"/>
                    <w:bottom w:val="single" w:color="auto" w:sz="4" w:space="0"/>
                    <w:right w:val="single" w:color="auto" w:sz="4" w:space="0"/>
                  </w:tcBorders>
                  <w:noWrap w:val="0"/>
                  <w:vAlign w:val="center"/>
                </w:tcPr>
                <w:p w14:paraId="2ECDD46C">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rPr>
                    <w:t>浓度</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lang w:eastAsia="zh-CN"/>
                    </w:rPr>
                    <w:t>）</w:t>
                  </w:r>
                </w:p>
              </w:tc>
            </w:tr>
            <w:tr w14:paraId="0F6B3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4" w:hRule="atLeast"/>
                <w:jc w:val="center"/>
              </w:trPr>
              <w:tc>
                <w:tcPr>
                  <w:tcW w:w="1823" w:type="pct"/>
                  <w:tcBorders>
                    <w:top w:val="single" w:color="auto" w:sz="4" w:space="0"/>
                    <w:left w:val="single" w:color="auto" w:sz="4" w:space="0"/>
                    <w:bottom w:val="single" w:color="auto" w:sz="4" w:space="0"/>
                    <w:right w:val="single" w:color="auto" w:sz="4" w:space="0"/>
                  </w:tcBorders>
                  <w:noWrap w:val="0"/>
                  <w:vAlign w:val="center"/>
                </w:tcPr>
                <w:p w14:paraId="2C9CA874">
                  <w:pPr>
                    <w:jc w:val="center"/>
                    <w:rPr>
                      <w:rFonts w:hint="default" w:ascii="Times New Roman" w:hAnsi="Times New Roman" w:eastAsia="宋体" w:cs="Times New Roman"/>
                      <w:szCs w:val="21"/>
                    </w:rPr>
                  </w:pPr>
                  <w:r>
                    <w:rPr>
                      <w:rFonts w:hint="default" w:ascii="Times New Roman" w:hAnsi="Times New Roman" w:eastAsia="宋体" w:cs="Times New Roman"/>
                      <w:szCs w:val="21"/>
                    </w:rPr>
                    <w:t>颗粒物</w:t>
                  </w:r>
                </w:p>
              </w:tc>
              <w:tc>
                <w:tcPr>
                  <w:tcW w:w="1381" w:type="pct"/>
                  <w:tcBorders>
                    <w:top w:val="single" w:color="auto" w:sz="4" w:space="0"/>
                    <w:left w:val="single" w:color="auto" w:sz="4" w:space="0"/>
                    <w:bottom w:val="single" w:color="auto" w:sz="4" w:space="0"/>
                    <w:right w:val="single" w:color="auto" w:sz="4" w:space="0"/>
                  </w:tcBorders>
                  <w:noWrap w:val="0"/>
                  <w:vAlign w:val="center"/>
                </w:tcPr>
                <w:p w14:paraId="18F395D1">
                  <w:pPr>
                    <w:jc w:val="center"/>
                    <w:rPr>
                      <w:rFonts w:hint="default" w:ascii="Times New Roman" w:hAnsi="Times New Roman" w:eastAsia="宋体" w:cs="Times New Roman"/>
                      <w:szCs w:val="21"/>
                    </w:rPr>
                  </w:pPr>
                  <w:r>
                    <w:rPr>
                      <w:rFonts w:hint="default" w:ascii="Times New Roman" w:hAnsi="Times New Roman" w:eastAsia="宋体" w:cs="Times New Roman"/>
                      <w:szCs w:val="21"/>
                    </w:rPr>
                    <w:t>周界外浓度最高点</w:t>
                  </w:r>
                </w:p>
              </w:tc>
              <w:tc>
                <w:tcPr>
                  <w:tcW w:w="1795" w:type="pct"/>
                  <w:tcBorders>
                    <w:top w:val="single" w:color="auto" w:sz="4" w:space="0"/>
                    <w:left w:val="single" w:color="auto" w:sz="4" w:space="0"/>
                    <w:bottom w:val="single" w:color="auto" w:sz="4" w:space="0"/>
                    <w:right w:val="single" w:color="auto" w:sz="4" w:space="0"/>
                  </w:tcBorders>
                  <w:noWrap w:val="0"/>
                  <w:vAlign w:val="center"/>
                </w:tcPr>
                <w:p w14:paraId="36F2B56E">
                  <w:pPr>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r>
          </w:tbl>
          <w:p w14:paraId="52682B04">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2、废水</w:t>
            </w:r>
          </w:p>
          <w:p w14:paraId="1F6E7104">
            <w:pPr>
              <w:pStyle w:val="6"/>
              <w:spacing w:line="500" w:lineRule="exact"/>
              <w:ind w:firstLine="480"/>
              <w:rPr>
                <w:rFonts w:hint="default" w:ascii="Times New Roman" w:hAnsi="Times New Roman" w:eastAsia="宋体" w:cs="Times New Roman"/>
                <w:color w:val="000000"/>
                <w:kern w:val="0"/>
                <w:sz w:val="24"/>
                <w:u w:val="none"/>
                <w:lang w:val="en-US" w:eastAsia="zh-CN"/>
              </w:rPr>
            </w:pPr>
            <w:r>
              <w:rPr>
                <w:rFonts w:hint="eastAsia" w:ascii="Times New Roman" w:hAnsi="Times New Roman" w:eastAsia="宋体" w:cs="Times New Roman"/>
                <w:color w:val="000000"/>
                <w:kern w:val="0"/>
                <w:sz w:val="24"/>
                <w:u w:val="none"/>
                <w:lang w:val="en-US" w:eastAsia="zh-CN"/>
              </w:rPr>
              <w:t>施工期施工废水经简易沉淀池沉淀后回用于场地洒水降尘，不外排；施工期生活污水经化粪池处理达到</w:t>
            </w:r>
            <w:r>
              <w:rPr>
                <w:rFonts w:hint="eastAsia" w:cs="Times New Roman"/>
                <w:color w:val="000000"/>
                <w:kern w:val="0"/>
                <w:sz w:val="24"/>
                <w:u w:val="none"/>
                <w:lang w:val="en-US" w:eastAsia="zh-CN"/>
              </w:rPr>
              <w:t>钦州港工业污水集中处理厂</w:t>
            </w:r>
            <w:r>
              <w:rPr>
                <w:rFonts w:hint="eastAsia" w:ascii="Times New Roman" w:hAnsi="Times New Roman" w:eastAsia="宋体" w:cs="Times New Roman"/>
                <w:color w:val="000000"/>
                <w:kern w:val="0"/>
                <w:sz w:val="24"/>
                <w:u w:val="none"/>
                <w:lang w:val="en-US" w:eastAsia="zh-CN"/>
              </w:rPr>
              <w:t>进水水质</w:t>
            </w:r>
            <w:r>
              <w:rPr>
                <w:rFonts w:hint="eastAsia" w:cs="Times New Roman"/>
                <w:color w:val="000000"/>
                <w:kern w:val="0"/>
                <w:sz w:val="24"/>
                <w:u w:val="none"/>
                <w:lang w:val="en-US" w:eastAsia="zh-CN"/>
              </w:rPr>
              <w:t>要求</w:t>
            </w:r>
            <w:r>
              <w:rPr>
                <w:color w:val="000000"/>
                <w:kern w:val="0"/>
                <w:sz w:val="24"/>
                <w:u w:val="none"/>
              </w:rPr>
              <w:t>后</w:t>
            </w:r>
            <w:r>
              <w:rPr>
                <w:rFonts w:hint="eastAsia"/>
                <w:color w:val="000000"/>
                <w:kern w:val="0"/>
                <w:sz w:val="24"/>
                <w:u w:val="none"/>
                <w:lang w:val="en-US" w:eastAsia="zh-CN"/>
              </w:rPr>
              <w:t>排入钦州港工业污水集中处理厂</w:t>
            </w:r>
            <w:r>
              <w:rPr>
                <w:rFonts w:hint="eastAsia"/>
                <w:kern w:val="0"/>
                <w:sz w:val="24"/>
                <w:u w:val="none"/>
                <w:lang w:eastAsia="zh-CN"/>
              </w:rPr>
              <w:t>处理</w:t>
            </w:r>
            <w:r>
              <w:rPr>
                <w:kern w:val="0"/>
                <w:sz w:val="24"/>
                <w:u w:val="none"/>
              </w:rPr>
              <w:t>。</w:t>
            </w:r>
          </w:p>
          <w:p w14:paraId="7774DE16">
            <w:pPr>
              <w:pStyle w:val="6"/>
              <w:spacing w:line="500" w:lineRule="exact"/>
              <w:ind w:firstLine="480"/>
              <w:rPr>
                <w:rFonts w:hint="eastAsia"/>
                <w:color w:val="auto"/>
                <w:kern w:val="0"/>
                <w:sz w:val="24"/>
              </w:rPr>
            </w:pPr>
            <w:r>
              <w:rPr>
                <w:rFonts w:hint="eastAsia" w:ascii="Times New Roman" w:hAnsi="Times New Roman" w:eastAsia="宋体" w:cs="Times New Roman"/>
                <w:color w:val="auto"/>
                <w:kern w:val="0"/>
                <w:sz w:val="24"/>
                <w:u w:val="none"/>
                <w:lang w:eastAsia="zh-CN"/>
              </w:rPr>
              <w:t>根据《</w:t>
            </w:r>
            <w:r>
              <w:rPr>
                <w:rFonts w:hint="eastAsia" w:ascii="Times New Roman" w:hAnsi="Times New Roman" w:eastAsia="宋体" w:cs="Times New Roman"/>
                <w:color w:val="auto"/>
                <w:kern w:val="0"/>
                <w:sz w:val="24"/>
                <w:lang w:eastAsia="zh-CN"/>
              </w:rPr>
              <w:t>广西钦州石化产业园总体发展规划（2020-2035）环境影响报告书</w:t>
            </w:r>
            <w:r>
              <w:rPr>
                <w:rFonts w:hint="eastAsia" w:ascii="Times New Roman" w:hAnsi="Times New Roman" w:eastAsia="宋体" w:cs="Times New Roman"/>
                <w:color w:val="auto"/>
                <w:kern w:val="0"/>
                <w:sz w:val="24"/>
                <w:u w:val="none"/>
                <w:lang w:eastAsia="zh-CN"/>
              </w:rPr>
              <w:t>》，“区内集中污水处理厂均需设定接纳污水水质标准，凡入区项目必须自行进行污水预处理，达到污水处理厂接纳污水水质要求后，才</w:t>
            </w:r>
            <w:r>
              <w:rPr>
                <w:rFonts w:hint="eastAsia" w:cs="Times New Roman"/>
                <w:color w:val="auto"/>
                <w:kern w:val="0"/>
                <w:sz w:val="24"/>
                <w:u w:val="none"/>
                <w:lang w:eastAsia="zh-CN"/>
              </w:rPr>
              <w:t>可以</w:t>
            </w:r>
            <w:r>
              <w:rPr>
                <w:rFonts w:hint="eastAsia" w:ascii="Times New Roman" w:hAnsi="Times New Roman" w:eastAsia="宋体" w:cs="Times New Roman"/>
                <w:color w:val="auto"/>
                <w:kern w:val="0"/>
                <w:sz w:val="24"/>
                <w:u w:val="none"/>
                <w:lang w:eastAsia="zh-CN"/>
              </w:rPr>
              <w:t>排入规划区的污水管道送入污水处理厂进一步处理”。故本项目</w:t>
            </w:r>
            <w:r>
              <w:rPr>
                <w:rFonts w:hint="eastAsia"/>
                <w:color w:val="auto"/>
                <w:kern w:val="0"/>
                <w:sz w:val="24"/>
                <w:u w:val="none"/>
              </w:rPr>
              <w:t>运营期</w:t>
            </w:r>
            <w:r>
              <w:rPr>
                <w:rFonts w:hint="eastAsia"/>
                <w:color w:val="auto"/>
                <w:kern w:val="0"/>
                <w:sz w:val="24"/>
                <w:u w:val="none"/>
                <w:lang w:val="en-US" w:eastAsia="zh-CN"/>
              </w:rPr>
              <w:t>初期雨水经初期雨水收集池处理</w:t>
            </w:r>
            <w:r>
              <w:rPr>
                <w:color w:val="auto"/>
                <w:kern w:val="0"/>
                <w:sz w:val="24"/>
                <w:u w:val="none"/>
              </w:rPr>
              <w:t>达到</w:t>
            </w:r>
            <w:r>
              <w:rPr>
                <w:rFonts w:hint="eastAsia"/>
                <w:color w:val="auto"/>
                <w:kern w:val="0"/>
                <w:sz w:val="24"/>
                <w:u w:val="none"/>
                <w:lang w:val="en-US" w:eastAsia="zh-CN"/>
              </w:rPr>
              <w:t>钦州港工业污水集中处理厂</w:t>
            </w:r>
            <w:r>
              <w:rPr>
                <w:rFonts w:hint="eastAsia"/>
                <w:color w:val="auto"/>
                <w:kern w:val="0"/>
                <w:sz w:val="24"/>
                <w:u w:val="none"/>
              </w:rPr>
              <w:t>进水水质</w:t>
            </w:r>
            <w:r>
              <w:rPr>
                <w:rFonts w:hint="eastAsia"/>
                <w:color w:val="auto"/>
                <w:kern w:val="0"/>
                <w:sz w:val="24"/>
                <w:u w:val="none"/>
                <w:lang w:val="en-US" w:eastAsia="zh-CN"/>
              </w:rPr>
              <w:t>要求</w:t>
            </w:r>
            <w:r>
              <w:rPr>
                <w:color w:val="auto"/>
                <w:kern w:val="0"/>
                <w:sz w:val="24"/>
                <w:u w:val="none"/>
              </w:rPr>
              <w:t>后</w:t>
            </w:r>
            <w:r>
              <w:rPr>
                <w:rFonts w:hint="eastAsia"/>
                <w:color w:val="auto"/>
                <w:kern w:val="0"/>
                <w:sz w:val="24"/>
                <w:u w:val="none"/>
                <w:lang w:val="en-US" w:eastAsia="zh-CN"/>
              </w:rPr>
              <w:t>排入</w:t>
            </w:r>
            <w:r>
              <w:rPr>
                <w:rFonts w:hint="eastAsia"/>
                <w:color w:val="auto"/>
                <w:kern w:val="0"/>
                <w:sz w:val="24"/>
                <w:lang w:val="en-US" w:eastAsia="zh-CN"/>
              </w:rPr>
              <w:t>钦州港工业污水集中处理厂</w:t>
            </w:r>
            <w:r>
              <w:rPr>
                <w:rFonts w:hint="eastAsia"/>
                <w:color w:val="auto"/>
                <w:kern w:val="0"/>
                <w:sz w:val="24"/>
                <w:lang w:eastAsia="zh-CN"/>
              </w:rPr>
              <w:t>处理</w:t>
            </w:r>
            <w:r>
              <w:rPr>
                <w:color w:val="auto"/>
                <w:kern w:val="0"/>
                <w:sz w:val="24"/>
              </w:rPr>
              <w:t>。</w:t>
            </w:r>
          </w:p>
          <w:p w14:paraId="28B16AA5">
            <w:pPr>
              <w:spacing w:line="500" w:lineRule="exact"/>
              <w:jc w:val="center"/>
              <w:rPr>
                <w:rFonts w:hint="eastAsia"/>
                <w:b/>
                <w:color w:val="auto"/>
                <w:sz w:val="24"/>
                <w:lang w:val="en-GB"/>
              </w:rPr>
            </w:pPr>
            <w:r>
              <w:rPr>
                <w:b/>
                <w:color w:val="auto"/>
                <w:sz w:val="24"/>
                <w:lang w:val="en-GB"/>
              </w:rPr>
              <w:t>表</w:t>
            </w:r>
            <w:r>
              <w:rPr>
                <w:rFonts w:hint="eastAsia"/>
                <w:b/>
                <w:color w:val="auto"/>
                <w:sz w:val="24"/>
                <w:lang w:val="en-GB"/>
              </w:rPr>
              <w:t>3</w:t>
            </w:r>
            <w:r>
              <w:rPr>
                <w:b/>
                <w:color w:val="auto"/>
                <w:sz w:val="24"/>
                <w:lang w:val="en-GB"/>
              </w:rPr>
              <w:t>-</w:t>
            </w:r>
            <w:r>
              <w:rPr>
                <w:rFonts w:hint="eastAsia"/>
                <w:b/>
                <w:color w:val="auto"/>
                <w:sz w:val="24"/>
              </w:rPr>
              <w:t>1</w:t>
            </w:r>
            <w:r>
              <w:rPr>
                <w:rFonts w:hint="eastAsia"/>
                <w:b/>
                <w:color w:val="auto"/>
                <w:sz w:val="24"/>
                <w:lang w:val="en-US" w:eastAsia="zh-CN"/>
              </w:rPr>
              <w:t>4</w:t>
            </w:r>
            <w:r>
              <w:rPr>
                <w:b/>
                <w:color w:val="auto"/>
                <w:sz w:val="24"/>
                <w:lang w:val="en-GB"/>
              </w:rPr>
              <w:t xml:space="preserve"> </w:t>
            </w:r>
            <w:r>
              <w:rPr>
                <w:rFonts w:hint="eastAsia"/>
                <w:b/>
                <w:color w:val="auto"/>
                <w:sz w:val="24"/>
                <w:lang w:val="en-GB"/>
              </w:rPr>
              <w:t>外排废水执行标准</w:t>
            </w:r>
            <w:r>
              <w:rPr>
                <w:b/>
                <w:color w:val="auto"/>
                <w:sz w:val="24"/>
                <w:lang w:val="en-GB"/>
              </w:rPr>
              <w:t xml:space="preserve">  单位：mg/L</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2"/>
              <w:gridCol w:w="2071"/>
              <w:gridCol w:w="3804"/>
            </w:tblGrid>
            <w:tr w14:paraId="773E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pct"/>
                  <w:noWrap w:val="0"/>
                  <w:vAlign w:val="center"/>
                </w:tcPr>
                <w:p w14:paraId="292FFB7A">
                  <w:pPr>
                    <w:spacing w:line="300" w:lineRule="exact"/>
                    <w:jc w:val="center"/>
                    <w:rPr>
                      <w:rFonts w:hint="eastAsia"/>
                      <w:color w:val="auto"/>
                      <w:szCs w:val="21"/>
                    </w:rPr>
                  </w:pPr>
                  <w:r>
                    <w:rPr>
                      <w:rFonts w:hint="eastAsia"/>
                      <w:color w:val="auto"/>
                      <w:szCs w:val="21"/>
                    </w:rPr>
                    <w:t>项目</w:t>
                  </w:r>
                </w:p>
              </w:tc>
              <w:tc>
                <w:tcPr>
                  <w:tcW w:w="1236" w:type="pct"/>
                  <w:noWrap w:val="0"/>
                  <w:vAlign w:val="center"/>
                </w:tcPr>
                <w:p w14:paraId="7CBD74FB">
                  <w:pPr>
                    <w:spacing w:line="300" w:lineRule="exact"/>
                    <w:jc w:val="center"/>
                    <w:rPr>
                      <w:rFonts w:hint="eastAsia"/>
                      <w:color w:val="auto"/>
                      <w:szCs w:val="21"/>
                    </w:rPr>
                  </w:pPr>
                  <w:r>
                    <w:rPr>
                      <w:rFonts w:hint="eastAsia"/>
                      <w:color w:val="auto"/>
                      <w:szCs w:val="21"/>
                    </w:rPr>
                    <w:t>单位</w:t>
                  </w:r>
                </w:p>
              </w:tc>
              <w:tc>
                <w:tcPr>
                  <w:tcW w:w="2270" w:type="pct"/>
                  <w:noWrap w:val="0"/>
                  <w:vAlign w:val="center"/>
                </w:tcPr>
                <w:p w14:paraId="341A7ED7">
                  <w:pPr>
                    <w:spacing w:line="300" w:lineRule="exact"/>
                    <w:jc w:val="center"/>
                    <w:rPr>
                      <w:rFonts w:hint="eastAsia" w:eastAsia="宋体"/>
                      <w:color w:val="auto"/>
                      <w:szCs w:val="21"/>
                      <w:lang w:eastAsia="zh-CN"/>
                    </w:rPr>
                  </w:pPr>
                  <w:r>
                    <w:rPr>
                      <w:rFonts w:hint="eastAsia"/>
                      <w:color w:val="auto"/>
                      <w:szCs w:val="21"/>
                      <w:lang w:val="en-US" w:eastAsia="zh-CN"/>
                    </w:rPr>
                    <w:t>钦州港工业污水集中处理厂</w:t>
                  </w:r>
                  <w:r>
                    <w:rPr>
                      <w:rFonts w:hint="eastAsia"/>
                      <w:color w:val="auto"/>
                      <w:szCs w:val="21"/>
                    </w:rPr>
                    <w:t>进水水质</w:t>
                  </w:r>
                  <w:r>
                    <w:rPr>
                      <w:rFonts w:hint="eastAsia"/>
                      <w:color w:val="auto"/>
                      <w:szCs w:val="21"/>
                      <w:lang w:val="en-US" w:eastAsia="zh-CN"/>
                    </w:rPr>
                    <w:t>要求</w:t>
                  </w:r>
                </w:p>
              </w:tc>
            </w:tr>
            <w:tr w14:paraId="056B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pct"/>
                  <w:noWrap w:val="0"/>
                  <w:vAlign w:val="center"/>
                </w:tcPr>
                <w:p w14:paraId="60CE30A1">
                  <w:pPr>
                    <w:spacing w:line="300" w:lineRule="exact"/>
                    <w:jc w:val="center"/>
                    <w:rPr>
                      <w:rFonts w:hint="eastAsia"/>
                      <w:color w:val="auto"/>
                      <w:szCs w:val="21"/>
                    </w:rPr>
                  </w:pPr>
                  <w:r>
                    <w:rPr>
                      <w:rFonts w:hint="eastAsia"/>
                      <w:color w:val="auto"/>
                      <w:szCs w:val="21"/>
                    </w:rPr>
                    <w:t>pH值</w:t>
                  </w:r>
                </w:p>
              </w:tc>
              <w:tc>
                <w:tcPr>
                  <w:tcW w:w="1236" w:type="pct"/>
                  <w:noWrap w:val="0"/>
                  <w:vAlign w:val="center"/>
                </w:tcPr>
                <w:p w14:paraId="1BFDD2FD">
                  <w:pPr>
                    <w:spacing w:line="300" w:lineRule="exact"/>
                    <w:jc w:val="center"/>
                    <w:rPr>
                      <w:rFonts w:hint="eastAsia"/>
                      <w:color w:val="auto"/>
                      <w:szCs w:val="21"/>
                    </w:rPr>
                  </w:pPr>
                  <w:r>
                    <w:rPr>
                      <w:rFonts w:hint="eastAsia"/>
                      <w:color w:val="auto"/>
                      <w:szCs w:val="21"/>
                    </w:rPr>
                    <w:t>无量纲</w:t>
                  </w:r>
                </w:p>
              </w:tc>
              <w:tc>
                <w:tcPr>
                  <w:tcW w:w="2270" w:type="pct"/>
                  <w:noWrap w:val="0"/>
                  <w:vAlign w:val="center"/>
                </w:tcPr>
                <w:p w14:paraId="28DBF287">
                  <w:pPr>
                    <w:spacing w:line="300" w:lineRule="exact"/>
                    <w:jc w:val="center"/>
                    <w:rPr>
                      <w:rFonts w:hint="eastAsia"/>
                      <w:color w:val="auto"/>
                      <w:szCs w:val="21"/>
                      <w:u w:val="none"/>
                    </w:rPr>
                  </w:pPr>
                  <w:r>
                    <w:rPr>
                      <w:rFonts w:hint="eastAsia"/>
                      <w:color w:val="auto"/>
                      <w:szCs w:val="21"/>
                      <w:u w:val="none"/>
                    </w:rPr>
                    <w:t>6~9</w:t>
                  </w:r>
                </w:p>
              </w:tc>
            </w:tr>
            <w:tr w14:paraId="76C1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pct"/>
                  <w:noWrap w:val="0"/>
                  <w:vAlign w:val="center"/>
                </w:tcPr>
                <w:p w14:paraId="6B391C15">
                  <w:pPr>
                    <w:spacing w:line="300" w:lineRule="exact"/>
                    <w:jc w:val="center"/>
                    <w:rPr>
                      <w:rFonts w:hint="eastAsia"/>
                      <w:color w:val="auto"/>
                      <w:szCs w:val="21"/>
                    </w:rPr>
                  </w:pPr>
                  <w:r>
                    <w:rPr>
                      <w:rFonts w:hint="eastAsia"/>
                      <w:color w:val="auto"/>
                      <w:szCs w:val="21"/>
                    </w:rPr>
                    <w:t>COD</w:t>
                  </w:r>
                </w:p>
              </w:tc>
              <w:tc>
                <w:tcPr>
                  <w:tcW w:w="1236" w:type="pct"/>
                  <w:vMerge w:val="restart"/>
                  <w:noWrap w:val="0"/>
                  <w:vAlign w:val="center"/>
                </w:tcPr>
                <w:p w14:paraId="7DCED092">
                  <w:pPr>
                    <w:spacing w:line="300" w:lineRule="exact"/>
                    <w:jc w:val="center"/>
                    <w:rPr>
                      <w:rFonts w:hint="eastAsia"/>
                      <w:color w:val="auto"/>
                      <w:szCs w:val="21"/>
                    </w:rPr>
                  </w:pPr>
                  <w:r>
                    <w:rPr>
                      <w:color w:val="auto"/>
                      <w:szCs w:val="21"/>
                    </w:rPr>
                    <w:t>mg/L</w:t>
                  </w:r>
                </w:p>
              </w:tc>
              <w:tc>
                <w:tcPr>
                  <w:tcW w:w="2270" w:type="pct"/>
                  <w:noWrap w:val="0"/>
                  <w:vAlign w:val="center"/>
                </w:tcPr>
                <w:p w14:paraId="23890F56">
                  <w:pPr>
                    <w:spacing w:line="300" w:lineRule="exact"/>
                    <w:jc w:val="center"/>
                    <w:rPr>
                      <w:rFonts w:hint="default" w:eastAsia="宋体"/>
                      <w:color w:val="auto"/>
                      <w:szCs w:val="21"/>
                      <w:u w:val="none"/>
                      <w:lang w:val="en-US" w:eastAsia="zh-CN"/>
                    </w:rPr>
                  </w:pPr>
                  <w:r>
                    <w:rPr>
                      <w:rFonts w:hint="eastAsia"/>
                      <w:color w:val="auto"/>
                      <w:szCs w:val="21"/>
                      <w:u w:val="none"/>
                      <w:lang w:val="en-US" w:eastAsia="zh-CN"/>
                    </w:rPr>
                    <w:t>1000</w:t>
                  </w:r>
                </w:p>
              </w:tc>
            </w:tr>
            <w:tr w14:paraId="74B7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pct"/>
                  <w:noWrap w:val="0"/>
                  <w:vAlign w:val="center"/>
                </w:tcPr>
                <w:p w14:paraId="2D1BC9BE">
                  <w:pPr>
                    <w:spacing w:line="300" w:lineRule="exact"/>
                    <w:jc w:val="center"/>
                    <w:rPr>
                      <w:rFonts w:hint="eastAsia"/>
                      <w:color w:val="auto"/>
                      <w:szCs w:val="21"/>
                      <w:vertAlign w:val="subscript"/>
                    </w:rPr>
                  </w:pPr>
                  <w:r>
                    <w:rPr>
                      <w:rFonts w:hint="eastAsia"/>
                      <w:color w:val="auto"/>
                      <w:szCs w:val="21"/>
                    </w:rPr>
                    <w:t>BOD</w:t>
                  </w:r>
                  <w:r>
                    <w:rPr>
                      <w:rFonts w:hint="eastAsia"/>
                      <w:color w:val="auto"/>
                      <w:szCs w:val="21"/>
                      <w:vertAlign w:val="subscript"/>
                    </w:rPr>
                    <w:t>5</w:t>
                  </w:r>
                </w:p>
              </w:tc>
              <w:tc>
                <w:tcPr>
                  <w:tcW w:w="1236" w:type="pct"/>
                  <w:vMerge w:val="continue"/>
                  <w:noWrap w:val="0"/>
                  <w:vAlign w:val="center"/>
                </w:tcPr>
                <w:p w14:paraId="499A435C">
                  <w:pPr>
                    <w:spacing w:line="300" w:lineRule="exact"/>
                    <w:jc w:val="center"/>
                    <w:rPr>
                      <w:rFonts w:hint="eastAsia"/>
                      <w:color w:val="auto"/>
                      <w:szCs w:val="21"/>
                    </w:rPr>
                  </w:pPr>
                </w:p>
              </w:tc>
              <w:tc>
                <w:tcPr>
                  <w:tcW w:w="2270" w:type="pct"/>
                  <w:noWrap w:val="0"/>
                  <w:vAlign w:val="center"/>
                </w:tcPr>
                <w:p w14:paraId="7FD7D7F3">
                  <w:pPr>
                    <w:spacing w:line="300" w:lineRule="exact"/>
                    <w:jc w:val="center"/>
                    <w:rPr>
                      <w:rFonts w:hint="default" w:eastAsia="宋体"/>
                      <w:color w:val="auto"/>
                      <w:szCs w:val="21"/>
                      <w:u w:val="none"/>
                      <w:lang w:val="en-US" w:eastAsia="zh-CN"/>
                    </w:rPr>
                  </w:pPr>
                  <w:r>
                    <w:rPr>
                      <w:rFonts w:hint="eastAsia"/>
                      <w:color w:val="auto"/>
                      <w:szCs w:val="21"/>
                      <w:u w:val="none"/>
                      <w:lang w:val="en-US" w:eastAsia="zh-CN"/>
                    </w:rPr>
                    <w:t>—</w:t>
                  </w:r>
                </w:p>
              </w:tc>
            </w:tr>
            <w:tr w14:paraId="7558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pct"/>
                  <w:noWrap w:val="0"/>
                  <w:vAlign w:val="center"/>
                </w:tcPr>
                <w:p w14:paraId="19B5140D">
                  <w:pPr>
                    <w:spacing w:line="300" w:lineRule="exact"/>
                    <w:jc w:val="center"/>
                    <w:rPr>
                      <w:color w:val="auto"/>
                      <w:szCs w:val="21"/>
                    </w:rPr>
                  </w:pPr>
                  <w:r>
                    <w:rPr>
                      <w:rFonts w:hint="eastAsia"/>
                      <w:color w:val="auto"/>
                      <w:szCs w:val="21"/>
                    </w:rPr>
                    <w:t>SS</w:t>
                  </w:r>
                </w:p>
              </w:tc>
              <w:tc>
                <w:tcPr>
                  <w:tcW w:w="1236" w:type="pct"/>
                  <w:vMerge w:val="continue"/>
                  <w:noWrap w:val="0"/>
                  <w:vAlign w:val="center"/>
                </w:tcPr>
                <w:p w14:paraId="25F9473B">
                  <w:pPr>
                    <w:spacing w:line="300" w:lineRule="exact"/>
                    <w:jc w:val="center"/>
                    <w:rPr>
                      <w:rFonts w:hint="eastAsia"/>
                      <w:color w:val="auto"/>
                      <w:szCs w:val="21"/>
                    </w:rPr>
                  </w:pPr>
                </w:p>
              </w:tc>
              <w:tc>
                <w:tcPr>
                  <w:tcW w:w="2270" w:type="pct"/>
                  <w:noWrap w:val="0"/>
                  <w:vAlign w:val="center"/>
                </w:tcPr>
                <w:p w14:paraId="27223DF9">
                  <w:pPr>
                    <w:spacing w:line="300" w:lineRule="exact"/>
                    <w:jc w:val="center"/>
                    <w:rPr>
                      <w:rFonts w:hint="default" w:eastAsia="宋体"/>
                      <w:color w:val="auto"/>
                      <w:szCs w:val="21"/>
                      <w:u w:val="none"/>
                      <w:lang w:val="en-US" w:eastAsia="zh-CN"/>
                    </w:rPr>
                  </w:pPr>
                  <w:r>
                    <w:rPr>
                      <w:rFonts w:hint="eastAsia"/>
                      <w:color w:val="auto"/>
                      <w:szCs w:val="21"/>
                      <w:u w:val="none"/>
                      <w:lang w:val="en-US" w:eastAsia="zh-CN"/>
                    </w:rPr>
                    <w:t>250</w:t>
                  </w:r>
                </w:p>
              </w:tc>
            </w:tr>
            <w:tr w14:paraId="7DF0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pct"/>
                  <w:noWrap w:val="0"/>
                  <w:vAlign w:val="center"/>
                </w:tcPr>
                <w:p w14:paraId="3DFD53BA">
                  <w:pPr>
                    <w:spacing w:line="300" w:lineRule="exact"/>
                    <w:jc w:val="center"/>
                    <w:rPr>
                      <w:rFonts w:hint="eastAsia" w:eastAsia="宋体"/>
                      <w:color w:val="auto"/>
                      <w:szCs w:val="21"/>
                      <w:lang w:val="en-US" w:eastAsia="zh-CN"/>
                    </w:rPr>
                  </w:pPr>
                  <w:r>
                    <w:rPr>
                      <w:rFonts w:hint="eastAsia"/>
                      <w:color w:val="auto"/>
                      <w:szCs w:val="21"/>
                      <w:lang w:val="en-US" w:eastAsia="zh-CN"/>
                    </w:rPr>
                    <w:t>动植物油</w:t>
                  </w:r>
                </w:p>
              </w:tc>
              <w:tc>
                <w:tcPr>
                  <w:tcW w:w="1236" w:type="pct"/>
                  <w:vMerge w:val="continue"/>
                  <w:noWrap w:val="0"/>
                  <w:vAlign w:val="center"/>
                </w:tcPr>
                <w:p w14:paraId="4DECF3B7">
                  <w:pPr>
                    <w:spacing w:line="300" w:lineRule="exact"/>
                    <w:jc w:val="center"/>
                    <w:rPr>
                      <w:rFonts w:hint="eastAsia"/>
                      <w:color w:val="auto"/>
                      <w:szCs w:val="21"/>
                    </w:rPr>
                  </w:pPr>
                </w:p>
              </w:tc>
              <w:tc>
                <w:tcPr>
                  <w:tcW w:w="2270" w:type="pct"/>
                  <w:noWrap w:val="0"/>
                  <w:vAlign w:val="center"/>
                </w:tcPr>
                <w:p w14:paraId="19FEFCBB">
                  <w:pPr>
                    <w:spacing w:line="300" w:lineRule="exact"/>
                    <w:jc w:val="center"/>
                    <w:rPr>
                      <w:rFonts w:hint="default"/>
                      <w:color w:val="auto"/>
                      <w:szCs w:val="21"/>
                      <w:u w:val="none"/>
                      <w:lang w:val="en-US" w:eastAsia="zh-CN"/>
                    </w:rPr>
                  </w:pPr>
                  <w:r>
                    <w:rPr>
                      <w:rFonts w:hint="eastAsia"/>
                      <w:color w:val="auto"/>
                      <w:szCs w:val="21"/>
                      <w:u w:val="none"/>
                      <w:lang w:val="en-US" w:eastAsia="zh-CN"/>
                    </w:rPr>
                    <w:t>10</w:t>
                  </w:r>
                </w:p>
              </w:tc>
            </w:tr>
            <w:tr w14:paraId="6F5C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pct"/>
                  <w:noWrap w:val="0"/>
                  <w:vAlign w:val="center"/>
                </w:tcPr>
                <w:p w14:paraId="70B7E1AE">
                  <w:pPr>
                    <w:spacing w:line="300" w:lineRule="exact"/>
                    <w:jc w:val="center"/>
                    <w:rPr>
                      <w:rFonts w:hint="eastAsia"/>
                      <w:color w:val="auto"/>
                      <w:szCs w:val="21"/>
                    </w:rPr>
                  </w:pPr>
                  <w:r>
                    <w:rPr>
                      <w:rFonts w:hint="eastAsia"/>
                      <w:color w:val="auto"/>
                      <w:szCs w:val="21"/>
                    </w:rPr>
                    <w:t>氨氮</w:t>
                  </w:r>
                </w:p>
              </w:tc>
              <w:tc>
                <w:tcPr>
                  <w:tcW w:w="1236" w:type="pct"/>
                  <w:vMerge w:val="continue"/>
                  <w:noWrap w:val="0"/>
                  <w:vAlign w:val="center"/>
                </w:tcPr>
                <w:p w14:paraId="54498BBC">
                  <w:pPr>
                    <w:spacing w:line="300" w:lineRule="exact"/>
                    <w:jc w:val="center"/>
                    <w:rPr>
                      <w:rFonts w:hint="eastAsia"/>
                      <w:color w:val="auto"/>
                      <w:szCs w:val="21"/>
                    </w:rPr>
                  </w:pPr>
                </w:p>
              </w:tc>
              <w:tc>
                <w:tcPr>
                  <w:tcW w:w="2270" w:type="pct"/>
                  <w:noWrap w:val="0"/>
                  <w:vAlign w:val="center"/>
                </w:tcPr>
                <w:p w14:paraId="19AEF72A">
                  <w:pPr>
                    <w:spacing w:line="300" w:lineRule="exact"/>
                    <w:jc w:val="center"/>
                    <w:rPr>
                      <w:rFonts w:hint="default" w:eastAsia="宋体"/>
                      <w:color w:val="auto"/>
                      <w:szCs w:val="21"/>
                      <w:u w:val="none"/>
                      <w:lang w:val="en-US" w:eastAsia="zh-CN"/>
                    </w:rPr>
                  </w:pPr>
                  <w:r>
                    <w:rPr>
                      <w:rFonts w:hint="eastAsia"/>
                      <w:color w:val="auto"/>
                      <w:szCs w:val="21"/>
                      <w:u w:val="none"/>
                      <w:lang w:val="en-US" w:eastAsia="zh-CN"/>
                    </w:rPr>
                    <w:t>50</w:t>
                  </w:r>
                </w:p>
              </w:tc>
            </w:tr>
            <w:tr w14:paraId="0BD6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pct"/>
                  <w:noWrap w:val="0"/>
                  <w:vAlign w:val="center"/>
                </w:tcPr>
                <w:p w14:paraId="69A4D284">
                  <w:pPr>
                    <w:spacing w:line="300" w:lineRule="exact"/>
                    <w:jc w:val="center"/>
                    <w:rPr>
                      <w:rFonts w:hint="eastAsia" w:eastAsia="宋体"/>
                      <w:color w:val="auto"/>
                      <w:szCs w:val="21"/>
                      <w:lang w:val="en-US" w:eastAsia="zh-CN"/>
                    </w:rPr>
                  </w:pPr>
                  <w:r>
                    <w:rPr>
                      <w:rFonts w:hint="eastAsia"/>
                      <w:color w:val="auto"/>
                      <w:szCs w:val="21"/>
                      <w:lang w:val="en-US" w:eastAsia="zh-CN"/>
                    </w:rPr>
                    <w:t>TN</w:t>
                  </w:r>
                </w:p>
              </w:tc>
              <w:tc>
                <w:tcPr>
                  <w:tcW w:w="1236" w:type="pct"/>
                  <w:vMerge w:val="continue"/>
                  <w:noWrap w:val="0"/>
                  <w:vAlign w:val="center"/>
                </w:tcPr>
                <w:p w14:paraId="4637DD8B">
                  <w:pPr>
                    <w:spacing w:line="300" w:lineRule="exact"/>
                    <w:jc w:val="center"/>
                    <w:rPr>
                      <w:rFonts w:hint="eastAsia"/>
                      <w:color w:val="auto"/>
                      <w:szCs w:val="21"/>
                    </w:rPr>
                  </w:pPr>
                </w:p>
              </w:tc>
              <w:tc>
                <w:tcPr>
                  <w:tcW w:w="2270" w:type="pct"/>
                  <w:noWrap w:val="0"/>
                  <w:vAlign w:val="center"/>
                </w:tcPr>
                <w:p w14:paraId="33705828">
                  <w:pPr>
                    <w:spacing w:line="300" w:lineRule="exact"/>
                    <w:jc w:val="center"/>
                    <w:rPr>
                      <w:rFonts w:hint="default"/>
                      <w:color w:val="auto"/>
                      <w:szCs w:val="21"/>
                      <w:u w:val="none"/>
                      <w:lang w:val="en-US" w:eastAsia="zh-CN"/>
                    </w:rPr>
                  </w:pPr>
                  <w:r>
                    <w:rPr>
                      <w:rFonts w:hint="eastAsia"/>
                      <w:color w:val="auto"/>
                      <w:szCs w:val="21"/>
                      <w:u w:val="none"/>
                      <w:lang w:val="en-US" w:eastAsia="zh-CN"/>
                    </w:rPr>
                    <w:t>—</w:t>
                  </w:r>
                </w:p>
              </w:tc>
            </w:tr>
            <w:tr w14:paraId="7F3B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pct"/>
                  <w:noWrap w:val="0"/>
                  <w:vAlign w:val="center"/>
                </w:tcPr>
                <w:p w14:paraId="1DC87AE3">
                  <w:pPr>
                    <w:spacing w:line="300" w:lineRule="exact"/>
                    <w:jc w:val="center"/>
                    <w:rPr>
                      <w:rFonts w:hint="eastAsia" w:eastAsia="宋体"/>
                      <w:color w:val="auto"/>
                      <w:szCs w:val="21"/>
                      <w:lang w:val="en-US" w:eastAsia="zh-CN"/>
                    </w:rPr>
                  </w:pPr>
                  <w:r>
                    <w:rPr>
                      <w:rFonts w:hint="eastAsia"/>
                      <w:color w:val="auto"/>
                      <w:szCs w:val="21"/>
                      <w:lang w:val="en-US" w:eastAsia="zh-CN"/>
                    </w:rPr>
                    <w:t>TP</w:t>
                  </w:r>
                </w:p>
              </w:tc>
              <w:tc>
                <w:tcPr>
                  <w:tcW w:w="1236" w:type="pct"/>
                  <w:vMerge w:val="continue"/>
                  <w:noWrap w:val="0"/>
                  <w:vAlign w:val="center"/>
                </w:tcPr>
                <w:p w14:paraId="39AC27F8">
                  <w:pPr>
                    <w:spacing w:line="300" w:lineRule="exact"/>
                    <w:jc w:val="center"/>
                    <w:rPr>
                      <w:rFonts w:hint="eastAsia"/>
                      <w:color w:val="auto"/>
                      <w:szCs w:val="21"/>
                    </w:rPr>
                  </w:pPr>
                </w:p>
              </w:tc>
              <w:tc>
                <w:tcPr>
                  <w:tcW w:w="2270" w:type="pct"/>
                  <w:noWrap w:val="0"/>
                  <w:vAlign w:val="center"/>
                </w:tcPr>
                <w:p w14:paraId="59BEA743">
                  <w:pPr>
                    <w:spacing w:line="300" w:lineRule="exact"/>
                    <w:jc w:val="center"/>
                    <w:rPr>
                      <w:rFonts w:hint="default"/>
                      <w:color w:val="auto"/>
                      <w:szCs w:val="21"/>
                      <w:u w:val="none"/>
                      <w:lang w:val="en-US" w:eastAsia="zh-CN"/>
                    </w:rPr>
                  </w:pPr>
                  <w:r>
                    <w:rPr>
                      <w:rFonts w:hint="eastAsia"/>
                      <w:color w:val="auto"/>
                      <w:szCs w:val="21"/>
                      <w:u w:val="none"/>
                      <w:lang w:val="en-US" w:eastAsia="zh-CN"/>
                    </w:rPr>
                    <w:t>—</w:t>
                  </w:r>
                </w:p>
              </w:tc>
            </w:tr>
          </w:tbl>
          <w:p w14:paraId="46566723">
            <w:pPr>
              <w:pStyle w:val="6"/>
              <w:spacing w:line="500" w:lineRule="exact"/>
              <w:ind w:firstLine="480"/>
              <w:rPr>
                <w:kern w:val="0"/>
                <w:sz w:val="24"/>
              </w:rPr>
            </w:pPr>
            <w:r>
              <w:rPr>
                <w:kern w:val="0"/>
                <w:sz w:val="24"/>
              </w:rPr>
              <w:t>3、噪声</w:t>
            </w:r>
          </w:p>
          <w:p w14:paraId="41813A02">
            <w:pPr>
              <w:pStyle w:val="6"/>
              <w:spacing w:line="500" w:lineRule="exact"/>
              <w:ind w:firstLine="480"/>
              <w:rPr>
                <w:rFonts w:hint="eastAsia"/>
                <w:color w:val="000000"/>
                <w:kern w:val="0"/>
                <w:sz w:val="24"/>
              </w:rPr>
            </w:pPr>
            <w:r>
              <w:rPr>
                <w:kern w:val="0"/>
                <w:sz w:val="24"/>
              </w:rPr>
              <w:t>施工期场界噪声执行《建筑施工场界环境噪声排放标准》（GB12523-2011）；</w:t>
            </w:r>
            <w:r>
              <w:rPr>
                <w:rFonts w:hint="eastAsia"/>
                <w:kern w:val="0"/>
                <w:sz w:val="24"/>
                <w:u w:val="none"/>
                <w:lang w:eastAsia="zh-CN"/>
              </w:rPr>
              <w:t>根据</w:t>
            </w:r>
            <w:r>
              <w:rPr>
                <w:rFonts w:hint="eastAsia" w:ascii="Times New Roman" w:hAnsi="Times New Roman" w:eastAsia="宋体" w:cs="Times New Roman"/>
                <w:color w:val="000000"/>
                <w:kern w:val="0"/>
                <w:sz w:val="24"/>
                <w:u w:val="none"/>
                <w:lang w:val="en-US" w:eastAsia="zh-CN"/>
              </w:rPr>
              <w:t>《钦州市中心城区声环境功能区划》（钦政办规〔2023〕11号），</w:t>
            </w:r>
            <w:r>
              <w:rPr>
                <w:rFonts w:hint="eastAsia" w:cs="Times New Roman"/>
                <w:color w:val="000000"/>
                <w:kern w:val="0"/>
                <w:sz w:val="24"/>
                <w:u w:val="none"/>
                <w:lang w:val="en-US" w:eastAsia="zh-CN"/>
              </w:rPr>
              <w:t>详见附件10。</w:t>
            </w:r>
            <w:r>
              <w:rPr>
                <w:rFonts w:hint="eastAsia" w:ascii="Times New Roman" w:hAnsi="Times New Roman" w:eastAsia="宋体" w:cs="Times New Roman"/>
                <w:color w:val="000000"/>
                <w:kern w:val="0"/>
                <w:sz w:val="24"/>
                <w:u w:val="none"/>
                <w:lang w:val="en-US" w:eastAsia="zh-CN"/>
              </w:rPr>
              <w:t>项目评价区域声环境质量标准执行《声环境质量标准》（GB3096-2008）3类区标准</w:t>
            </w:r>
            <w:r>
              <w:rPr>
                <w:rFonts w:hint="eastAsia"/>
                <w:kern w:val="0"/>
                <w:sz w:val="24"/>
                <w:u w:val="none"/>
                <w:lang w:eastAsia="zh-CN"/>
              </w:rPr>
              <w:t>，评价区域项目属于3类声环境功能区，</w:t>
            </w:r>
            <w:r>
              <w:rPr>
                <w:rFonts w:hint="eastAsia"/>
                <w:kern w:val="0"/>
                <w:sz w:val="24"/>
                <w:u w:val="none"/>
                <w:lang w:val="en-US" w:eastAsia="zh-CN"/>
              </w:rPr>
              <w:t>项目西面临海大道属于4a</w:t>
            </w:r>
            <w:r>
              <w:rPr>
                <w:rFonts w:hint="eastAsia"/>
                <w:kern w:val="0"/>
                <w:sz w:val="24"/>
                <w:u w:val="none"/>
                <w:lang w:eastAsia="zh-CN"/>
              </w:rPr>
              <w:t>类声环境功能区</w:t>
            </w:r>
            <w:r>
              <w:rPr>
                <w:rFonts w:hint="eastAsia"/>
                <w:kern w:val="0"/>
                <w:sz w:val="24"/>
                <w:u w:val="none"/>
                <w:lang w:val="en-US" w:eastAsia="zh-CN"/>
              </w:rPr>
              <w:t>，</w:t>
            </w:r>
            <w:r>
              <w:rPr>
                <w:rFonts w:hint="eastAsia"/>
                <w:kern w:val="0"/>
                <w:sz w:val="24"/>
                <w:u w:val="none"/>
                <w:lang w:eastAsia="zh-CN"/>
              </w:rPr>
              <w:t>根据建设单位规划，现有工程项目拟取消1栋1F生活区、1栋2F办公区，取消食堂，并将现有工程的厂界进行</w:t>
            </w:r>
            <w:r>
              <w:rPr>
                <w:rFonts w:hint="eastAsia"/>
                <w:kern w:val="0"/>
                <w:sz w:val="24"/>
                <w:u w:val="none"/>
                <w:lang w:val="en-US" w:eastAsia="zh-CN"/>
              </w:rPr>
              <w:t>缩小</w:t>
            </w:r>
            <w:r>
              <w:rPr>
                <w:rFonts w:hint="eastAsia"/>
                <w:kern w:val="0"/>
                <w:sz w:val="24"/>
                <w:u w:val="none"/>
                <w:lang w:eastAsia="zh-CN"/>
              </w:rPr>
              <w:t>调整，</w:t>
            </w:r>
            <w:r>
              <w:rPr>
                <w:rFonts w:hint="eastAsia"/>
                <w:kern w:val="0"/>
                <w:sz w:val="24"/>
                <w:u w:val="none"/>
                <w:lang w:val="en-US" w:eastAsia="zh-CN"/>
              </w:rPr>
              <w:t>调整后西面厂界距离临海大道约45m</w:t>
            </w:r>
            <w:r>
              <w:rPr>
                <w:rFonts w:hint="eastAsia"/>
                <w:color w:val="000000"/>
                <w:kern w:val="0"/>
                <w:sz w:val="24"/>
                <w:u w:val="none"/>
                <w:lang w:val="en-US" w:eastAsia="zh-CN"/>
              </w:rPr>
              <w:t>，故项目四周</w:t>
            </w:r>
            <w:r>
              <w:rPr>
                <w:rFonts w:hint="eastAsia"/>
                <w:color w:val="000000"/>
                <w:kern w:val="0"/>
                <w:sz w:val="24"/>
              </w:rPr>
              <w:t>厂界</w:t>
            </w:r>
            <w:r>
              <w:rPr>
                <w:rFonts w:hint="eastAsia"/>
                <w:color w:val="000000"/>
                <w:kern w:val="0"/>
                <w:sz w:val="24"/>
                <w:lang w:eastAsia="zh-CN"/>
              </w:rPr>
              <w:t>噪声</w:t>
            </w:r>
            <w:r>
              <w:rPr>
                <w:rFonts w:hint="eastAsia"/>
                <w:color w:val="000000"/>
                <w:kern w:val="0"/>
                <w:sz w:val="24"/>
              </w:rPr>
              <w:t>执行</w:t>
            </w:r>
            <w:r>
              <w:rPr>
                <w:color w:val="000000"/>
                <w:kern w:val="0"/>
                <w:sz w:val="24"/>
              </w:rPr>
              <w:t>《工业企业厂界环境噪声排放标准》（GB 12348-2008）中</w:t>
            </w:r>
            <w:r>
              <w:rPr>
                <w:rFonts w:hint="eastAsia"/>
                <w:color w:val="000000"/>
                <w:kern w:val="0"/>
                <w:sz w:val="24"/>
              </w:rPr>
              <w:t>3</w:t>
            </w:r>
            <w:r>
              <w:rPr>
                <w:color w:val="000000"/>
                <w:kern w:val="0"/>
                <w:sz w:val="24"/>
              </w:rPr>
              <w:t>类标准</w:t>
            </w:r>
            <w:r>
              <w:rPr>
                <w:rFonts w:hint="eastAsia"/>
                <w:color w:val="000000"/>
                <w:kern w:val="0"/>
                <w:sz w:val="24"/>
              </w:rPr>
              <w:t>。</w:t>
            </w:r>
          </w:p>
          <w:p w14:paraId="16C48DCE">
            <w:pPr>
              <w:pStyle w:val="6"/>
              <w:spacing w:line="500" w:lineRule="exact"/>
              <w:ind w:firstLine="0" w:firstLineChars="0"/>
              <w:jc w:val="center"/>
              <w:rPr>
                <w:b/>
                <w:bCs/>
                <w:kern w:val="0"/>
                <w:sz w:val="24"/>
              </w:rPr>
            </w:pPr>
          </w:p>
          <w:p w14:paraId="6381CF9D">
            <w:pPr>
              <w:pStyle w:val="6"/>
              <w:spacing w:line="500" w:lineRule="exact"/>
              <w:ind w:firstLine="0" w:firstLineChars="0"/>
              <w:jc w:val="center"/>
              <w:rPr>
                <w:b/>
                <w:bCs/>
                <w:kern w:val="0"/>
                <w:sz w:val="24"/>
              </w:rPr>
            </w:pPr>
          </w:p>
          <w:p w14:paraId="42C13F6A">
            <w:pPr>
              <w:pStyle w:val="6"/>
              <w:spacing w:line="500" w:lineRule="exact"/>
              <w:ind w:firstLine="0" w:firstLineChars="0"/>
              <w:jc w:val="center"/>
              <w:rPr>
                <w:b/>
                <w:bCs/>
                <w:kern w:val="0"/>
                <w:sz w:val="24"/>
              </w:rPr>
            </w:pPr>
          </w:p>
          <w:p w14:paraId="2038E1F9">
            <w:pPr>
              <w:pStyle w:val="6"/>
              <w:spacing w:line="500" w:lineRule="exact"/>
              <w:ind w:firstLine="0" w:firstLineChars="0"/>
              <w:jc w:val="center"/>
              <w:rPr>
                <w:b/>
                <w:bCs/>
                <w:kern w:val="0"/>
                <w:sz w:val="24"/>
              </w:rPr>
            </w:pPr>
            <w:r>
              <w:rPr>
                <w:b/>
                <w:bCs/>
                <w:kern w:val="0"/>
                <w:sz w:val="24"/>
              </w:rPr>
              <w:t>表3</w:t>
            </w:r>
            <w:r>
              <w:rPr>
                <w:rFonts w:hint="eastAsia"/>
                <w:b/>
                <w:bCs/>
                <w:kern w:val="0"/>
                <w:sz w:val="24"/>
                <w:lang w:val="en-US" w:eastAsia="zh-CN"/>
              </w:rPr>
              <w:t>-15</w:t>
            </w:r>
            <w:r>
              <w:rPr>
                <w:b/>
                <w:bCs/>
                <w:kern w:val="0"/>
                <w:sz w:val="24"/>
              </w:rPr>
              <w:t xml:space="preserve"> 《建筑施工场界环境噪声排放标准》  单位：dB（A）</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144"/>
              <w:gridCol w:w="4235"/>
            </w:tblGrid>
            <w:tr w14:paraId="2A37B9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1" w:type="dxa"/>
                  <w:gridSpan w:val="2"/>
                  <w:noWrap w:val="0"/>
                  <w:vAlign w:val="center"/>
                </w:tcPr>
                <w:p w14:paraId="5B75A91C">
                  <w:pPr>
                    <w:pStyle w:val="26"/>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pacing w:val="10"/>
                      <w:kern w:val="2"/>
                      <w:szCs w:val="24"/>
                    </w:rPr>
                  </w:pPr>
                  <w:r>
                    <w:rPr>
                      <w:rFonts w:ascii="Times New Roman" w:hAnsi="Times New Roman"/>
                      <w:spacing w:val="10"/>
                      <w:kern w:val="2"/>
                      <w:szCs w:val="24"/>
                    </w:rPr>
                    <w:t>噪声限值</w:t>
                  </w:r>
                </w:p>
              </w:tc>
            </w:tr>
            <w:tr w14:paraId="7A05C0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0" w:type="dxa"/>
                  <w:noWrap w:val="0"/>
                  <w:vAlign w:val="center"/>
                </w:tcPr>
                <w:p w14:paraId="4EA473FE">
                  <w:pPr>
                    <w:pStyle w:val="26"/>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pacing w:val="10"/>
                      <w:kern w:val="2"/>
                      <w:szCs w:val="24"/>
                    </w:rPr>
                  </w:pPr>
                  <w:r>
                    <w:rPr>
                      <w:rFonts w:ascii="Times New Roman" w:hAnsi="Times New Roman"/>
                      <w:spacing w:val="10"/>
                      <w:kern w:val="2"/>
                      <w:szCs w:val="24"/>
                    </w:rPr>
                    <w:t>昼  间</w:t>
                  </w:r>
                </w:p>
              </w:tc>
              <w:tc>
                <w:tcPr>
                  <w:tcW w:w="4261" w:type="dxa"/>
                  <w:noWrap w:val="0"/>
                  <w:vAlign w:val="center"/>
                </w:tcPr>
                <w:p w14:paraId="17DC5DBE">
                  <w:pPr>
                    <w:pStyle w:val="26"/>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pacing w:val="10"/>
                      <w:kern w:val="2"/>
                      <w:szCs w:val="24"/>
                    </w:rPr>
                  </w:pPr>
                  <w:r>
                    <w:rPr>
                      <w:rFonts w:ascii="Times New Roman" w:hAnsi="Times New Roman"/>
                      <w:spacing w:val="10"/>
                      <w:kern w:val="2"/>
                      <w:szCs w:val="24"/>
                    </w:rPr>
                    <w:t>夜  间</w:t>
                  </w:r>
                </w:p>
              </w:tc>
            </w:tr>
            <w:tr w14:paraId="4FBCBD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0" w:type="dxa"/>
                  <w:noWrap w:val="0"/>
                  <w:vAlign w:val="center"/>
                </w:tcPr>
                <w:p w14:paraId="2A6A16CA">
                  <w:pPr>
                    <w:pStyle w:val="26"/>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pacing w:val="10"/>
                      <w:kern w:val="2"/>
                      <w:szCs w:val="24"/>
                    </w:rPr>
                  </w:pPr>
                  <w:r>
                    <w:rPr>
                      <w:rFonts w:ascii="Times New Roman" w:hAnsi="Times New Roman"/>
                      <w:spacing w:val="10"/>
                      <w:kern w:val="2"/>
                      <w:szCs w:val="24"/>
                    </w:rPr>
                    <w:t>70</w:t>
                  </w:r>
                </w:p>
              </w:tc>
              <w:tc>
                <w:tcPr>
                  <w:tcW w:w="4261" w:type="dxa"/>
                  <w:noWrap w:val="0"/>
                  <w:vAlign w:val="center"/>
                </w:tcPr>
                <w:p w14:paraId="3A143C74">
                  <w:pPr>
                    <w:pStyle w:val="26"/>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pacing w:val="10"/>
                      <w:kern w:val="2"/>
                      <w:szCs w:val="24"/>
                    </w:rPr>
                  </w:pPr>
                  <w:r>
                    <w:rPr>
                      <w:rFonts w:ascii="Times New Roman" w:hAnsi="Times New Roman"/>
                      <w:spacing w:val="10"/>
                      <w:kern w:val="2"/>
                      <w:szCs w:val="24"/>
                    </w:rPr>
                    <w:t>55</w:t>
                  </w:r>
                </w:p>
              </w:tc>
            </w:tr>
          </w:tbl>
          <w:p w14:paraId="1613CA62">
            <w:pPr>
              <w:pStyle w:val="6"/>
              <w:spacing w:line="500" w:lineRule="exact"/>
              <w:ind w:firstLine="0" w:firstLineChars="0"/>
              <w:jc w:val="center"/>
              <w:rPr>
                <w:b/>
                <w:bCs/>
                <w:kern w:val="0"/>
                <w:sz w:val="24"/>
              </w:rPr>
            </w:pPr>
            <w:r>
              <w:rPr>
                <w:b/>
                <w:bCs/>
                <w:kern w:val="0"/>
                <w:sz w:val="24"/>
              </w:rPr>
              <w:t>表3-</w:t>
            </w:r>
            <w:r>
              <w:rPr>
                <w:rFonts w:hint="eastAsia"/>
                <w:b/>
                <w:bCs/>
                <w:kern w:val="0"/>
                <w:sz w:val="24"/>
              </w:rPr>
              <w:t>1</w:t>
            </w:r>
            <w:r>
              <w:rPr>
                <w:rFonts w:hint="eastAsia"/>
                <w:b/>
                <w:bCs/>
                <w:kern w:val="0"/>
                <w:sz w:val="24"/>
                <w:lang w:val="en-US" w:eastAsia="zh-CN"/>
              </w:rPr>
              <w:t>6</w:t>
            </w:r>
            <w:r>
              <w:rPr>
                <w:b/>
                <w:bCs/>
                <w:kern w:val="0"/>
                <w:sz w:val="24"/>
              </w:rPr>
              <w:t xml:space="preserve"> 《工业企业厂界环境噪声排放标准》（GB12348-2008）</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1"/>
              <w:gridCol w:w="1100"/>
              <w:gridCol w:w="1794"/>
              <w:gridCol w:w="1100"/>
              <w:gridCol w:w="1104"/>
            </w:tblGrid>
            <w:tr w14:paraId="28E0F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281" w:type="dxa"/>
                  <w:vMerge w:val="restart"/>
                  <w:noWrap w:val="0"/>
                  <w:vAlign w:val="center"/>
                </w:tcPr>
                <w:p w14:paraId="6DD32C23">
                  <w:pPr>
                    <w:jc w:val="center"/>
                    <w:rPr>
                      <w:szCs w:val="21"/>
                    </w:rPr>
                  </w:pPr>
                  <w:r>
                    <w:rPr>
                      <w:szCs w:val="21"/>
                    </w:rPr>
                    <w:t>场界名</w:t>
                  </w:r>
                </w:p>
              </w:tc>
              <w:tc>
                <w:tcPr>
                  <w:tcW w:w="1100" w:type="dxa"/>
                  <w:vMerge w:val="restart"/>
                  <w:noWrap w:val="0"/>
                  <w:vAlign w:val="center"/>
                </w:tcPr>
                <w:p w14:paraId="422EF3E0">
                  <w:pPr>
                    <w:jc w:val="center"/>
                    <w:rPr>
                      <w:szCs w:val="21"/>
                    </w:rPr>
                  </w:pPr>
                  <w:r>
                    <w:rPr>
                      <w:szCs w:val="21"/>
                    </w:rPr>
                    <w:t>级别</w:t>
                  </w:r>
                </w:p>
              </w:tc>
              <w:tc>
                <w:tcPr>
                  <w:tcW w:w="1794" w:type="dxa"/>
                  <w:vMerge w:val="restart"/>
                  <w:noWrap w:val="0"/>
                  <w:vAlign w:val="center"/>
                </w:tcPr>
                <w:p w14:paraId="1DB340A5">
                  <w:pPr>
                    <w:jc w:val="center"/>
                    <w:rPr>
                      <w:szCs w:val="21"/>
                    </w:rPr>
                  </w:pPr>
                  <w:r>
                    <w:rPr>
                      <w:szCs w:val="21"/>
                    </w:rPr>
                    <w:t>单位</w:t>
                  </w:r>
                </w:p>
              </w:tc>
              <w:tc>
                <w:tcPr>
                  <w:tcW w:w="2204" w:type="dxa"/>
                  <w:gridSpan w:val="2"/>
                  <w:noWrap w:val="0"/>
                  <w:vAlign w:val="center"/>
                </w:tcPr>
                <w:p w14:paraId="2845CE10">
                  <w:pPr>
                    <w:jc w:val="center"/>
                    <w:rPr>
                      <w:szCs w:val="21"/>
                    </w:rPr>
                  </w:pPr>
                  <w:r>
                    <w:rPr>
                      <w:szCs w:val="21"/>
                    </w:rPr>
                    <w:t>标准限值</w:t>
                  </w:r>
                </w:p>
              </w:tc>
            </w:tr>
            <w:tr w14:paraId="2606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281" w:type="dxa"/>
                  <w:vMerge w:val="continue"/>
                  <w:noWrap w:val="0"/>
                  <w:vAlign w:val="center"/>
                </w:tcPr>
                <w:p w14:paraId="568F79C5">
                  <w:pPr>
                    <w:jc w:val="center"/>
                    <w:rPr>
                      <w:szCs w:val="21"/>
                    </w:rPr>
                  </w:pPr>
                </w:p>
              </w:tc>
              <w:tc>
                <w:tcPr>
                  <w:tcW w:w="1100" w:type="dxa"/>
                  <w:vMerge w:val="continue"/>
                  <w:noWrap w:val="0"/>
                  <w:vAlign w:val="center"/>
                </w:tcPr>
                <w:p w14:paraId="79761E14">
                  <w:pPr>
                    <w:jc w:val="center"/>
                    <w:rPr>
                      <w:szCs w:val="21"/>
                    </w:rPr>
                  </w:pPr>
                </w:p>
              </w:tc>
              <w:tc>
                <w:tcPr>
                  <w:tcW w:w="1794" w:type="dxa"/>
                  <w:vMerge w:val="continue"/>
                  <w:noWrap w:val="0"/>
                  <w:vAlign w:val="center"/>
                </w:tcPr>
                <w:p w14:paraId="2EF6F13C">
                  <w:pPr>
                    <w:jc w:val="center"/>
                    <w:rPr>
                      <w:szCs w:val="21"/>
                    </w:rPr>
                  </w:pPr>
                </w:p>
              </w:tc>
              <w:tc>
                <w:tcPr>
                  <w:tcW w:w="1100" w:type="dxa"/>
                  <w:noWrap w:val="0"/>
                  <w:vAlign w:val="center"/>
                </w:tcPr>
                <w:p w14:paraId="7C4CE66F">
                  <w:pPr>
                    <w:jc w:val="center"/>
                    <w:rPr>
                      <w:szCs w:val="21"/>
                    </w:rPr>
                  </w:pPr>
                  <w:r>
                    <w:rPr>
                      <w:szCs w:val="21"/>
                    </w:rPr>
                    <w:t>昼间</w:t>
                  </w:r>
                </w:p>
              </w:tc>
              <w:tc>
                <w:tcPr>
                  <w:tcW w:w="1104" w:type="dxa"/>
                  <w:noWrap w:val="0"/>
                  <w:vAlign w:val="center"/>
                </w:tcPr>
                <w:p w14:paraId="215A762D">
                  <w:pPr>
                    <w:jc w:val="center"/>
                    <w:rPr>
                      <w:szCs w:val="21"/>
                    </w:rPr>
                  </w:pPr>
                  <w:r>
                    <w:rPr>
                      <w:szCs w:val="21"/>
                    </w:rPr>
                    <w:t>夜间</w:t>
                  </w:r>
                </w:p>
              </w:tc>
            </w:tr>
            <w:tr w14:paraId="5A67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281" w:type="dxa"/>
                  <w:noWrap w:val="0"/>
                  <w:vAlign w:val="center"/>
                </w:tcPr>
                <w:p w14:paraId="28633D24">
                  <w:pPr>
                    <w:jc w:val="center"/>
                    <w:rPr>
                      <w:rFonts w:hint="eastAsia"/>
                      <w:szCs w:val="21"/>
                    </w:rPr>
                  </w:pPr>
                  <w:r>
                    <w:rPr>
                      <w:rFonts w:hint="eastAsia"/>
                      <w:szCs w:val="21"/>
                      <w:lang w:val="en-US" w:eastAsia="zh-CN"/>
                    </w:rPr>
                    <w:t>东面、</w:t>
                  </w:r>
                  <w:r>
                    <w:rPr>
                      <w:rFonts w:hint="eastAsia"/>
                      <w:szCs w:val="21"/>
                    </w:rPr>
                    <w:t>南面、</w:t>
                  </w:r>
                  <w:r>
                    <w:rPr>
                      <w:rFonts w:hint="eastAsia"/>
                      <w:szCs w:val="21"/>
                      <w:lang w:val="en-US" w:eastAsia="zh-CN"/>
                    </w:rPr>
                    <w:t>西面、北</w:t>
                  </w:r>
                  <w:r>
                    <w:rPr>
                      <w:rFonts w:hint="eastAsia"/>
                      <w:szCs w:val="21"/>
                    </w:rPr>
                    <w:t>面厂界</w:t>
                  </w:r>
                </w:p>
              </w:tc>
              <w:tc>
                <w:tcPr>
                  <w:tcW w:w="1100" w:type="dxa"/>
                  <w:noWrap w:val="0"/>
                  <w:vAlign w:val="center"/>
                </w:tcPr>
                <w:p w14:paraId="7B9C3B55">
                  <w:pPr>
                    <w:jc w:val="center"/>
                    <w:rPr>
                      <w:rFonts w:hint="eastAsia"/>
                      <w:szCs w:val="21"/>
                    </w:rPr>
                  </w:pPr>
                  <w:r>
                    <w:rPr>
                      <w:rFonts w:hint="eastAsia"/>
                      <w:szCs w:val="21"/>
                    </w:rPr>
                    <w:t>3</w:t>
                  </w:r>
                  <w:r>
                    <w:rPr>
                      <w:szCs w:val="21"/>
                    </w:rPr>
                    <w:t>类</w:t>
                  </w:r>
                </w:p>
              </w:tc>
              <w:tc>
                <w:tcPr>
                  <w:tcW w:w="1794" w:type="dxa"/>
                  <w:noWrap w:val="0"/>
                  <w:vAlign w:val="center"/>
                </w:tcPr>
                <w:p w14:paraId="1F647488">
                  <w:pPr>
                    <w:jc w:val="center"/>
                    <w:rPr>
                      <w:szCs w:val="21"/>
                    </w:rPr>
                  </w:pPr>
                  <w:r>
                    <w:rPr>
                      <w:szCs w:val="21"/>
                    </w:rPr>
                    <w:t>dB</w:t>
                  </w:r>
                  <w:r>
                    <w:rPr>
                      <w:rFonts w:hint="eastAsia"/>
                      <w:szCs w:val="21"/>
                      <w:lang w:eastAsia="zh-CN"/>
                    </w:rPr>
                    <w:t>(</w:t>
                  </w:r>
                  <w:r>
                    <w:rPr>
                      <w:szCs w:val="21"/>
                    </w:rPr>
                    <w:t>A</w:t>
                  </w:r>
                  <w:r>
                    <w:rPr>
                      <w:rFonts w:hint="eastAsia"/>
                      <w:szCs w:val="21"/>
                      <w:lang w:eastAsia="zh-CN"/>
                    </w:rPr>
                    <w:t>)</w:t>
                  </w:r>
                </w:p>
              </w:tc>
              <w:tc>
                <w:tcPr>
                  <w:tcW w:w="1100" w:type="dxa"/>
                  <w:noWrap w:val="0"/>
                  <w:vAlign w:val="center"/>
                </w:tcPr>
                <w:p w14:paraId="1E42E588">
                  <w:pPr>
                    <w:jc w:val="center"/>
                    <w:rPr>
                      <w:szCs w:val="21"/>
                    </w:rPr>
                  </w:pPr>
                  <w:r>
                    <w:rPr>
                      <w:rFonts w:hint="eastAsia"/>
                      <w:szCs w:val="21"/>
                    </w:rPr>
                    <w:t>65</w:t>
                  </w:r>
                </w:p>
              </w:tc>
              <w:tc>
                <w:tcPr>
                  <w:tcW w:w="1104" w:type="dxa"/>
                  <w:noWrap w:val="0"/>
                  <w:vAlign w:val="center"/>
                </w:tcPr>
                <w:p w14:paraId="40A66B66">
                  <w:pPr>
                    <w:jc w:val="center"/>
                    <w:rPr>
                      <w:szCs w:val="21"/>
                    </w:rPr>
                  </w:pPr>
                  <w:r>
                    <w:rPr>
                      <w:rFonts w:hint="eastAsia"/>
                      <w:szCs w:val="21"/>
                    </w:rPr>
                    <w:t>55</w:t>
                  </w:r>
                </w:p>
              </w:tc>
            </w:tr>
          </w:tbl>
          <w:p w14:paraId="7D809C17">
            <w:pPr>
              <w:pStyle w:val="6"/>
              <w:spacing w:line="500" w:lineRule="exact"/>
              <w:ind w:firstLine="480"/>
              <w:rPr>
                <w:kern w:val="0"/>
                <w:sz w:val="24"/>
              </w:rPr>
            </w:pPr>
            <w:r>
              <w:rPr>
                <w:rFonts w:hint="eastAsia"/>
                <w:kern w:val="0"/>
                <w:sz w:val="24"/>
              </w:rPr>
              <w:t>4、</w:t>
            </w:r>
            <w:r>
              <w:rPr>
                <w:kern w:val="0"/>
                <w:sz w:val="24"/>
              </w:rPr>
              <w:t>固体废物</w:t>
            </w:r>
          </w:p>
          <w:p w14:paraId="012DDA0C">
            <w:pPr>
              <w:pStyle w:val="6"/>
              <w:spacing w:line="500" w:lineRule="exact"/>
              <w:ind w:firstLine="480"/>
              <w:rPr>
                <w:kern w:val="0"/>
                <w:szCs w:val="21"/>
              </w:rPr>
            </w:pPr>
            <w:r>
              <w:rPr>
                <w:kern w:val="0"/>
                <w:sz w:val="24"/>
                <w:lang w:val="en-GB"/>
              </w:rPr>
              <w:t>一般</w:t>
            </w:r>
            <w:r>
              <w:rPr>
                <w:rFonts w:hint="eastAsia"/>
                <w:kern w:val="0"/>
                <w:sz w:val="24"/>
                <w:lang w:val="en-GB"/>
              </w:rPr>
              <w:t>工业</w:t>
            </w:r>
            <w:r>
              <w:rPr>
                <w:kern w:val="0"/>
                <w:sz w:val="24"/>
                <w:lang w:val="en-GB"/>
              </w:rPr>
              <w:t>固废执行</w:t>
            </w:r>
            <w:r>
              <w:rPr>
                <w:rFonts w:hint="eastAsia"/>
                <w:kern w:val="0"/>
                <w:sz w:val="24"/>
                <w:lang w:val="en-GB"/>
              </w:rPr>
              <w:t>《一般工业固体废物</w:t>
            </w:r>
            <w:r>
              <w:rPr>
                <w:rFonts w:hint="eastAsia"/>
                <w:kern w:val="0"/>
                <w:sz w:val="24"/>
                <w:lang w:val="en-GB" w:eastAsia="zh-CN"/>
              </w:rPr>
              <w:t>储存</w:t>
            </w:r>
            <w:r>
              <w:rPr>
                <w:rFonts w:hint="eastAsia"/>
                <w:kern w:val="0"/>
                <w:sz w:val="24"/>
                <w:lang w:val="en-GB"/>
              </w:rPr>
              <w:t>和填埋污染控制标准》（GB18599-2020）</w:t>
            </w:r>
            <w:r>
              <w:rPr>
                <w:rFonts w:hint="eastAsia"/>
                <w:kern w:val="0"/>
                <w:sz w:val="24"/>
                <w:lang w:val="en-US" w:eastAsia="zh-CN"/>
              </w:rPr>
              <w:t>中相关要求</w:t>
            </w:r>
            <w:r>
              <w:rPr>
                <w:kern w:val="0"/>
                <w:sz w:val="24"/>
                <w:lang w:val="en-GB"/>
              </w:rPr>
              <w:t>，</w:t>
            </w:r>
            <w:r>
              <w:rPr>
                <w:rFonts w:hint="eastAsia"/>
                <w:kern w:val="0"/>
                <w:sz w:val="24"/>
                <w:lang w:val="en-GB"/>
              </w:rPr>
              <w:t>危险废物执行《危险</w:t>
            </w:r>
            <w:r>
              <w:rPr>
                <w:rFonts w:hint="eastAsia"/>
                <w:kern w:val="0"/>
                <w:sz w:val="24"/>
                <w:lang w:val="en-GB" w:eastAsia="zh-CN"/>
              </w:rPr>
              <w:t>废物贮存污染</w:t>
            </w:r>
            <w:r>
              <w:rPr>
                <w:rFonts w:hint="eastAsia"/>
                <w:kern w:val="0"/>
                <w:sz w:val="24"/>
                <w:lang w:val="en-GB"/>
              </w:rPr>
              <w:t>控制标准》（GB 18597-2023）</w:t>
            </w:r>
            <w:r>
              <w:rPr>
                <w:kern w:val="0"/>
                <w:sz w:val="24"/>
                <w:lang w:val="en-GB"/>
              </w:rPr>
              <w:t>。</w:t>
            </w:r>
          </w:p>
        </w:tc>
      </w:tr>
      <w:tr w14:paraId="3A93D0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404" w:type="dxa"/>
            <w:noWrap w:val="0"/>
            <w:vAlign w:val="center"/>
          </w:tcPr>
          <w:p w14:paraId="719E1D98">
            <w:pPr>
              <w:adjustRightInd w:val="0"/>
              <w:snapToGrid w:val="0"/>
              <w:jc w:val="center"/>
              <w:rPr>
                <w:color w:val="auto"/>
                <w:kern w:val="0"/>
                <w:sz w:val="24"/>
                <w:lang w:val="en-GB"/>
              </w:rPr>
            </w:pPr>
            <w:r>
              <w:rPr>
                <w:color w:val="auto"/>
                <w:kern w:val="0"/>
                <w:sz w:val="24"/>
                <w:lang w:val="en-GB"/>
              </w:rPr>
              <w:t>总量</w:t>
            </w:r>
          </w:p>
          <w:p w14:paraId="3BF26245">
            <w:pPr>
              <w:adjustRightInd w:val="0"/>
              <w:snapToGrid w:val="0"/>
              <w:jc w:val="center"/>
              <w:rPr>
                <w:color w:val="auto"/>
                <w:kern w:val="0"/>
                <w:sz w:val="24"/>
                <w:lang w:val="en-GB"/>
              </w:rPr>
            </w:pPr>
            <w:r>
              <w:rPr>
                <w:color w:val="auto"/>
                <w:kern w:val="0"/>
                <w:sz w:val="24"/>
                <w:lang w:val="en-GB"/>
              </w:rPr>
              <w:t>控制</w:t>
            </w:r>
          </w:p>
          <w:p w14:paraId="4A083E1A">
            <w:pPr>
              <w:adjustRightInd w:val="0"/>
              <w:snapToGrid w:val="0"/>
              <w:jc w:val="center"/>
              <w:rPr>
                <w:color w:val="auto"/>
                <w:kern w:val="0"/>
                <w:sz w:val="24"/>
                <w:lang w:val="en-GB"/>
              </w:rPr>
            </w:pPr>
            <w:r>
              <w:rPr>
                <w:color w:val="auto"/>
                <w:kern w:val="0"/>
                <w:sz w:val="24"/>
                <w:lang w:val="en-GB"/>
              </w:rPr>
              <w:t>指标</w:t>
            </w:r>
          </w:p>
        </w:tc>
        <w:tc>
          <w:tcPr>
            <w:tcW w:w="8657" w:type="dxa"/>
            <w:noWrap w:val="0"/>
            <w:vAlign w:val="center"/>
          </w:tcPr>
          <w:p w14:paraId="0CA91F6F">
            <w:pPr>
              <w:pStyle w:val="6"/>
              <w:spacing w:line="500" w:lineRule="exact"/>
              <w:ind w:firstLine="480"/>
              <w:rPr>
                <w:rFonts w:hint="eastAsia"/>
                <w:color w:val="auto"/>
                <w:kern w:val="0"/>
                <w:sz w:val="24"/>
                <w:lang w:val="en-GB"/>
              </w:rPr>
            </w:pPr>
            <w:r>
              <w:rPr>
                <w:rFonts w:hint="eastAsia"/>
                <w:color w:val="auto"/>
                <w:kern w:val="0"/>
                <w:sz w:val="24"/>
                <w:lang w:val="en-GB"/>
              </w:rPr>
              <w:t>本项目外排废水为</w:t>
            </w:r>
            <w:r>
              <w:rPr>
                <w:rFonts w:hint="eastAsia"/>
                <w:color w:val="auto"/>
                <w:kern w:val="0"/>
                <w:sz w:val="24"/>
                <w:lang w:val="en-GB" w:eastAsia="zh-CN"/>
              </w:rPr>
              <w:t>初期雨水</w:t>
            </w:r>
            <w:r>
              <w:rPr>
                <w:rFonts w:hint="eastAsia"/>
                <w:color w:val="auto"/>
                <w:kern w:val="0"/>
                <w:sz w:val="24"/>
                <w:lang w:val="en-GB"/>
              </w:rPr>
              <w:t>，</w:t>
            </w:r>
            <w:r>
              <w:rPr>
                <w:rFonts w:hint="eastAsia"/>
                <w:color w:val="auto"/>
                <w:kern w:val="0"/>
                <w:sz w:val="24"/>
                <w:lang w:val="en-GB" w:eastAsia="zh-CN"/>
              </w:rPr>
              <w:t>初期雨水经初期雨水收集池</w:t>
            </w:r>
            <w:r>
              <w:rPr>
                <w:rFonts w:hint="eastAsia"/>
                <w:color w:val="auto"/>
                <w:kern w:val="0"/>
                <w:sz w:val="24"/>
                <w:lang w:val="en-US" w:eastAsia="zh-CN"/>
              </w:rPr>
              <w:t>收集后排往钦州港工业污水集中处理厂处理，</w:t>
            </w:r>
            <w:r>
              <w:rPr>
                <w:rFonts w:hint="eastAsia"/>
                <w:color w:val="auto"/>
                <w:kern w:val="0"/>
                <w:sz w:val="24"/>
                <w:lang w:val="en-GB"/>
              </w:rPr>
              <w:t>废水总量指标由</w:t>
            </w:r>
            <w:r>
              <w:rPr>
                <w:rFonts w:hint="eastAsia"/>
                <w:color w:val="auto"/>
                <w:kern w:val="0"/>
                <w:sz w:val="24"/>
                <w:lang w:val="en-US" w:eastAsia="zh-CN"/>
              </w:rPr>
              <w:t>钦州港工业污水集中处理厂</w:t>
            </w:r>
            <w:r>
              <w:rPr>
                <w:rFonts w:hint="eastAsia"/>
                <w:color w:val="auto"/>
                <w:kern w:val="0"/>
                <w:sz w:val="24"/>
                <w:lang w:val="en-GB"/>
              </w:rPr>
              <w:t>协调，因此本项目不设废水总量控制指标。</w:t>
            </w:r>
          </w:p>
          <w:p w14:paraId="1D9DA602">
            <w:pPr>
              <w:pStyle w:val="6"/>
              <w:spacing w:line="500" w:lineRule="exact"/>
              <w:ind w:firstLine="480"/>
              <w:rPr>
                <w:rFonts w:hint="eastAsia"/>
                <w:color w:val="auto"/>
                <w:kern w:val="0"/>
                <w:sz w:val="24"/>
                <w:u w:val="none"/>
              </w:rPr>
            </w:pPr>
            <w:r>
              <w:rPr>
                <w:rFonts w:hint="eastAsia"/>
                <w:color w:val="auto"/>
                <w:kern w:val="0"/>
                <w:sz w:val="24"/>
                <w:lang w:val="en-GB"/>
              </w:rPr>
              <w:t>本项目主要废气为</w:t>
            </w:r>
            <w:r>
              <w:rPr>
                <w:rFonts w:hint="eastAsia"/>
                <w:color w:val="auto"/>
                <w:kern w:val="0"/>
                <w:sz w:val="24"/>
                <w:lang w:val="en-US" w:eastAsia="zh-CN"/>
              </w:rPr>
              <w:t>颗粒物</w:t>
            </w:r>
            <w:r>
              <w:rPr>
                <w:rFonts w:hint="eastAsia"/>
                <w:color w:val="auto"/>
                <w:kern w:val="0"/>
                <w:sz w:val="24"/>
                <w:u w:val="none"/>
                <w:lang w:val="en-GB"/>
              </w:rPr>
              <w:t>，故建议项目总量控制指标为</w:t>
            </w:r>
            <w:r>
              <w:rPr>
                <w:rFonts w:hint="eastAsia"/>
                <w:color w:val="auto"/>
                <w:kern w:val="0"/>
                <w:sz w:val="24"/>
                <w:u w:val="none"/>
                <w:lang w:val="en-US" w:eastAsia="zh-CN"/>
              </w:rPr>
              <w:t>颗粒物0.2535t/a</w:t>
            </w:r>
            <w:r>
              <w:rPr>
                <w:rFonts w:hint="eastAsia"/>
                <w:color w:val="auto"/>
                <w:kern w:val="0"/>
                <w:sz w:val="24"/>
                <w:u w:val="none"/>
                <w:lang w:eastAsia="zh-CN"/>
              </w:rPr>
              <w:t>，</w:t>
            </w:r>
            <w:r>
              <w:rPr>
                <w:rFonts w:hint="eastAsia"/>
                <w:color w:val="auto"/>
                <w:kern w:val="0"/>
                <w:sz w:val="24"/>
                <w:u w:val="none"/>
              </w:rPr>
              <w:t>具体的总量控制指标要求最终由</w:t>
            </w:r>
            <w:r>
              <w:rPr>
                <w:rFonts w:hint="eastAsia"/>
                <w:color w:val="auto"/>
                <w:kern w:val="0"/>
                <w:sz w:val="24"/>
                <w:u w:val="none"/>
                <w:lang w:val="en-US" w:eastAsia="zh-CN"/>
              </w:rPr>
              <w:t>钦州</w:t>
            </w:r>
            <w:r>
              <w:rPr>
                <w:rFonts w:hint="eastAsia"/>
                <w:color w:val="auto"/>
                <w:kern w:val="0"/>
                <w:sz w:val="24"/>
                <w:u w:val="none"/>
              </w:rPr>
              <w:t>市生态环境局审核确定。</w:t>
            </w:r>
          </w:p>
          <w:p w14:paraId="7893583F">
            <w:pPr>
              <w:pStyle w:val="6"/>
              <w:spacing w:line="500" w:lineRule="exact"/>
              <w:ind w:firstLine="480"/>
              <w:rPr>
                <w:rFonts w:hint="eastAsia"/>
                <w:color w:val="auto"/>
                <w:kern w:val="0"/>
                <w:sz w:val="24"/>
                <w:u w:val="none"/>
              </w:rPr>
            </w:pPr>
          </w:p>
          <w:p w14:paraId="5199C0F7">
            <w:pPr>
              <w:pStyle w:val="6"/>
              <w:spacing w:line="500" w:lineRule="exact"/>
              <w:ind w:firstLine="480"/>
              <w:rPr>
                <w:rFonts w:hint="eastAsia"/>
                <w:color w:val="auto"/>
                <w:kern w:val="0"/>
                <w:sz w:val="24"/>
                <w:u w:val="none"/>
                <w:lang w:val="en-US" w:eastAsia="zh-CN"/>
              </w:rPr>
            </w:pPr>
          </w:p>
          <w:p w14:paraId="3044193D">
            <w:pPr>
              <w:pStyle w:val="6"/>
              <w:spacing w:line="500" w:lineRule="exact"/>
              <w:ind w:firstLine="480"/>
              <w:rPr>
                <w:rFonts w:hint="eastAsia"/>
                <w:color w:val="auto"/>
                <w:kern w:val="0"/>
                <w:sz w:val="24"/>
                <w:u w:val="none"/>
                <w:lang w:val="en-US" w:eastAsia="zh-CN"/>
              </w:rPr>
            </w:pPr>
          </w:p>
          <w:p w14:paraId="59218289">
            <w:pPr>
              <w:pStyle w:val="6"/>
              <w:spacing w:line="500" w:lineRule="exact"/>
              <w:ind w:firstLine="480"/>
              <w:rPr>
                <w:rFonts w:hint="eastAsia"/>
                <w:color w:val="auto"/>
                <w:kern w:val="0"/>
                <w:sz w:val="24"/>
                <w:u w:val="none"/>
                <w:lang w:val="en-US" w:eastAsia="zh-CN"/>
              </w:rPr>
            </w:pPr>
          </w:p>
          <w:p w14:paraId="6C06DA91">
            <w:pPr>
              <w:pStyle w:val="6"/>
              <w:spacing w:line="500" w:lineRule="exact"/>
              <w:ind w:firstLine="480"/>
              <w:rPr>
                <w:rFonts w:hint="eastAsia"/>
                <w:color w:val="auto"/>
                <w:kern w:val="0"/>
                <w:sz w:val="24"/>
                <w:u w:val="none"/>
                <w:lang w:val="en-US" w:eastAsia="zh-CN"/>
              </w:rPr>
            </w:pPr>
          </w:p>
          <w:p w14:paraId="2E5EE104">
            <w:pPr>
              <w:pStyle w:val="6"/>
              <w:spacing w:line="500" w:lineRule="exact"/>
              <w:ind w:firstLine="480"/>
              <w:rPr>
                <w:rFonts w:hint="eastAsia"/>
                <w:color w:val="auto"/>
                <w:kern w:val="0"/>
                <w:sz w:val="24"/>
                <w:u w:val="none"/>
                <w:lang w:val="en-US" w:eastAsia="zh-CN"/>
              </w:rPr>
            </w:pPr>
          </w:p>
          <w:p w14:paraId="46FE7953">
            <w:pPr>
              <w:pStyle w:val="6"/>
              <w:spacing w:line="500" w:lineRule="exact"/>
              <w:ind w:firstLine="480"/>
              <w:rPr>
                <w:rFonts w:hint="eastAsia"/>
                <w:color w:val="auto"/>
                <w:kern w:val="0"/>
                <w:sz w:val="24"/>
                <w:u w:val="none"/>
                <w:lang w:val="en-US" w:eastAsia="zh-CN"/>
              </w:rPr>
            </w:pPr>
          </w:p>
          <w:p w14:paraId="219F1DA0">
            <w:pPr>
              <w:pStyle w:val="6"/>
              <w:spacing w:line="500" w:lineRule="exact"/>
              <w:ind w:firstLine="480"/>
              <w:rPr>
                <w:rFonts w:hint="eastAsia"/>
                <w:color w:val="auto"/>
                <w:kern w:val="0"/>
                <w:sz w:val="24"/>
                <w:u w:val="none"/>
                <w:lang w:val="en-US" w:eastAsia="zh-CN"/>
              </w:rPr>
            </w:pPr>
          </w:p>
          <w:p w14:paraId="52D64BAE">
            <w:pPr>
              <w:pStyle w:val="6"/>
              <w:spacing w:line="500" w:lineRule="exact"/>
              <w:ind w:firstLine="480"/>
              <w:rPr>
                <w:rFonts w:hint="default"/>
                <w:color w:val="auto"/>
                <w:kern w:val="0"/>
                <w:sz w:val="24"/>
                <w:u w:val="none"/>
                <w:lang w:val="en-US" w:eastAsia="zh-CN"/>
              </w:rPr>
            </w:pPr>
          </w:p>
          <w:p w14:paraId="795CF629">
            <w:pPr>
              <w:pStyle w:val="6"/>
              <w:spacing w:line="500" w:lineRule="exact"/>
              <w:ind w:left="0" w:leftChars="0" w:firstLine="0" w:firstLineChars="0"/>
              <w:rPr>
                <w:rFonts w:hint="eastAsia" w:eastAsia="宋体"/>
                <w:color w:val="auto"/>
                <w:kern w:val="0"/>
                <w:sz w:val="24"/>
                <w:lang w:val="en-US" w:eastAsia="zh-CN"/>
              </w:rPr>
            </w:pPr>
          </w:p>
        </w:tc>
      </w:tr>
    </w:tbl>
    <w:p w14:paraId="54C60B10">
      <w:pPr>
        <w:pStyle w:val="17"/>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19" w:name="_Toc23231"/>
      <w:bookmarkStart w:id="20" w:name="_Toc27188"/>
      <w:r>
        <w:rPr>
          <w:rFonts w:hint="eastAsia" w:ascii="黑体" w:hAnsi="黑体" w:eastAsia="黑体"/>
          <w:snapToGrid w:val="0"/>
          <w:sz w:val="30"/>
          <w:szCs w:val="30"/>
        </w:rPr>
        <w:t>四、主要环境影响和保护措施</w:t>
      </w:r>
      <w:bookmarkEnd w:id="19"/>
      <w:bookmarkEnd w:id="20"/>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1"/>
        <w:gridCol w:w="8740"/>
      </w:tblGrid>
      <w:tr w14:paraId="69752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95" w:type="dxa"/>
            <w:noWrap w:val="0"/>
            <w:tcMar>
              <w:left w:w="28" w:type="dxa"/>
              <w:right w:w="28" w:type="dxa"/>
            </w:tcMar>
            <w:vAlign w:val="center"/>
          </w:tcPr>
          <w:p w14:paraId="52938B68">
            <w:pPr>
              <w:pStyle w:val="17"/>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14:paraId="29F624F7">
            <w:pPr>
              <w:pStyle w:val="17"/>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14:paraId="2718158D">
            <w:pPr>
              <w:pStyle w:val="17"/>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14:paraId="3A0FADAA">
            <w:pPr>
              <w:pStyle w:val="17"/>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14:paraId="04D3192F">
            <w:pPr>
              <w:pStyle w:val="17"/>
              <w:adjustRightInd w:val="0"/>
              <w:snapToGrid w:val="0"/>
              <w:spacing w:before="0" w:beforeAutospacing="0" w:after="0" w:afterAutospacing="0"/>
              <w:jc w:val="center"/>
              <w:rPr>
                <w:rFonts w:ascii="Times New Roman" w:hAnsi="Times New Roman"/>
                <w:bCs/>
                <w:kern w:val="2"/>
                <w:szCs w:val="24"/>
              </w:rPr>
            </w:pPr>
            <w:r>
              <w:rPr>
                <w:rFonts w:ascii="Times New Roman" w:hAnsi="Times New Roman"/>
                <w:kern w:val="2"/>
                <w:szCs w:val="24"/>
              </w:rPr>
              <w:t>施</w:t>
            </w:r>
          </w:p>
        </w:tc>
        <w:tc>
          <w:tcPr>
            <w:tcW w:w="8686" w:type="dxa"/>
            <w:noWrap w:val="0"/>
            <w:vAlign w:val="center"/>
          </w:tcPr>
          <w:p w14:paraId="6FF0C98E">
            <w:pPr>
              <w:pStyle w:val="6"/>
              <w:spacing w:line="500" w:lineRule="exact"/>
              <w:ind w:firstLine="480"/>
              <w:rPr>
                <w:rFonts w:hint="eastAsia" w:ascii="Times New Roman" w:hAnsi="Times New Roman" w:eastAsia="宋体" w:cs="Times New Roman"/>
                <w:color w:val="auto"/>
                <w:kern w:val="0"/>
                <w:sz w:val="24"/>
                <w:lang w:val="en-GB"/>
              </w:rPr>
            </w:pPr>
            <w:r>
              <w:rPr>
                <w:rFonts w:hint="eastAsia" w:ascii="Times New Roman" w:hAnsi="Times New Roman" w:eastAsia="宋体" w:cs="Times New Roman"/>
                <w:color w:val="auto"/>
                <w:kern w:val="0"/>
                <w:sz w:val="24"/>
                <w:lang w:val="en-US" w:eastAsia="zh-CN"/>
              </w:rPr>
              <w:t>项目2号仓库、4号仓库、5号仓库</w:t>
            </w:r>
            <w:r>
              <w:rPr>
                <w:rFonts w:hint="eastAsia" w:cs="Times New Roman"/>
                <w:color w:val="auto"/>
                <w:kern w:val="0"/>
                <w:sz w:val="24"/>
                <w:lang w:val="en-US" w:eastAsia="zh-CN"/>
              </w:rPr>
              <w:t>、事故应急池、危险化学品集装箱拆装棚已建设但</w:t>
            </w:r>
            <w:r>
              <w:rPr>
                <w:rFonts w:hint="eastAsia" w:ascii="Times New Roman" w:hAnsi="Times New Roman" w:eastAsia="宋体" w:cs="Times New Roman"/>
                <w:color w:val="auto"/>
                <w:kern w:val="0"/>
                <w:sz w:val="24"/>
                <w:lang w:val="en-US" w:eastAsia="zh-CN"/>
              </w:rPr>
              <w:t>未进行重点防渗，导流沟、初期雨水收集池</w:t>
            </w:r>
            <w:r>
              <w:rPr>
                <w:rFonts w:hint="eastAsia" w:cs="Times New Roman"/>
                <w:color w:val="auto"/>
                <w:kern w:val="0"/>
                <w:sz w:val="24"/>
                <w:lang w:val="en-US" w:eastAsia="zh-CN"/>
              </w:rPr>
              <w:t>、危险废物暂存间</w:t>
            </w:r>
            <w:r>
              <w:rPr>
                <w:rFonts w:hint="eastAsia" w:ascii="Times New Roman" w:hAnsi="Times New Roman" w:eastAsia="宋体" w:cs="Times New Roman"/>
                <w:color w:val="auto"/>
                <w:kern w:val="0"/>
                <w:sz w:val="24"/>
                <w:lang w:val="en-US" w:eastAsia="zh-CN"/>
              </w:rPr>
              <w:t>尚未建设，根据建设单位规划，现有工程项目将取消1栋1F生活区、1栋2F办公区，取消食堂，改扩建</w:t>
            </w:r>
            <w:r>
              <w:rPr>
                <w:rFonts w:hint="eastAsia" w:ascii="Times New Roman" w:hAnsi="Times New Roman" w:eastAsia="宋体" w:cs="Times New Roman"/>
                <w:color w:val="auto"/>
                <w:kern w:val="0"/>
                <w:sz w:val="24"/>
                <w:lang w:val="en-GB"/>
              </w:rPr>
              <w:t>项目施工期环境保护措施详见下表。</w:t>
            </w:r>
          </w:p>
          <w:p w14:paraId="5D76D970">
            <w:pPr>
              <w:pStyle w:val="6"/>
              <w:spacing w:line="500" w:lineRule="exact"/>
              <w:ind w:firstLine="0" w:firstLineChars="0"/>
              <w:jc w:val="center"/>
              <w:rPr>
                <w:rFonts w:hint="eastAsia" w:ascii="Times New Roman" w:hAnsi="Times New Roman" w:eastAsia="宋体" w:cs="Times New Roman"/>
                <w:b/>
                <w:bCs/>
                <w:kern w:val="0"/>
                <w:sz w:val="24"/>
              </w:rPr>
            </w:pPr>
            <w:r>
              <w:rPr>
                <w:rFonts w:hint="eastAsia" w:ascii="Times New Roman" w:hAnsi="Times New Roman" w:eastAsia="宋体" w:cs="Times New Roman"/>
                <w:b/>
                <w:bCs/>
                <w:kern w:val="0"/>
                <w:sz w:val="24"/>
              </w:rPr>
              <w:t>表4-1  项目施工期环境保护措施情况一览表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7401"/>
            </w:tblGrid>
            <w:tr w14:paraId="6DAC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noWrap w:val="0"/>
                  <w:vAlign w:val="center"/>
                </w:tcPr>
                <w:p w14:paraId="5CF43016">
                  <w:pPr>
                    <w:adjustRightInd w:val="0"/>
                    <w:snapToGrid w:val="0"/>
                    <w:spacing w:line="400" w:lineRule="exact"/>
                    <w:jc w:val="center"/>
                    <w:rPr>
                      <w:rFonts w:hint="eastAsia"/>
                      <w:bCs/>
                      <w:spacing w:val="-10"/>
                      <w:szCs w:val="21"/>
                    </w:rPr>
                  </w:pPr>
                  <w:r>
                    <w:rPr>
                      <w:rFonts w:hint="eastAsia"/>
                      <w:bCs/>
                      <w:spacing w:val="-10"/>
                      <w:szCs w:val="21"/>
                    </w:rPr>
                    <w:t>类型</w:t>
                  </w:r>
                </w:p>
              </w:tc>
              <w:tc>
                <w:tcPr>
                  <w:tcW w:w="7401" w:type="dxa"/>
                  <w:noWrap w:val="0"/>
                  <w:vAlign w:val="center"/>
                </w:tcPr>
                <w:p w14:paraId="7B30944D">
                  <w:pPr>
                    <w:adjustRightInd w:val="0"/>
                    <w:snapToGrid w:val="0"/>
                    <w:spacing w:line="400" w:lineRule="exact"/>
                    <w:jc w:val="center"/>
                    <w:rPr>
                      <w:rFonts w:hint="eastAsia"/>
                      <w:bCs/>
                      <w:spacing w:val="-10"/>
                      <w:szCs w:val="21"/>
                    </w:rPr>
                  </w:pPr>
                  <w:r>
                    <w:rPr>
                      <w:rFonts w:hint="eastAsia"/>
                      <w:bCs/>
                      <w:spacing w:val="-10"/>
                      <w:szCs w:val="21"/>
                    </w:rPr>
                    <w:t>措施</w:t>
                  </w:r>
                </w:p>
              </w:tc>
            </w:tr>
            <w:tr w14:paraId="0F20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noWrap w:val="0"/>
                  <w:vAlign w:val="center"/>
                </w:tcPr>
                <w:p w14:paraId="6D50AB46">
                  <w:pPr>
                    <w:adjustRightInd w:val="0"/>
                    <w:snapToGrid w:val="0"/>
                    <w:spacing w:line="400" w:lineRule="exact"/>
                    <w:jc w:val="center"/>
                    <w:rPr>
                      <w:rFonts w:hint="eastAsia"/>
                      <w:bCs/>
                      <w:spacing w:val="-10"/>
                      <w:szCs w:val="21"/>
                    </w:rPr>
                  </w:pPr>
                  <w:r>
                    <w:rPr>
                      <w:rFonts w:hint="eastAsia"/>
                      <w:bCs/>
                      <w:spacing w:val="-10"/>
                      <w:szCs w:val="21"/>
                    </w:rPr>
                    <w:t>施工扬尘</w:t>
                  </w:r>
                </w:p>
              </w:tc>
              <w:tc>
                <w:tcPr>
                  <w:tcW w:w="7401" w:type="dxa"/>
                  <w:noWrap w:val="0"/>
                  <w:vAlign w:val="top"/>
                </w:tcPr>
                <w:p w14:paraId="5CC00B43">
                  <w:pPr>
                    <w:adjustRightInd w:val="0"/>
                    <w:snapToGrid w:val="0"/>
                    <w:spacing w:line="400" w:lineRule="exact"/>
                    <w:rPr>
                      <w:rFonts w:hint="eastAsia"/>
                      <w:bCs/>
                      <w:color w:val="auto"/>
                      <w:spacing w:val="-10"/>
                      <w:szCs w:val="21"/>
                    </w:rPr>
                  </w:pPr>
                  <w:r>
                    <w:rPr>
                      <w:rFonts w:hint="eastAsia"/>
                      <w:bCs/>
                      <w:color w:val="auto"/>
                      <w:spacing w:val="-10"/>
                      <w:szCs w:val="21"/>
                    </w:rPr>
                    <w:t>1、施工</w:t>
                  </w:r>
                  <w:r>
                    <w:rPr>
                      <w:rFonts w:hint="eastAsia"/>
                      <w:bCs/>
                      <w:color w:val="auto"/>
                      <w:spacing w:val="-10"/>
                      <w:szCs w:val="21"/>
                      <w:highlight w:val="none"/>
                    </w:rPr>
                    <w:t>工地</w:t>
                  </w:r>
                  <w:r>
                    <w:rPr>
                      <w:rFonts w:hint="eastAsia"/>
                      <w:bCs/>
                      <w:color w:val="auto"/>
                      <w:spacing w:val="-10"/>
                      <w:szCs w:val="21"/>
                    </w:rPr>
                    <w:t>应做到周边围挡、物料堆放覆盖、渣土车辆密闭运输。</w:t>
                  </w:r>
                </w:p>
                <w:p w14:paraId="6557FF0F">
                  <w:pPr>
                    <w:adjustRightInd w:val="0"/>
                    <w:snapToGrid w:val="0"/>
                    <w:spacing w:line="400" w:lineRule="exact"/>
                    <w:rPr>
                      <w:rFonts w:hint="eastAsia"/>
                      <w:bCs/>
                      <w:color w:val="auto"/>
                      <w:spacing w:val="-10"/>
                      <w:szCs w:val="21"/>
                    </w:rPr>
                  </w:pPr>
                  <w:r>
                    <w:rPr>
                      <w:rFonts w:hint="eastAsia"/>
                      <w:bCs/>
                      <w:color w:val="auto"/>
                      <w:spacing w:val="-10"/>
                      <w:szCs w:val="21"/>
                    </w:rPr>
                    <w:t>2、施工现场不得焚烧建筑垃圾以及其他产生有毒有害气体的物质。</w:t>
                  </w:r>
                </w:p>
                <w:p w14:paraId="4DB84236">
                  <w:pPr>
                    <w:adjustRightInd w:val="0"/>
                    <w:snapToGrid w:val="0"/>
                    <w:spacing w:line="400" w:lineRule="exact"/>
                    <w:rPr>
                      <w:rFonts w:hint="eastAsia"/>
                      <w:bCs/>
                      <w:color w:val="auto"/>
                      <w:spacing w:val="-10"/>
                      <w:szCs w:val="21"/>
                    </w:rPr>
                  </w:pPr>
                  <w:r>
                    <w:rPr>
                      <w:rFonts w:hint="eastAsia"/>
                      <w:bCs/>
                      <w:color w:val="auto"/>
                      <w:spacing w:val="-10"/>
                      <w:szCs w:val="21"/>
                    </w:rPr>
                    <w:t>3、运输垃圾等散装物料的车辆应当采取密闭或者其他措施防止物料遗撒造成扬尘污染，并按照规定路线行驶。装卸物料应当采取密闭或者喷淋等方式防治扬尘污染。</w:t>
                  </w:r>
                </w:p>
                <w:p w14:paraId="6439CF35">
                  <w:pPr>
                    <w:adjustRightInd w:val="0"/>
                    <w:snapToGrid w:val="0"/>
                    <w:spacing w:line="400" w:lineRule="exact"/>
                    <w:rPr>
                      <w:bCs/>
                      <w:color w:val="auto"/>
                      <w:spacing w:val="-10"/>
                      <w:szCs w:val="21"/>
                    </w:rPr>
                  </w:pPr>
                  <w:r>
                    <w:rPr>
                      <w:rFonts w:hint="eastAsia"/>
                      <w:bCs/>
                      <w:color w:val="auto"/>
                      <w:spacing w:val="-10"/>
                      <w:szCs w:val="21"/>
                    </w:rPr>
                    <w:t>4、</w:t>
                  </w:r>
                  <w:r>
                    <w:rPr>
                      <w:bCs/>
                      <w:color w:val="auto"/>
                      <w:spacing w:val="-10"/>
                      <w:szCs w:val="21"/>
                    </w:rPr>
                    <w:t>施工场地每天应定时洒水降尘，交通道路定期洒水和清扫，运输车辆进入施工场地应低速行驶。</w:t>
                  </w:r>
                </w:p>
                <w:p w14:paraId="53BB12F1">
                  <w:pPr>
                    <w:adjustRightInd w:val="0"/>
                    <w:snapToGrid w:val="0"/>
                    <w:spacing w:line="400" w:lineRule="exact"/>
                    <w:rPr>
                      <w:rFonts w:hint="eastAsia"/>
                      <w:bCs/>
                      <w:color w:val="auto"/>
                      <w:spacing w:val="-10"/>
                      <w:szCs w:val="21"/>
                    </w:rPr>
                  </w:pPr>
                  <w:r>
                    <w:rPr>
                      <w:rFonts w:hint="eastAsia"/>
                      <w:bCs/>
                      <w:color w:val="auto"/>
                      <w:spacing w:val="-10"/>
                      <w:szCs w:val="21"/>
                    </w:rPr>
                    <w:t>5、</w:t>
                  </w:r>
                  <w:r>
                    <w:rPr>
                      <w:bCs/>
                      <w:color w:val="auto"/>
                      <w:spacing w:val="-10"/>
                      <w:szCs w:val="21"/>
                    </w:rPr>
                    <w:t>建筑垃圾应当及时清运</w:t>
                  </w:r>
                  <w:r>
                    <w:rPr>
                      <w:rFonts w:hint="eastAsia"/>
                      <w:bCs/>
                      <w:color w:val="auto"/>
                      <w:spacing w:val="-10"/>
                      <w:szCs w:val="21"/>
                    </w:rPr>
                    <w:t>。</w:t>
                  </w:r>
                </w:p>
                <w:p w14:paraId="5D248425">
                  <w:pPr>
                    <w:adjustRightInd w:val="0"/>
                    <w:snapToGrid w:val="0"/>
                    <w:spacing w:line="400" w:lineRule="exact"/>
                    <w:rPr>
                      <w:rFonts w:hint="eastAsia"/>
                      <w:bCs/>
                      <w:color w:val="auto"/>
                      <w:spacing w:val="-10"/>
                      <w:szCs w:val="21"/>
                    </w:rPr>
                  </w:pPr>
                  <w:r>
                    <w:rPr>
                      <w:rFonts w:hint="eastAsia"/>
                      <w:bCs/>
                      <w:color w:val="auto"/>
                      <w:spacing w:val="-10"/>
                      <w:szCs w:val="21"/>
                    </w:rPr>
                    <w:t>6、合理安排工期，</w:t>
                  </w:r>
                  <w:r>
                    <w:rPr>
                      <w:bCs/>
                      <w:color w:val="auto"/>
                      <w:spacing w:val="-10"/>
                      <w:szCs w:val="21"/>
                    </w:rPr>
                    <w:t>施工</w:t>
                  </w:r>
                  <w:r>
                    <w:rPr>
                      <w:rFonts w:hint="eastAsia"/>
                      <w:bCs/>
                      <w:color w:val="auto"/>
                      <w:spacing w:val="-10"/>
                      <w:szCs w:val="21"/>
                    </w:rPr>
                    <w:t>道路</w:t>
                  </w:r>
                  <w:r>
                    <w:rPr>
                      <w:bCs/>
                      <w:color w:val="auto"/>
                      <w:spacing w:val="-10"/>
                      <w:szCs w:val="21"/>
                    </w:rPr>
                    <w:t>要定期洒水</w:t>
                  </w:r>
                  <w:r>
                    <w:rPr>
                      <w:rFonts w:hint="eastAsia"/>
                      <w:bCs/>
                      <w:color w:val="auto"/>
                      <w:spacing w:val="-10"/>
                      <w:szCs w:val="21"/>
                      <w:lang w:val="en-US" w:eastAsia="zh-CN"/>
                    </w:rPr>
                    <w:t>降尘，减少运输扬尘</w:t>
                  </w:r>
                  <w:r>
                    <w:rPr>
                      <w:bCs/>
                      <w:color w:val="auto"/>
                      <w:spacing w:val="-10"/>
                      <w:szCs w:val="21"/>
                    </w:rPr>
                    <w:t>。</w:t>
                  </w:r>
                </w:p>
              </w:tc>
            </w:tr>
            <w:tr w14:paraId="1ACF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noWrap w:val="0"/>
                  <w:vAlign w:val="center"/>
                </w:tcPr>
                <w:p w14:paraId="42132BD1">
                  <w:pPr>
                    <w:adjustRightInd w:val="0"/>
                    <w:snapToGrid w:val="0"/>
                    <w:spacing w:line="400" w:lineRule="exact"/>
                    <w:jc w:val="center"/>
                    <w:rPr>
                      <w:rFonts w:hint="eastAsia"/>
                      <w:bCs/>
                      <w:spacing w:val="-10"/>
                      <w:szCs w:val="21"/>
                    </w:rPr>
                  </w:pPr>
                  <w:r>
                    <w:rPr>
                      <w:rFonts w:hint="eastAsia"/>
                      <w:bCs/>
                      <w:spacing w:val="-10"/>
                      <w:szCs w:val="21"/>
                    </w:rPr>
                    <w:t>施工废水</w:t>
                  </w:r>
                </w:p>
              </w:tc>
              <w:tc>
                <w:tcPr>
                  <w:tcW w:w="7401" w:type="dxa"/>
                  <w:noWrap w:val="0"/>
                  <w:vAlign w:val="top"/>
                </w:tcPr>
                <w:p w14:paraId="22331F31">
                  <w:pPr>
                    <w:adjustRightInd w:val="0"/>
                    <w:snapToGrid w:val="0"/>
                    <w:spacing w:line="400" w:lineRule="exact"/>
                    <w:rPr>
                      <w:rFonts w:hint="default" w:eastAsia="宋体"/>
                      <w:bCs/>
                      <w:color w:val="auto"/>
                      <w:spacing w:val="-10"/>
                      <w:szCs w:val="21"/>
                      <w:lang w:val="en-US" w:eastAsia="zh-CN"/>
                    </w:rPr>
                  </w:pPr>
                  <w:r>
                    <w:rPr>
                      <w:rFonts w:hint="eastAsia"/>
                      <w:bCs/>
                      <w:color w:val="auto"/>
                      <w:spacing w:val="-10"/>
                      <w:szCs w:val="21"/>
                    </w:rPr>
                    <w:t>1、施工人员生活污水经化粪池</w:t>
                  </w:r>
                  <w:r>
                    <w:rPr>
                      <w:rFonts w:hint="eastAsia"/>
                      <w:bCs/>
                      <w:color w:val="auto"/>
                      <w:spacing w:val="-10"/>
                      <w:szCs w:val="21"/>
                      <w:u w:val="none"/>
                    </w:rPr>
                    <w:t>处理后</w:t>
                  </w:r>
                  <w:r>
                    <w:rPr>
                      <w:rFonts w:hint="eastAsia"/>
                      <w:bCs/>
                      <w:color w:val="auto"/>
                      <w:spacing w:val="-10"/>
                      <w:szCs w:val="21"/>
                      <w:u w:val="none"/>
                      <w:lang w:val="en-US" w:eastAsia="zh-CN"/>
                    </w:rPr>
                    <w:t>排至钦州港工业污水集中处理厂</w:t>
                  </w:r>
                  <w:r>
                    <w:rPr>
                      <w:rFonts w:hint="eastAsia"/>
                      <w:bCs/>
                      <w:color w:val="auto"/>
                      <w:spacing w:val="-10"/>
                      <w:szCs w:val="21"/>
                      <w:u w:val="none"/>
                      <w:lang w:eastAsia="zh-CN"/>
                    </w:rPr>
                    <w:t>处理</w:t>
                  </w:r>
                  <w:r>
                    <w:rPr>
                      <w:rFonts w:hint="eastAsia"/>
                      <w:bCs/>
                      <w:color w:val="auto"/>
                      <w:spacing w:val="-10"/>
                      <w:szCs w:val="21"/>
                      <w:u w:val="none"/>
                    </w:rPr>
                    <w:t>。</w:t>
                  </w:r>
                  <w:r>
                    <w:rPr>
                      <w:rFonts w:hint="eastAsia"/>
                      <w:bCs/>
                      <w:color w:val="auto"/>
                      <w:spacing w:val="-10"/>
                      <w:szCs w:val="21"/>
                      <w:u w:val="none"/>
                      <w:lang w:val="en-US" w:eastAsia="zh-CN"/>
                    </w:rPr>
                    <w:t>后续工程施工无施工废水产生。</w:t>
                  </w:r>
                </w:p>
              </w:tc>
            </w:tr>
            <w:tr w14:paraId="43D0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noWrap w:val="0"/>
                  <w:vAlign w:val="center"/>
                </w:tcPr>
                <w:p w14:paraId="02496C3C">
                  <w:pPr>
                    <w:adjustRightInd w:val="0"/>
                    <w:snapToGrid w:val="0"/>
                    <w:spacing w:line="400" w:lineRule="exact"/>
                    <w:jc w:val="center"/>
                    <w:rPr>
                      <w:rFonts w:hint="eastAsia"/>
                      <w:bCs/>
                      <w:spacing w:val="-10"/>
                      <w:szCs w:val="21"/>
                    </w:rPr>
                  </w:pPr>
                  <w:r>
                    <w:rPr>
                      <w:rFonts w:hint="eastAsia"/>
                      <w:bCs/>
                      <w:spacing w:val="-10"/>
                      <w:szCs w:val="21"/>
                    </w:rPr>
                    <w:t>施工噪声</w:t>
                  </w:r>
                </w:p>
              </w:tc>
              <w:tc>
                <w:tcPr>
                  <w:tcW w:w="7401" w:type="dxa"/>
                  <w:noWrap w:val="0"/>
                  <w:vAlign w:val="top"/>
                </w:tcPr>
                <w:p w14:paraId="3DE45180">
                  <w:pPr>
                    <w:adjustRightInd w:val="0"/>
                    <w:snapToGrid w:val="0"/>
                    <w:spacing w:line="400" w:lineRule="exact"/>
                    <w:rPr>
                      <w:rFonts w:hint="eastAsia"/>
                      <w:bCs/>
                      <w:spacing w:val="-10"/>
                      <w:szCs w:val="21"/>
                    </w:rPr>
                  </w:pPr>
                  <w:r>
                    <w:rPr>
                      <w:rFonts w:hint="eastAsia"/>
                      <w:bCs/>
                      <w:spacing w:val="-10"/>
                      <w:szCs w:val="21"/>
                    </w:rPr>
                    <w:t>1、将高噪声设备设置于地块中央，并安装减振垫等有效降噪措施。</w:t>
                  </w:r>
                </w:p>
                <w:p w14:paraId="7DE625D0">
                  <w:pPr>
                    <w:adjustRightInd w:val="0"/>
                    <w:snapToGrid w:val="0"/>
                    <w:spacing w:line="400" w:lineRule="exact"/>
                    <w:rPr>
                      <w:bCs/>
                      <w:spacing w:val="-10"/>
                      <w:szCs w:val="21"/>
                    </w:rPr>
                  </w:pPr>
                  <w:r>
                    <w:rPr>
                      <w:rFonts w:hint="eastAsia"/>
                      <w:bCs/>
                      <w:spacing w:val="-10"/>
                      <w:szCs w:val="21"/>
                    </w:rPr>
                    <w:t>2、限制高噪声机械的使用和调整高噪声施工的时间，把噪声大的作业尽量安排在白天。严格按照施工期时间段限制，除工程必须外，严禁在午间12：00~14：30和夜间22：00~次日6：00期间施工，把对周围环境的影响降到最低。</w:t>
                  </w:r>
                </w:p>
                <w:p w14:paraId="4166D597">
                  <w:pPr>
                    <w:adjustRightInd w:val="0"/>
                    <w:snapToGrid w:val="0"/>
                    <w:spacing w:line="400" w:lineRule="exact"/>
                    <w:rPr>
                      <w:rFonts w:hint="eastAsia"/>
                      <w:bCs/>
                      <w:spacing w:val="-10"/>
                      <w:szCs w:val="21"/>
                    </w:rPr>
                  </w:pPr>
                  <w:r>
                    <w:rPr>
                      <w:rFonts w:hint="eastAsia"/>
                      <w:bCs/>
                      <w:spacing w:val="-10"/>
                      <w:szCs w:val="21"/>
                    </w:rPr>
                    <w:t>3、合理组织、调度及管理材料运输和工程施工车辆，进出施工场地的物料运输车辆须限制其行驶速度，并禁鸣喇叭。</w:t>
                  </w:r>
                </w:p>
                <w:p w14:paraId="1341B828">
                  <w:pPr>
                    <w:adjustRightInd w:val="0"/>
                    <w:snapToGrid w:val="0"/>
                    <w:spacing w:line="400" w:lineRule="exact"/>
                    <w:rPr>
                      <w:rFonts w:hint="eastAsia"/>
                      <w:bCs/>
                      <w:spacing w:val="-10"/>
                      <w:szCs w:val="21"/>
                    </w:rPr>
                  </w:pPr>
                  <w:r>
                    <w:rPr>
                      <w:rFonts w:hint="eastAsia"/>
                      <w:bCs/>
                      <w:spacing w:val="-10"/>
                      <w:szCs w:val="21"/>
                    </w:rPr>
                    <w:t>4、施工过程中，加强对工地设备和人员的管理，落实各项减震降噪措施。</w:t>
                  </w:r>
                </w:p>
              </w:tc>
            </w:tr>
            <w:tr w14:paraId="6FD9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noWrap w:val="0"/>
                  <w:vAlign w:val="center"/>
                </w:tcPr>
                <w:p w14:paraId="39203D57">
                  <w:pPr>
                    <w:adjustRightInd w:val="0"/>
                    <w:snapToGrid w:val="0"/>
                    <w:spacing w:line="400" w:lineRule="exact"/>
                    <w:jc w:val="center"/>
                    <w:rPr>
                      <w:rFonts w:hint="eastAsia"/>
                      <w:bCs/>
                      <w:spacing w:val="-10"/>
                      <w:szCs w:val="21"/>
                    </w:rPr>
                  </w:pPr>
                  <w:r>
                    <w:rPr>
                      <w:rFonts w:hint="eastAsia"/>
                      <w:bCs/>
                      <w:spacing w:val="-10"/>
                      <w:szCs w:val="21"/>
                    </w:rPr>
                    <w:t>施工固废</w:t>
                  </w:r>
                </w:p>
              </w:tc>
              <w:tc>
                <w:tcPr>
                  <w:tcW w:w="7401" w:type="dxa"/>
                  <w:noWrap w:val="0"/>
                  <w:vAlign w:val="top"/>
                </w:tcPr>
                <w:p w14:paraId="4A131F50">
                  <w:pPr>
                    <w:adjustRightInd w:val="0"/>
                    <w:snapToGrid w:val="0"/>
                    <w:spacing w:line="400" w:lineRule="exact"/>
                    <w:rPr>
                      <w:rFonts w:hint="eastAsia"/>
                      <w:bCs/>
                      <w:spacing w:val="-10"/>
                      <w:szCs w:val="21"/>
                    </w:rPr>
                  </w:pPr>
                  <w:r>
                    <w:rPr>
                      <w:rFonts w:hint="eastAsia"/>
                      <w:bCs/>
                      <w:spacing w:val="-10"/>
                      <w:szCs w:val="21"/>
                    </w:rPr>
                    <w:t>1、建筑垃圾</w:t>
                  </w:r>
                  <w:r>
                    <w:rPr>
                      <w:rFonts w:hint="eastAsia"/>
                      <w:bCs/>
                      <w:spacing w:val="-10"/>
                      <w:szCs w:val="21"/>
                      <w:lang w:eastAsia="zh-CN"/>
                    </w:rPr>
                    <w:t>、</w:t>
                  </w:r>
                  <w:r>
                    <w:rPr>
                      <w:rFonts w:hint="eastAsia"/>
                      <w:bCs/>
                      <w:spacing w:val="-10"/>
                      <w:szCs w:val="21"/>
                      <w:lang w:val="en-US" w:eastAsia="zh-CN"/>
                    </w:rPr>
                    <w:t>土石方等</w:t>
                  </w:r>
                  <w:r>
                    <w:rPr>
                      <w:rFonts w:hint="eastAsia"/>
                      <w:bCs/>
                      <w:spacing w:val="-10"/>
                      <w:szCs w:val="21"/>
                    </w:rPr>
                    <w:t>应统一运往城市管理局指定地点进行处置。</w:t>
                  </w:r>
                </w:p>
                <w:p w14:paraId="091D37D6">
                  <w:pPr>
                    <w:adjustRightInd w:val="0"/>
                    <w:snapToGrid w:val="0"/>
                    <w:spacing w:line="400" w:lineRule="exact"/>
                    <w:rPr>
                      <w:rFonts w:hint="eastAsia"/>
                      <w:bCs/>
                      <w:spacing w:val="-10"/>
                      <w:szCs w:val="21"/>
                    </w:rPr>
                  </w:pPr>
                  <w:r>
                    <w:rPr>
                      <w:rFonts w:hint="eastAsia"/>
                      <w:bCs/>
                      <w:spacing w:val="-10"/>
                      <w:szCs w:val="21"/>
                    </w:rPr>
                    <w:t>2、</w:t>
                  </w:r>
                  <w:r>
                    <w:rPr>
                      <w:bCs/>
                      <w:spacing w:val="-10"/>
                      <w:szCs w:val="21"/>
                    </w:rPr>
                    <w:t>施工人员</w:t>
                  </w:r>
                  <w:r>
                    <w:rPr>
                      <w:rFonts w:hint="eastAsia"/>
                      <w:bCs/>
                      <w:spacing w:val="-10"/>
                      <w:szCs w:val="21"/>
                    </w:rPr>
                    <w:t>少量的</w:t>
                  </w:r>
                  <w:r>
                    <w:rPr>
                      <w:bCs/>
                      <w:spacing w:val="-10"/>
                      <w:szCs w:val="21"/>
                    </w:rPr>
                    <w:t>生活垃圾由环卫部门统一清运处理</w:t>
                  </w:r>
                  <w:r>
                    <w:rPr>
                      <w:rFonts w:hint="eastAsia"/>
                      <w:bCs/>
                      <w:spacing w:val="-10"/>
                      <w:szCs w:val="21"/>
                    </w:rPr>
                    <w:t>。</w:t>
                  </w:r>
                </w:p>
              </w:tc>
            </w:tr>
          </w:tbl>
          <w:p w14:paraId="65439B9D">
            <w:pPr>
              <w:pStyle w:val="6"/>
              <w:spacing w:line="500" w:lineRule="exact"/>
              <w:ind w:firstLine="480"/>
              <w:rPr>
                <w:rFonts w:hint="eastAsia" w:ascii="Times New Roman" w:hAnsi="Times New Roman" w:eastAsia="宋体" w:cs="Times New Roman"/>
                <w:color w:val="auto"/>
                <w:kern w:val="0"/>
                <w:sz w:val="24"/>
                <w:lang w:val="en-GB"/>
              </w:rPr>
            </w:pPr>
          </w:p>
          <w:p w14:paraId="6E63AE84">
            <w:pPr>
              <w:pStyle w:val="6"/>
              <w:spacing w:line="500" w:lineRule="exact"/>
              <w:ind w:firstLine="480"/>
              <w:rPr>
                <w:rFonts w:hint="eastAsia" w:ascii="Times New Roman" w:hAnsi="Times New Roman" w:eastAsia="宋体" w:cs="Times New Roman"/>
                <w:color w:val="auto"/>
                <w:kern w:val="0"/>
                <w:sz w:val="24"/>
                <w:lang w:val="en-GB"/>
              </w:rPr>
            </w:pPr>
          </w:p>
          <w:p w14:paraId="78FE0ADA">
            <w:pPr>
              <w:autoSpaceDE w:val="0"/>
              <w:autoSpaceDN w:val="0"/>
              <w:adjustRightInd w:val="0"/>
              <w:snapToGrid w:val="0"/>
              <w:spacing w:line="360" w:lineRule="auto"/>
              <w:rPr>
                <w:bCs/>
                <w:spacing w:val="-10"/>
                <w:sz w:val="24"/>
              </w:rPr>
            </w:pPr>
          </w:p>
        </w:tc>
      </w:tr>
      <w:tr w14:paraId="143F45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30" w:hRule="atLeast"/>
          <w:jc w:val="center"/>
        </w:trPr>
        <w:tc>
          <w:tcPr>
            <w:tcW w:w="295" w:type="dxa"/>
            <w:noWrap w:val="0"/>
            <w:tcMar>
              <w:left w:w="28" w:type="dxa"/>
              <w:right w:w="28" w:type="dxa"/>
            </w:tcMar>
            <w:vAlign w:val="center"/>
          </w:tcPr>
          <w:p w14:paraId="1FE28077">
            <w:pPr>
              <w:adjustRightInd w:val="0"/>
              <w:snapToGrid w:val="0"/>
              <w:jc w:val="center"/>
              <w:rPr>
                <w:bCs/>
                <w:sz w:val="24"/>
              </w:rPr>
            </w:pPr>
            <w:r>
              <w:rPr>
                <w:bCs/>
                <w:sz w:val="24"/>
              </w:rPr>
              <w:t>运营</w:t>
            </w:r>
          </w:p>
          <w:p w14:paraId="6B182FC4">
            <w:pPr>
              <w:adjustRightInd w:val="0"/>
              <w:snapToGrid w:val="0"/>
              <w:jc w:val="center"/>
              <w:rPr>
                <w:bCs/>
                <w:sz w:val="24"/>
              </w:rPr>
            </w:pPr>
            <w:r>
              <w:rPr>
                <w:bCs/>
                <w:sz w:val="24"/>
              </w:rPr>
              <w:t>期环</w:t>
            </w:r>
          </w:p>
          <w:p w14:paraId="78B4D438">
            <w:pPr>
              <w:adjustRightInd w:val="0"/>
              <w:snapToGrid w:val="0"/>
              <w:jc w:val="center"/>
              <w:rPr>
                <w:bCs/>
                <w:sz w:val="24"/>
              </w:rPr>
            </w:pPr>
            <w:r>
              <w:rPr>
                <w:bCs/>
                <w:sz w:val="24"/>
              </w:rPr>
              <w:t>境影</w:t>
            </w:r>
          </w:p>
          <w:p w14:paraId="22B92C2D">
            <w:pPr>
              <w:adjustRightInd w:val="0"/>
              <w:snapToGrid w:val="0"/>
              <w:jc w:val="center"/>
              <w:rPr>
                <w:bCs/>
                <w:sz w:val="24"/>
              </w:rPr>
            </w:pPr>
            <w:r>
              <w:rPr>
                <w:bCs/>
                <w:sz w:val="24"/>
              </w:rPr>
              <w:t>响和</w:t>
            </w:r>
          </w:p>
          <w:p w14:paraId="5E87C236">
            <w:pPr>
              <w:adjustRightInd w:val="0"/>
              <w:snapToGrid w:val="0"/>
              <w:jc w:val="center"/>
              <w:rPr>
                <w:bCs/>
                <w:sz w:val="24"/>
              </w:rPr>
            </w:pPr>
            <w:r>
              <w:rPr>
                <w:bCs/>
                <w:sz w:val="24"/>
              </w:rPr>
              <w:t>保护</w:t>
            </w:r>
          </w:p>
          <w:p w14:paraId="14CDC605">
            <w:pPr>
              <w:adjustRightInd w:val="0"/>
              <w:snapToGrid w:val="0"/>
              <w:jc w:val="center"/>
              <w:rPr>
                <w:bCs/>
                <w:sz w:val="24"/>
              </w:rPr>
            </w:pPr>
            <w:r>
              <w:rPr>
                <w:bCs/>
                <w:sz w:val="24"/>
              </w:rPr>
              <w:t>措施</w:t>
            </w:r>
          </w:p>
        </w:tc>
        <w:tc>
          <w:tcPr>
            <w:tcW w:w="8686" w:type="dxa"/>
            <w:noWrap w:val="0"/>
            <w:vAlign w:val="center"/>
          </w:tcPr>
          <w:p w14:paraId="522B3B97">
            <w:pPr>
              <w:pStyle w:val="6"/>
              <w:spacing w:line="500" w:lineRule="exact"/>
              <w:ind w:firstLine="0" w:firstLineChars="0"/>
              <w:rPr>
                <w:b/>
                <w:bCs/>
                <w:kern w:val="0"/>
                <w:sz w:val="24"/>
              </w:rPr>
            </w:pPr>
            <w:r>
              <w:rPr>
                <w:b/>
                <w:bCs/>
                <w:sz w:val="24"/>
              </w:rPr>
              <w:t>1</w:t>
            </w:r>
            <w:r>
              <w:rPr>
                <w:b/>
                <w:bCs/>
                <w:kern w:val="0"/>
                <w:sz w:val="24"/>
              </w:rPr>
              <w:t>、废气</w:t>
            </w:r>
          </w:p>
          <w:p w14:paraId="3F701C34">
            <w:pPr>
              <w:pStyle w:val="6"/>
              <w:spacing w:line="500" w:lineRule="exact"/>
              <w:ind w:firstLine="480"/>
              <w:rPr>
                <w:rFonts w:hint="eastAsia"/>
                <w:kern w:val="0"/>
                <w:sz w:val="24"/>
              </w:rPr>
            </w:pPr>
            <w:r>
              <w:rPr>
                <w:rFonts w:hint="eastAsia" w:ascii="Times New Roman" w:hAnsi="Times New Roman" w:eastAsia="宋体" w:cs="Times New Roman"/>
                <w:kern w:val="0"/>
                <w:sz w:val="24"/>
              </w:rPr>
              <w:t>本项目为仓储类项目，化学品由原料供应单位分装和运输至库区，入库验货后登记入库，仓库管理人员进行定期检查。本项目仓库储存各类液态化学品均采用密封桶等密封包装，固体物质采用包装袋密封包装，不涉及化学品的分装和灌装，不从事空物料桶回收，</w:t>
            </w:r>
            <w:r>
              <w:rPr>
                <w:rFonts w:hint="eastAsia"/>
                <w:color w:val="auto"/>
                <w:kern w:val="0"/>
                <w:sz w:val="24"/>
                <w:u w:val="none"/>
                <w:lang w:val="en-US" w:eastAsia="zh-CN"/>
              </w:rPr>
              <w:t>危险化学品采用常温常压密闭式贮存，包装桶不留气密口，贮存的物料不涉及受热易分解物质，易挥发性液体主要为盐酸，盐酸包装桶贮存量为包装桶的80%，正常贮存条件下，基本无废气挥发到大气环境中</w:t>
            </w:r>
            <w:r>
              <w:rPr>
                <w:rFonts w:hint="eastAsia" w:ascii="Times New Roman" w:hAnsi="Times New Roman" w:eastAsia="宋体" w:cs="Times New Roman"/>
                <w:kern w:val="0"/>
                <w:sz w:val="24"/>
                <w:u w:val="none"/>
              </w:rPr>
              <w:t>。</w:t>
            </w:r>
          </w:p>
          <w:p w14:paraId="5AFF75FB">
            <w:pPr>
              <w:pStyle w:val="6"/>
              <w:spacing w:line="500" w:lineRule="exact"/>
              <w:ind w:firstLine="480"/>
              <w:rPr>
                <w:rFonts w:hint="eastAsia"/>
                <w:color w:val="auto"/>
                <w:kern w:val="0"/>
                <w:sz w:val="24"/>
                <w:u w:val="single"/>
              </w:rPr>
            </w:pPr>
            <w:r>
              <w:rPr>
                <w:rFonts w:hint="eastAsia"/>
                <w:kern w:val="0"/>
                <w:sz w:val="24"/>
              </w:rPr>
              <w:t>项目产生的废气主要为来往</w:t>
            </w:r>
            <w:r>
              <w:rPr>
                <w:rFonts w:hint="eastAsia"/>
                <w:kern w:val="0"/>
                <w:sz w:val="24"/>
                <w:lang w:val="en-US" w:eastAsia="zh-CN"/>
              </w:rPr>
              <w:t>运输</w:t>
            </w:r>
            <w:r>
              <w:rPr>
                <w:rFonts w:hint="eastAsia"/>
                <w:kern w:val="0"/>
                <w:sz w:val="24"/>
              </w:rPr>
              <w:t>机动车辆</w:t>
            </w:r>
            <w:r>
              <w:rPr>
                <w:rFonts w:hint="eastAsia"/>
                <w:kern w:val="0"/>
                <w:sz w:val="24"/>
                <w:lang w:eastAsia="zh-CN"/>
              </w:rPr>
              <w:t>、</w:t>
            </w:r>
            <w:r>
              <w:rPr>
                <w:rFonts w:hint="eastAsia"/>
                <w:color w:val="auto"/>
                <w:kern w:val="0"/>
                <w:sz w:val="24"/>
                <w:u w:val="none"/>
                <w:lang w:val="en-US" w:eastAsia="zh-CN"/>
              </w:rPr>
              <w:t>叉车</w:t>
            </w:r>
            <w:r>
              <w:rPr>
                <w:rFonts w:hint="eastAsia"/>
                <w:color w:val="auto"/>
                <w:kern w:val="0"/>
                <w:sz w:val="24"/>
                <w:u w:val="none"/>
                <w:lang w:eastAsia="zh-CN"/>
              </w:rPr>
              <w:t>卸装货物产生的汽车尾气和运输扬尘</w:t>
            </w:r>
            <w:r>
              <w:rPr>
                <w:rFonts w:hint="eastAsia"/>
                <w:color w:val="auto"/>
                <w:kern w:val="0"/>
                <w:sz w:val="24"/>
                <w:u w:val="none"/>
              </w:rPr>
              <w:t>。</w:t>
            </w:r>
          </w:p>
          <w:p w14:paraId="658C3D43">
            <w:pPr>
              <w:pStyle w:val="6"/>
              <w:spacing w:line="500" w:lineRule="exact"/>
              <w:ind w:left="0" w:leftChars="0" w:firstLine="0" w:firstLineChars="0"/>
              <w:rPr>
                <w:rFonts w:hint="eastAsia"/>
                <w:color w:val="auto"/>
                <w:kern w:val="0"/>
                <w:sz w:val="24"/>
              </w:rPr>
            </w:pPr>
            <w:r>
              <w:rPr>
                <w:b/>
                <w:bCs/>
                <w:color w:val="auto"/>
                <w:sz w:val="24"/>
              </w:rPr>
              <w:t>1.1废气源强估算</w:t>
            </w:r>
          </w:p>
          <w:p w14:paraId="383CF3BB">
            <w:pPr>
              <w:tabs>
                <w:tab w:val="left" w:pos="3225"/>
              </w:tabs>
              <w:spacing w:line="500" w:lineRule="exact"/>
              <w:rPr>
                <w:b/>
                <w:bCs/>
                <w:sz w:val="24"/>
              </w:rPr>
            </w:pPr>
            <w:r>
              <w:rPr>
                <w:rFonts w:hint="eastAsia"/>
                <w:b/>
                <w:bCs/>
                <w:sz w:val="24"/>
              </w:rPr>
              <w:t>1.1.</w:t>
            </w:r>
            <w:r>
              <w:rPr>
                <w:rFonts w:hint="eastAsia"/>
                <w:b/>
                <w:bCs/>
                <w:sz w:val="24"/>
                <w:lang w:val="en-US" w:eastAsia="zh-CN"/>
              </w:rPr>
              <w:t>1</w:t>
            </w:r>
            <w:r>
              <w:rPr>
                <w:rFonts w:hint="eastAsia"/>
                <w:b/>
                <w:bCs/>
                <w:sz w:val="24"/>
              </w:rPr>
              <w:t>汽车尾气</w:t>
            </w:r>
          </w:p>
          <w:p w14:paraId="574F3EBB">
            <w:pPr>
              <w:tabs>
                <w:tab w:val="left" w:pos="3225"/>
              </w:tabs>
              <w:spacing w:line="500" w:lineRule="exact"/>
              <w:ind w:firstLine="480" w:firstLineChars="200"/>
              <w:rPr>
                <w:rFonts w:hint="default"/>
                <w:color w:val="auto"/>
                <w:sz w:val="24"/>
                <w:u w:val="single"/>
                <w:lang w:val="en-US" w:eastAsia="zh-CN"/>
              </w:rPr>
            </w:pPr>
            <w:r>
              <w:rPr>
                <w:rFonts w:hint="eastAsia"/>
                <w:color w:val="auto"/>
                <w:sz w:val="24"/>
                <w:u w:val="none"/>
              </w:rPr>
              <w:t>项目运营期间</w:t>
            </w:r>
            <w:r>
              <w:rPr>
                <w:rFonts w:hint="eastAsia"/>
                <w:color w:val="auto"/>
                <w:sz w:val="24"/>
                <w:u w:val="none"/>
                <w:lang w:val="en-US" w:eastAsia="zh-CN"/>
              </w:rPr>
              <w:t>厂内运输车辆和</w:t>
            </w:r>
            <w:r>
              <w:rPr>
                <w:rFonts w:hint="eastAsia"/>
                <w:color w:val="auto"/>
                <w:sz w:val="24"/>
                <w:u w:val="none"/>
              </w:rPr>
              <w:t>来往车辆会产生汽车尾气，进出车辆以柴油为燃料，</w:t>
            </w:r>
            <w:r>
              <w:rPr>
                <w:rFonts w:hint="eastAsia"/>
                <w:color w:val="auto"/>
                <w:sz w:val="24"/>
                <w:u w:val="none"/>
                <w:lang w:val="en-US" w:eastAsia="zh-CN"/>
              </w:rPr>
              <w:t>车辆</w:t>
            </w:r>
            <w:r>
              <w:rPr>
                <w:rFonts w:hint="eastAsia"/>
                <w:color w:val="auto"/>
                <w:sz w:val="24"/>
                <w:u w:val="none"/>
              </w:rPr>
              <w:t>启、停会排放汽车尾气，主要污染物为CO、NO</w:t>
            </w:r>
            <w:r>
              <w:rPr>
                <w:rFonts w:hint="eastAsia"/>
                <w:color w:val="auto"/>
                <w:sz w:val="24"/>
                <w:u w:val="none"/>
                <w:vertAlign w:val="subscript"/>
              </w:rPr>
              <w:t>2</w:t>
            </w:r>
            <w:r>
              <w:rPr>
                <w:rFonts w:hint="eastAsia"/>
                <w:color w:val="auto"/>
                <w:sz w:val="24"/>
                <w:u w:val="none"/>
              </w:rPr>
              <w:t>、HC等污染物质，属于无组织排放</w:t>
            </w:r>
            <w:r>
              <w:rPr>
                <w:rFonts w:hint="eastAsia"/>
                <w:color w:val="auto"/>
                <w:sz w:val="24"/>
                <w:u w:val="none"/>
                <w:lang w:eastAsia="zh-CN"/>
              </w:rPr>
              <w:t>。</w:t>
            </w:r>
            <w:r>
              <w:rPr>
                <w:rFonts w:hint="eastAsia"/>
                <w:color w:val="auto"/>
                <w:sz w:val="24"/>
                <w:u w:val="none"/>
                <w:lang w:val="en-US" w:eastAsia="zh-CN"/>
              </w:rPr>
              <w:t>厂内仓库货物装卸的叉车载重为7t，则项目仓库运输货物叉车流量约为32072辆/a</w:t>
            </w:r>
            <w:r>
              <w:rPr>
                <w:rFonts w:hint="eastAsia" w:ascii="Times New Roman" w:hAnsi="Times New Roman" w:eastAsia="宋体" w:cs="Times New Roman"/>
                <w:color w:val="auto"/>
                <w:sz w:val="24"/>
                <w:u w:val="none"/>
                <w:lang w:val="en-US" w:eastAsia="zh-CN"/>
              </w:rPr>
              <w:t>，叉车在厂内装卸货物运输平均距离约为100m。集装箱</w:t>
            </w:r>
            <w:r>
              <w:rPr>
                <w:rFonts w:hint="eastAsia"/>
                <w:color w:val="auto"/>
                <w:sz w:val="24"/>
                <w:u w:val="none"/>
                <w:lang w:val="en-US" w:eastAsia="zh-CN"/>
              </w:rPr>
              <w:t>运输车辆载重为50t，则车流量为4490辆/a，在厂区运输平均距离约为100m。</w:t>
            </w:r>
          </w:p>
          <w:p w14:paraId="26B342D5">
            <w:pPr>
              <w:tabs>
                <w:tab w:val="left" w:pos="3225"/>
              </w:tabs>
              <w:spacing w:line="500" w:lineRule="exact"/>
              <w:ind w:firstLine="480" w:firstLineChars="200"/>
              <w:rPr>
                <w:rFonts w:hint="eastAsia"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大货车运行过程中的污染排放因子见表4-</w:t>
            </w:r>
            <w:r>
              <w:rPr>
                <w:rFonts w:hint="eastAsia" w:cs="Times New Roman"/>
                <w:color w:val="auto"/>
                <w:sz w:val="24"/>
                <w:u w:val="none"/>
                <w:lang w:val="en-US" w:eastAsia="zh-CN"/>
              </w:rPr>
              <w:t>2</w:t>
            </w:r>
            <w:r>
              <w:rPr>
                <w:rFonts w:hint="eastAsia" w:ascii="Times New Roman" w:hAnsi="Times New Roman" w:eastAsia="宋体" w:cs="Times New Roman"/>
                <w:color w:val="auto"/>
                <w:sz w:val="24"/>
                <w:u w:val="none"/>
                <w:lang w:val="en-US" w:eastAsia="zh-CN"/>
              </w:rPr>
              <w:t>。</w:t>
            </w:r>
          </w:p>
          <w:p w14:paraId="519D43D3">
            <w:pPr>
              <w:adjustRightInd w:val="0"/>
              <w:snapToGrid w:val="0"/>
              <w:spacing w:line="500" w:lineRule="exact"/>
              <w:jc w:val="center"/>
              <w:rPr>
                <w:rFonts w:hint="default" w:ascii="Times New Roman" w:hAnsi="Times New Roman" w:eastAsia="宋体" w:cs="Times New Roman"/>
                <w:b/>
                <w:bCs/>
                <w:color w:val="auto"/>
                <w:spacing w:val="-10"/>
                <w:sz w:val="24"/>
                <w:u w:val="none"/>
              </w:rPr>
            </w:pPr>
            <w:r>
              <w:rPr>
                <w:rFonts w:hint="default" w:ascii="Times New Roman" w:hAnsi="Times New Roman" w:eastAsia="宋体" w:cs="Times New Roman"/>
                <w:b/>
                <w:bCs/>
                <w:color w:val="auto"/>
                <w:spacing w:val="-10"/>
                <w:sz w:val="24"/>
                <w:u w:val="none"/>
                <w:lang w:val="en-US" w:eastAsia="zh-CN"/>
              </w:rPr>
              <w:t>表4-</w:t>
            </w:r>
            <w:r>
              <w:rPr>
                <w:rFonts w:hint="eastAsia" w:cs="Times New Roman"/>
                <w:b/>
                <w:bCs/>
                <w:color w:val="auto"/>
                <w:spacing w:val="-10"/>
                <w:sz w:val="24"/>
                <w:u w:val="none"/>
                <w:lang w:val="en-US" w:eastAsia="zh-CN"/>
              </w:rPr>
              <w:t>2</w:t>
            </w:r>
            <w:r>
              <w:rPr>
                <w:rFonts w:hint="default" w:ascii="Times New Roman" w:hAnsi="Times New Roman" w:eastAsia="宋体" w:cs="Times New Roman"/>
                <w:b/>
                <w:bCs/>
                <w:color w:val="auto"/>
                <w:spacing w:val="-10"/>
                <w:sz w:val="24"/>
                <w:u w:val="none"/>
                <w:lang w:val="en-US" w:eastAsia="zh-CN"/>
              </w:rPr>
              <w:t xml:space="preserve"> </w:t>
            </w:r>
            <w:r>
              <w:rPr>
                <w:rFonts w:hint="default" w:ascii="Times New Roman" w:hAnsi="Times New Roman" w:eastAsia="宋体" w:cs="Times New Roman"/>
                <w:b/>
                <w:bCs/>
                <w:color w:val="auto"/>
                <w:spacing w:val="-10"/>
                <w:sz w:val="24"/>
                <w:u w:val="none"/>
              </w:rPr>
              <w:t>动车尾气污染物排放限值    单位：mg/m·辆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5"/>
              <w:gridCol w:w="2115"/>
              <w:gridCol w:w="2115"/>
            </w:tblGrid>
            <w:tr w14:paraId="1AB5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noWrap w:val="0"/>
                  <w:vAlign w:val="center"/>
                </w:tcPr>
                <w:p w14:paraId="137EB560">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车型</w:t>
                  </w:r>
                </w:p>
              </w:tc>
              <w:tc>
                <w:tcPr>
                  <w:tcW w:w="2115" w:type="dxa"/>
                  <w:noWrap w:val="0"/>
                  <w:vAlign w:val="center"/>
                </w:tcPr>
                <w:p w14:paraId="4BBC8846">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CO</w:t>
                  </w:r>
                </w:p>
              </w:tc>
              <w:tc>
                <w:tcPr>
                  <w:tcW w:w="2115" w:type="dxa"/>
                  <w:noWrap w:val="0"/>
                  <w:vAlign w:val="center"/>
                </w:tcPr>
                <w:p w14:paraId="02DF9445">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NOx</w:t>
                  </w:r>
                </w:p>
              </w:tc>
              <w:tc>
                <w:tcPr>
                  <w:tcW w:w="2115" w:type="dxa"/>
                  <w:noWrap w:val="0"/>
                  <w:vAlign w:val="center"/>
                </w:tcPr>
                <w:p w14:paraId="0B07D296">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备注</w:t>
                  </w:r>
                </w:p>
              </w:tc>
            </w:tr>
            <w:tr w14:paraId="68BE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noWrap w:val="0"/>
                  <w:vAlign w:val="center"/>
                </w:tcPr>
                <w:p w14:paraId="553BA8D6">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小型车</w:t>
                  </w:r>
                </w:p>
              </w:tc>
              <w:tc>
                <w:tcPr>
                  <w:tcW w:w="2115" w:type="dxa"/>
                  <w:noWrap w:val="0"/>
                  <w:vAlign w:val="center"/>
                </w:tcPr>
                <w:p w14:paraId="308AC0E8">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1.0</w:t>
                  </w:r>
                </w:p>
              </w:tc>
              <w:tc>
                <w:tcPr>
                  <w:tcW w:w="2115" w:type="dxa"/>
                  <w:noWrap w:val="0"/>
                  <w:vAlign w:val="center"/>
                </w:tcPr>
                <w:p w14:paraId="47F48219">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0.06</w:t>
                  </w:r>
                </w:p>
              </w:tc>
              <w:tc>
                <w:tcPr>
                  <w:tcW w:w="2115" w:type="dxa"/>
                  <w:vMerge w:val="restart"/>
                  <w:noWrap w:val="0"/>
                  <w:vAlign w:val="center"/>
                </w:tcPr>
                <w:p w14:paraId="2CCBABCC">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Ⅴ阶段</w:t>
                  </w:r>
                </w:p>
              </w:tc>
            </w:tr>
            <w:tr w14:paraId="4322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noWrap w:val="0"/>
                  <w:vAlign w:val="center"/>
                </w:tcPr>
                <w:p w14:paraId="051CF5F0">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中型车</w:t>
                  </w:r>
                </w:p>
              </w:tc>
              <w:tc>
                <w:tcPr>
                  <w:tcW w:w="2115" w:type="dxa"/>
                  <w:noWrap w:val="0"/>
                  <w:vAlign w:val="center"/>
                </w:tcPr>
                <w:p w14:paraId="66A01A92">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1.81</w:t>
                  </w:r>
                </w:p>
              </w:tc>
              <w:tc>
                <w:tcPr>
                  <w:tcW w:w="2115" w:type="dxa"/>
                  <w:noWrap w:val="0"/>
                  <w:vAlign w:val="center"/>
                </w:tcPr>
                <w:p w14:paraId="4A8DB998">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0.075</w:t>
                  </w:r>
                </w:p>
              </w:tc>
              <w:tc>
                <w:tcPr>
                  <w:tcW w:w="2115" w:type="dxa"/>
                  <w:vMerge w:val="continue"/>
                  <w:noWrap w:val="0"/>
                  <w:vAlign w:val="center"/>
                </w:tcPr>
                <w:p w14:paraId="0FD7AA75">
                  <w:pPr>
                    <w:widowControl/>
                    <w:jc w:val="left"/>
                    <w:rPr>
                      <w:rFonts w:hint="default" w:ascii="Times New Roman" w:hAnsi="Times New Roman" w:cs="Times New Roman"/>
                      <w:color w:val="auto"/>
                      <w:sz w:val="21"/>
                      <w:szCs w:val="21"/>
                      <w:u w:val="none"/>
                    </w:rPr>
                  </w:pPr>
                </w:p>
              </w:tc>
            </w:tr>
            <w:tr w14:paraId="2F15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noWrap w:val="0"/>
                  <w:vAlign w:val="center"/>
                </w:tcPr>
                <w:p w14:paraId="786DF075">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大型车</w:t>
                  </w:r>
                </w:p>
              </w:tc>
              <w:tc>
                <w:tcPr>
                  <w:tcW w:w="2115" w:type="dxa"/>
                  <w:noWrap w:val="0"/>
                  <w:vAlign w:val="center"/>
                </w:tcPr>
                <w:p w14:paraId="2D5C1E4E">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1.5</w:t>
                  </w:r>
                </w:p>
              </w:tc>
              <w:tc>
                <w:tcPr>
                  <w:tcW w:w="2115" w:type="dxa"/>
                  <w:noWrap w:val="0"/>
                  <w:vAlign w:val="center"/>
                </w:tcPr>
                <w:p w14:paraId="78F52E40">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2.0</w:t>
                  </w:r>
                </w:p>
              </w:tc>
              <w:tc>
                <w:tcPr>
                  <w:tcW w:w="2115" w:type="dxa"/>
                  <w:vMerge w:val="continue"/>
                  <w:noWrap w:val="0"/>
                  <w:vAlign w:val="center"/>
                </w:tcPr>
                <w:p w14:paraId="5BA01C06">
                  <w:pPr>
                    <w:widowControl/>
                    <w:jc w:val="left"/>
                    <w:rPr>
                      <w:rFonts w:hint="default" w:ascii="Times New Roman" w:hAnsi="Times New Roman" w:cs="Times New Roman"/>
                      <w:color w:val="auto"/>
                      <w:sz w:val="21"/>
                      <w:szCs w:val="21"/>
                      <w:u w:val="none"/>
                    </w:rPr>
                  </w:pPr>
                </w:p>
              </w:tc>
            </w:tr>
          </w:tbl>
          <w:p w14:paraId="24692C0D">
            <w:pPr>
              <w:tabs>
                <w:tab w:val="left" w:pos="3225"/>
              </w:tabs>
              <w:spacing w:line="500" w:lineRule="exact"/>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车辆运行过程中废气排放量见表4-</w:t>
            </w:r>
            <w:r>
              <w:rPr>
                <w:rFonts w:hint="eastAsia" w:cs="Times New Roman"/>
                <w:color w:val="auto"/>
                <w:sz w:val="24"/>
                <w:u w:val="none"/>
                <w:lang w:val="en-US" w:eastAsia="zh-CN"/>
              </w:rPr>
              <w:t>3</w:t>
            </w:r>
            <w:r>
              <w:rPr>
                <w:rFonts w:hint="default" w:ascii="Times New Roman" w:hAnsi="Times New Roman" w:eastAsia="宋体" w:cs="Times New Roman"/>
                <w:color w:val="auto"/>
                <w:sz w:val="24"/>
                <w:u w:val="none"/>
                <w:lang w:val="en-US" w:eastAsia="zh-CN"/>
              </w:rPr>
              <w:t>。</w:t>
            </w:r>
          </w:p>
          <w:p w14:paraId="62D2332E">
            <w:pPr>
              <w:adjustRightInd w:val="0"/>
              <w:snapToGrid w:val="0"/>
              <w:spacing w:line="500" w:lineRule="exact"/>
              <w:jc w:val="center"/>
              <w:rPr>
                <w:rFonts w:hint="default" w:ascii="Times New Roman" w:hAnsi="Times New Roman" w:eastAsia="宋体" w:cs="Times New Roman"/>
                <w:b/>
                <w:bCs/>
                <w:color w:val="auto"/>
                <w:spacing w:val="-10"/>
                <w:sz w:val="24"/>
                <w:u w:val="none"/>
              </w:rPr>
            </w:pPr>
            <w:r>
              <w:rPr>
                <w:rFonts w:hint="default" w:ascii="Times New Roman" w:hAnsi="Times New Roman" w:eastAsia="宋体" w:cs="Times New Roman"/>
                <w:b/>
                <w:bCs/>
                <w:color w:val="auto"/>
                <w:spacing w:val="-10"/>
                <w:sz w:val="24"/>
                <w:u w:val="none"/>
                <w:lang w:val="en-US" w:eastAsia="zh-CN"/>
              </w:rPr>
              <w:t>表4-</w:t>
            </w:r>
            <w:r>
              <w:rPr>
                <w:rFonts w:hint="eastAsia" w:cs="Times New Roman"/>
                <w:b/>
                <w:bCs/>
                <w:color w:val="auto"/>
                <w:spacing w:val="-10"/>
                <w:sz w:val="24"/>
                <w:u w:val="none"/>
                <w:lang w:val="en-US" w:eastAsia="zh-CN"/>
              </w:rPr>
              <w:t>3</w:t>
            </w:r>
            <w:r>
              <w:rPr>
                <w:rFonts w:hint="default" w:ascii="Times New Roman" w:hAnsi="Times New Roman" w:eastAsia="宋体" w:cs="Times New Roman"/>
                <w:b/>
                <w:bCs/>
                <w:color w:val="auto"/>
                <w:spacing w:val="-10"/>
                <w:sz w:val="24"/>
                <w:u w:val="none"/>
                <w:lang w:val="en-US" w:eastAsia="zh-CN"/>
              </w:rPr>
              <w:t xml:space="preserve"> </w:t>
            </w:r>
            <w:r>
              <w:rPr>
                <w:rFonts w:hint="default" w:ascii="Times New Roman" w:hAnsi="Times New Roman" w:eastAsia="宋体" w:cs="Times New Roman"/>
                <w:b/>
                <w:bCs/>
                <w:color w:val="auto"/>
                <w:spacing w:val="-10"/>
                <w:sz w:val="24"/>
                <w:u w:val="none"/>
              </w:rPr>
              <w:t>运输车辆尾气污染物排放源强  单位：t/ a</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7"/>
              <w:gridCol w:w="2818"/>
              <w:gridCol w:w="2823"/>
            </w:tblGrid>
            <w:tr w14:paraId="20EF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7" w:type="dxa"/>
                  <w:noWrap w:val="0"/>
                  <w:vAlign w:val="center"/>
                </w:tcPr>
                <w:p w14:paraId="2B67DAE2">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污染源</w:t>
                  </w:r>
                </w:p>
              </w:tc>
              <w:tc>
                <w:tcPr>
                  <w:tcW w:w="2818" w:type="dxa"/>
                  <w:noWrap w:val="0"/>
                  <w:vAlign w:val="center"/>
                </w:tcPr>
                <w:p w14:paraId="34EAD6E4">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CO</w:t>
                  </w:r>
                </w:p>
              </w:tc>
              <w:tc>
                <w:tcPr>
                  <w:tcW w:w="2823" w:type="dxa"/>
                  <w:noWrap w:val="0"/>
                  <w:vAlign w:val="center"/>
                </w:tcPr>
                <w:p w14:paraId="3857951E">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NOx</w:t>
                  </w:r>
                </w:p>
              </w:tc>
            </w:tr>
            <w:tr w14:paraId="73AF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7" w:type="dxa"/>
                  <w:noWrap w:val="0"/>
                  <w:vAlign w:val="center"/>
                </w:tcPr>
                <w:p w14:paraId="12731C6F">
                  <w:pPr>
                    <w:widowControl/>
                    <w:adjustRightInd w:val="0"/>
                    <w:snapToGrid w:val="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运输车辆尾气</w:t>
                  </w:r>
                </w:p>
              </w:tc>
              <w:tc>
                <w:tcPr>
                  <w:tcW w:w="2818" w:type="dxa"/>
                  <w:noWrap w:val="0"/>
                  <w:vAlign w:val="center"/>
                </w:tcPr>
                <w:p w14:paraId="6F0AEEDA">
                  <w:pPr>
                    <w:widowControl/>
                    <w:adjustRightInd w:val="0"/>
                    <w:snapToGrid w:val="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0.0055</w:t>
                  </w:r>
                </w:p>
              </w:tc>
              <w:tc>
                <w:tcPr>
                  <w:tcW w:w="2823" w:type="dxa"/>
                  <w:noWrap w:val="0"/>
                  <w:vAlign w:val="center"/>
                </w:tcPr>
                <w:p w14:paraId="1CAC9A03">
                  <w:pPr>
                    <w:widowControl/>
                    <w:adjustRightInd w:val="0"/>
                    <w:snapToGrid w:val="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0.0073</w:t>
                  </w:r>
                </w:p>
              </w:tc>
            </w:tr>
          </w:tbl>
          <w:p w14:paraId="7828754F">
            <w:pPr>
              <w:tabs>
                <w:tab w:val="left" w:pos="3225"/>
              </w:tabs>
              <w:spacing w:line="500" w:lineRule="exact"/>
              <w:rPr>
                <w:rFonts w:hint="default" w:ascii="Times New Roman" w:hAnsi="Times New Roman" w:eastAsia="宋体" w:cs="Times New Roman"/>
                <w:b/>
                <w:bCs/>
                <w:color w:val="auto"/>
                <w:sz w:val="24"/>
                <w:u w:val="none"/>
                <w:lang w:val="en-US" w:eastAsia="zh-CN"/>
              </w:rPr>
            </w:pPr>
            <w:r>
              <w:rPr>
                <w:rFonts w:hint="eastAsia" w:ascii="Times New Roman" w:hAnsi="Times New Roman" w:eastAsia="宋体" w:cs="Times New Roman"/>
                <w:b/>
                <w:bCs/>
                <w:color w:val="auto"/>
                <w:sz w:val="24"/>
                <w:u w:val="none"/>
                <w:lang w:val="en-US" w:eastAsia="zh-CN"/>
              </w:rPr>
              <w:t>1.1.2运输扬尘</w:t>
            </w:r>
          </w:p>
          <w:p w14:paraId="102A0B46">
            <w:pPr>
              <w:tabs>
                <w:tab w:val="left" w:pos="3225"/>
              </w:tabs>
              <w:spacing w:line="500" w:lineRule="exact"/>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lang w:val="en-US" w:eastAsia="zh-CN"/>
              </w:rPr>
              <w:t>项目贮存的货物在</w:t>
            </w:r>
            <w:r>
              <w:rPr>
                <w:rFonts w:hint="eastAsia" w:ascii="Times New Roman" w:hAnsi="Times New Roman" w:eastAsia="宋体" w:cs="Times New Roman"/>
                <w:color w:val="auto"/>
                <w:sz w:val="24"/>
                <w:u w:val="none"/>
              </w:rPr>
              <w:t>厂区道路上运输会产生运输扬尘，本评价采用《扬尘源颗粒物排放清单编制技术指南》中道路扬尘计算公式：</w:t>
            </w:r>
          </w:p>
          <w:p w14:paraId="5DCAB069">
            <w:pPr>
              <w:adjustRightInd w:val="0"/>
              <w:snapToGrid w:val="0"/>
              <w:ind w:firstLine="1050" w:firstLineChars="500"/>
              <w:rPr>
                <w:rFonts w:hint="eastAsia"/>
                <w:color w:val="auto"/>
                <w:u w:val="none"/>
              </w:rPr>
            </w:pPr>
            <w:r>
              <w:rPr>
                <w:color w:val="auto"/>
                <w:u w:val="none"/>
              </w:rPr>
              <w:drawing>
                <wp:inline distT="0" distB="0" distL="114300" distR="114300">
                  <wp:extent cx="3390265" cy="495300"/>
                  <wp:effectExtent l="0" t="0" r="63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3390265" cy="495300"/>
                          </a:xfrm>
                          <a:prstGeom prst="rect">
                            <a:avLst/>
                          </a:prstGeom>
                          <a:noFill/>
                          <a:ln>
                            <a:noFill/>
                          </a:ln>
                        </pic:spPr>
                      </pic:pic>
                    </a:graphicData>
                  </a:graphic>
                </wp:inline>
              </w:drawing>
            </w:r>
          </w:p>
          <w:p w14:paraId="6C7AFBD0">
            <w:pPr>
              <w:adjustRightInd w:val="0"/>
              <w:snapToGrid w:val="0"/>
              <w:ind w:firstLine="1050" w:firstLineChars="500"/>
              <w:rPr>
                <w:rFonts w:hint="eastAsia"/>
                <w:b/>
                <w:bCs/>
                <w:color w:val="auto"/>
                <w:sz w:val="24"/>
                <w:u w:val="none"/>
                <w:lang w:val="en-GB"/>
              </w:rPr>
            </w:pPr>
            <w:r>
              <w:rPr>
                <w:color w:val="auto"/>
                <w:u w:val="none"/>
              </w:rPr>
              <w:drawing>
                <wp:inline distT="0" distB="0" distL="114300" distR="114300">
                  <wp:extent cx="3285490" cy="561975"/>
                  <wp:effectExtent l="0" t="0" r="1016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a:stretch>
                            <a:fillRect/>
                          </a:stretch>
                        </pic:blipFill>
                        <pic:spPr>
                          <a:xfrm>
                            <a:off x="0" y="0"/>
                            <a:ext cx="3285490" cy="561975"/>
                          </a:xfrm>
                          <a:prstGeom prst="rect">
                            <a:avLst/>
                          </a:prstGeom>
                          <a:noFill/>
                          <a:ln>
                            <a:noFill/>
                          </a:ln>
                        </pic:spPr>
                      </pic:pic>
                    </a:graphicData>
                  </a:graphic>
                </wp:inline>
              </w:drawing>
            </w:r>
          </w:p>
          <w:p w14:paraId="40E6D244">
            <w:pPr>
              <w:adjustRightInd w:val="0"/>
              <w:snapToGrid w:val="0"/>
              <w:spacing w:line="500" w:lineRule="exact"/>
              <w:jc w:val="center"/>
              <w:rPr>
                <w:rFonts w:hint="eastAsia" w:ascii="Times New Roman" w:hAnsi="Times New Roman" w:eastAsia="宋体" w:cs="Times New Roman"/>
                <w:b/>
                <w:bCs/>
                <w:color w:val="auto"/>
                <w:spacing w:val="-10"/>
                <w:sz w:val="24"/>
                <w:u w:val="none"/>
                <w:lang w:val="en-GB"/>
              </w:rPr>
            </w:pPr>
            <w:r>
              <w:rPr>
                <w:rFonts w:hint="eastAsia" w:ascii="Times New Roman" w:hAnsi="Times New Roman" w:eastAsia="宋体" w:cs="Times New Roman"/>
                <w:b/>
                <w:bCs/>
                <w:color w:val="auto"/>
                <w:spacing w:val="-10"/>
                <w:sz w:val="24"/>
                <w:u w:val="none"/>
                <w:lang w:val="en-GB"/>
              </w:rPr>
              <w:t>表</w:t>
            </w:r>
            <w:r>
              <w:rPr>
                <w:rFonts w:hint="eastAsia" w:ascii="Times New Roman" w:hAnsi="Times New Roman" w:eastAsia="宋体" w:cs="Times New Roman"/>
                <w:b/>
                <w:bCs/>
                <w:color w:val="auto"/>
                <w:spacing w:val="-10"/>
                <w:sz w:val="24"/>
                <w:u w:val="none"/>
                <w:lang w:val="en-US" w:eastAsia="zh-CN"/>
              </w:rPr>
              <w:t>4-</w:t>
            </w:r>
            <w:r>
              <w:rPr>
                <w:rFonts w:hint="eastAsia" w:cs="Times New Roman"/>
                <w:b/>
                <w:bCs/>
                <w:color w:val="auto"/>
                <w:spacing w:val="-10"/>
                <w:sz w:val="24"/>
                <w:u w:val="none"/>
                <w:lang w:val="en-US" w:eastAsia="zh-CN"/>
              </w:rPr>
              <w:t>4</w:t>
            </w:r>
            <w:r>
              <w:rPr>
                <w:rFonts w:hint="eastAsia" w:ascii="Times New Roman" w:hAnsi="Times New Roman" w:eastAsia="宋体" w:cs="Times New Roman"/>
                <w:b/>
                <w:bCs/>
                <w:color w:val="auto"/>
                <w:spacing w:val="-10"/>
                <w:sz w:val="24"/>
                <w:u w:val="none"/>
                <w:lang w:val="en-GB"/>
              </w:rPr>
              <w:t xml:space="preserve">  车辆运输扬尘源强计算表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9"/>
              <w:gridCol w:w="1418"/>
              <w:gridCol w:w="1559"/>
              <w:gridCol w:w="1849"/>
            </w:tblGrid>
            <w:tr w14:paraId="4F91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7CCB45D4">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公式参数</w:t>
                  </w:r>
                </w:p>
              </w:tc>
              <w:tc>
                <w:tcPr>
                  <w:tcW w:w="1418" w:type="dxa"/>
                  <w:noWrap w:val="0"/>
                  <w:vAlign w:val="center"/>
                </w:tcPr>
                <w:p w14:paraId="747EAB95">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单位</w:t>
                  </w:r>
                </w:p>
              </w:tc>
              <w:tc>
                <w:tcPr>
                  <w:tcW w:w="1559" w:type="dxa"/>
                  <w:noWrap w:val="0"/>
                  <w:vAlign w:val="center"/>
                </w:tcPr>
                <w:p w14:paraId="7A61C1D8">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取值</w:t>
                  </w:r>
                </w:p>
              </w:tc>
              <w:tc>
                <w:tcPr>
                  <w:tcW w:w="1849" w:type="dxa"/>
                  <w:noWrap w:val="0"/>
                  <w:vAlign w:val="center"/>
                </w:tcPr>
                <w:p w14:paraId="42597D26">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计算结果</w:t>
                  </w:r>
                </w:p>
              </w:tc>
            </w:tr>
            <w:tr w14:paraId="5455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68B8D02F">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k</w:t>
                  </w:r>
                  <w:r>
                    <w:rPr>
                      <w:rFonts w:hint="eastAsia"/>
                      <w:bCs/>
                      <w:color w:val="auto"/>
                      <w:spacing w:val="-10"/>
                      <w:szCs w:val="21"/>
                      <w:u w:val="none"/>
                      <w:vertAlign w:val="subscript"/>
                    </w:rPr>
                    <w:t>i</w:t>
                  </w:r>
                  <w:r>
                    <w:rPr>
                      <w:rFonts w:hint="eastAsia"/>
                      <w:bCs/>
                      <w:color w:val="auto"/>
                      <w:spacing w:val="-10"/>
                      <w:szCs w:val="21"/>
                      <w:u w:val="none"/>
                    </w:rPr>
                    <w:t>—TSP的粒度乘数</w:t>
                  </w:r>
                </w:p>
              </w:tc>
              <w:tc>
                <w:tcPr>
                  <w:tcW w:w="1418" w:type="dxa"/>
                  <w:noWrap w:val="0"/>
                  <w:vAlign w:val="center"/>
                </w:tcPr>
                <w:p w14:paraId="5E18A09C">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w:t>
                  </w:r>
                </w:p>
              </w:tc>
              <w:tc>
                <w:tcPr>
                  <w:tcW w:w="1559" w:type="dxa"/>
                  <w:noWrap w:val="0"/>
                  <w:vAlign w:val="center"/>
                </w:tcPr>
                <w:p w14:paraId="5106A781">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3.23</w:t>
                  </w:r>
                </w:p>
              </w:tc>
              <w:tc>
                <w:tcPr>
                  <w:tcW w:w="1849" w:type="dxa"/>
                  <w:noWrap w:val="0"/>
                  <w:vAlign w:val="center"/>
                </w:tcPr>
                <w:p w14:paraId="1190F3C8">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w:t>
                  </w:r>
                </w:p>
              </w:tc>
            </w:tr>
            <w:tr w14:paraId="6C42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5CC69908">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sL—道路积尘负荷</w:t>
                  </w:r>
                </w:p>
              </w:tc>
              <w:tc>
                <w:tcPr>
                  <w:tcW w:w="1418" w:type="dxa"/>
                  <w:noWrap w:val="0"/>
                  <w:vAlign w:val="center"/>
                </w:tcPr>
                <w:p w14:paraId="4F0FA1AB">
                  <w:pPr>
                    <w:adjustRightInd w:val="0"/>
                    <w:snapToGrid w:val="0"/>
                    <w:spacing w:line="360" w:lineRule="exact"/>
                    <w:jc w:val="center"/>
                    <w:rPr>
                      <w:rFonts w:hint="eastAsia"/>
                      <w:bCs/>
                      <w:color w:val="auto"/>
                      <w:spacing w:val="-10"/>
                      <w:szCs w:val="21"/>
                      <w:u w:val="none"/>
                      <w:vertAlign w:val="superscript"/>
                    </w:rPr>
                  </w:pPr>
                  <w:r>
                    <w:rPr>
                      <w:rFonts w:hint="eastAsia"/>
                      <w:bCs/>
                      <w:color w:val="auto"/>
                      <w:spacing w:val="-10"/>
                      <w:szCs w:val="21"/>
                      <w:u w:val="none"/>
                    </w:rPr>
                    <w:t>g</w:t>
                  </w:r>
                  <w:r>
                    <w:rPr>
                      <w:bCs/>
                      <w:color w:val="auto"/>
                      <w:spacing w:val="-10"/>
                      <w:szCs w:val="21"/>
                      <w:u w:val="none"/>
                    </w:rPr>
                    <w:t>/</w:t>
                  </w:r>
                  <w:r>
                    <w:rPr>
                      <w:rFonts w:hint="eastAsia"/>
                      <w:bCs/>
                      <w:color w:val="auto"/>
                      <w:spacing w:val="-10"/>
                      <w:szCs w:val="21"/>
                      <w:u w:val="none"/>
                    </w:rPr>
                    <w:t>m</w:t>
                  </w:r>
                  <w:r>
                    <w:rPr>
                      <w:rFonts w:hint="eastAsia"/>
                      <w:bCs/>
                      <w:color w:val="auto"/>
                      <w:spacing w:val="-10"/>
                      <w:szCs w:val="21"/>
                      <w:u w:val="none"/>
                      <w:vertAlign w:val="superscript"/>
                    </w:rPr>
                    <w:t>2</w:t>
                  </w:r>
                </w:p>
              </w:tc>
              <w:tc>
                <w:tcPr>
                  <w:tcW w:w="1559" w:type="dxa"/>
                  <w:noWrap w:val="0"/>
                  <w:vAlign w:val="center"/>
                </w:tcPr>
                <w:p w14:paraId="67DFEE97">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12</w:t>
                  </w:r>
                </w:p>
              </w:tc>
              <w:tc>
                <w:tcPr>
                  <w:tcW w:w="1849" w:type="dxa"/>
                  <w:noWrap w:val="0"/>
                  <w:vAlign w:val="center"/>
                </w:tcPr>
                <w:p w14:paraId="599DB79B">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w:t>
                  </w:r>
                </w:p>
              </w:tc>
            </w:tr>
            <w:tr w14:paraId="417B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71B23AB6">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W—平均车重</w:t>
                  </w:r>
                </w:p>
              </w:tc>
              <w:tc>
                <w:tcPr>
                  <w:tcW w:w="1418" w:type="dxa"/>
                  <w:noWrap w:val="0"/>
                  <w:vAlign w:val="center"/>
                </w:tcPr>
                <w:p w14:paraId="0B8883BD">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t</w:t>
                  </w:r>
                </w:p>
              </w:tc>
              <w:tc>
                <w:tcPr>
                  <w:tcW w:w="1559" w:type="dxa"/>
                  <w:noWrap w:val="0"/>
                  <w:vAlign w:val="center"/>
                </w:tcPr>
                <w:p w14:paraId="720BF3F8">
                  <w:pPr>
                    <w:adjustRightInd w:val="0"/>
                    <w:snapToGrid w:val="0"/>
                    <w:spacing w:line="360" w:lineRule="exact"/>
                    <w:jc w:val="center"/>
                    <w:rPr>
                      <w:rFonts w:hint="eastAsia" w:eastAsia="宋体"/>
                      <w:bCs/>
                      <w:color w:val="auto"/>
                      <w:spacing w:val="-10"/>
                      <w:szCs w:val="21"/>
                      <w:u w:val="none"/>
                      <w:lang w:eastAsia="zh-CN"/>
                    </w:rPr>
                  </w:pPr>
                  <w:r>
                    <w:rPr>
                      <w:rFonts w:hint="eastAsia"/>
                      <w:bCs/>
                      <w:color w:val="auto"/>
                      <w:spacing w:val="-10"/>
                      <w:szCs w:val="21"/>
                      <w:u w:val="none"/>
                      <w:lang w:val="en-US" w:eastAsia="zh-CN"/>
                    </w:rPr>
                    <w:t>7</w:t>
                  </w:r>
                </w:p>
              </w:tc>
              <w:tc>
                <w:tcPr>
                  <w:tcW w:w="1849" w:type="dxa"/>
                  <w:noWrap w:val="0"/>
                  <w:vAlign w:val="center"/>
                </w:tcPr>
                <w:p w14:paraId="2C2BED51">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w:t>
                  </w:r>
                </w:p>
              </w:tc>
            </w:tr>
            <w:tr w14:paraId="0943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17371B72">
                  <w:pPr>
                    <w:adjustRightInd w:val="0"/>
                    <w:snapToGrid w:val="0"/>
                    <w:spacing w:line="360" w:lineRule="exact"/>
                    <w:jc w:val="center"/>
                    <w:rPr>
                      <w:rFonts w:hint="eastAsia"/>
                      <w:bCs/>
                      <w:color w:val="auto"/>
                      <w:spacing w:val="-10"/>
                      <w:sz w:val="32"/>
                      <w:szCs w:val="32"/>
                      <w:u w:val="none"/>
                    </w:rPr>
                  </w:pPr>
                  <w:r>
                    <w:rPr>
                      <w:color w:val="auto"/>
                      <w:u w:val="none"/>
                    </w:rPr>
                    <w:drawing>
                      <wp:inline distT="0" distB="0" distL="114300" distR="114300">
                        <wp:extent cx="247650" cy="200025"/>
                        <wp:effectExtent l="0" t="0" r="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247650" cy="200025"/>
                                </a:xfrm>
                                <a:prstGeom prst="rect">
                                  <a:avLst/>
                                </a:prstGeom>
                                <a:noFill/>
                                <a:ln>
                                  <a:noFill/>
                                </a:ln>
                              </pic:spPr>
                            </pic:pic>
                          </a:graphicData>
                        </a:graphic>
                      </wp:inline>
                    </w:drawing>
                  </w:r>
                  <w:r>
                    <w:rPr>
                      <w:rFonts w:hint="eastAsia"/>
                      <w:bCs/>
                      <w:color w:val="auto"/>
                      <w:u w:val="none"/>
                    </w:rPr>
                    <w:t>—污染控制技术对扬尘的去除率</w:t>
                  </w:r>
                </w:p>
              </w:tc>
              <w:tc>
                <w:tcPr>
                  <w:tcW w:w="1418" w:type="dxa"/>
                  <w:noWrap w:val="0"/>
                  <w:vAlign w:val="center"/>
                </w:tcPr>
                <w:p w14:paraId="093F0B55">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w:t>
                  </w:r>
                </w:p>
              </w:tc>
              <w:tc>
                <w:tcPr>
                  <w:tcW w:w="1559" w:type="dxa"/>
                  <w:noWrap w:val="0"/>
                  <w:vAlign w:val="center"/>
                </w:tcPr>
                <w:p w14:paraId="57B32074">
                  <w:pPr>
                    <w:adjustRightInd w:val="0"/>
                    <w:snapToGrid w:val="0"/>
                    <w:spacing w:line="360" w:lineRule="exact"/>
                    <w:jc w:val="center"/>
                    <w:rPr>
                      <w:rFonts w:hint="eastAsia"/>
                      <w:bCs/>
                      <w:color w:val="auto"/>
                      <w:spacing w:val="-10"/>
                      <w:szCs w:val="21"/>
                      <w:u w:val="none"/>
                    </w:rPr>
                  </w:pPr>
                  <w:r>
                    <w:rPr>
                      <w:rFonts w:hint="eastAsia"/>
                      <w:bCs/>
                      <w:color w:val="auto"/>
                      <w:spacing w:val="-10"/>
                      <w:szCs w:val="21"/>
                      <w:u w:val="none"/>
                    </w:rPr>
                    <w:t>66</w:t>
                  </w:r>
                </w:p>
              </w:tc>
              <w:tc>
                <w:tcPr>
                  <w:tcW w:w="1849" w:type="dxa"/>
                  <w:noWrap w:val="0"/>
                  <w:vAlign w:val="center"/>
                </w:tcPr>
                <w:p w14:paraId="0D933ED4">
                  <w:pPr>
                    <w:adjustRightInd w:val="0"/>
                    <w:snapToGrid w:val="0"/>
                    <w:spacing w:line="360" w:lineRule="exact"/>
                    <w:jc w:val="center"/>
                    <w:rPr>
                      <w:rFonts w:hint="eastAsia"/>
                      <w:bCs/>
                      <w:color w:val="auto"/>
                      <w:spacing w:val="-10"/>
                      <w:szCs w:val="21"/>
                      <w:u w:val="none"/>
                    </w:rPr>
                  </w:pPr>
                </w:p>
              </w:tc>
            </w:tr>
            <w:tr w14:paraId="7689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4E0FE218">
                  <w:pPr>
                    <w:jc w:val="center"/>
                    <w:rPr>
                      <w:rFonts w:hint="eastAsia"/>
                      <w:color w:val="auto"/>
                      <w:u w:val="none"/>
                    </w:rPr>
                  </w:pPr>
                  <w:r>
                    <w:rPr>
                      <w:rFonts w:hint="eastAsia"/>
                      <w:color w:val="auto"/>
                      <w:u w:val="none"/>
                    </w:rPr>
                    <w:t>Epi—颗粒物排放系数</w:t>
                  </w:r>
                </w:p>
              </w:tc>
              <w:tc>
                <w:tcPr>
                  <w:tcW w:w="1418" w:type="dxa"/>
                  <w:noWrap w:val="0"/>
                  <w:vAlign w:val="center"/>
                </w:tcPr>
                <w:p w14:paraId="1B74E144">
                  <w:pPr>
                    <w:jc w:val="center"/>
                    <w:rPr>
                      <w:rFonts w:hint="eastAsia"/>
                      <w:color w:val="auto"/>
                      <w:u w:val="none"/>
                    </w:rPr>
                  </w:pPr>
                  <w:r>
                    <w:rPr>
                      <w:rFonts w:hint="eastAsia"/>
                      <w:color w:val="auto"/>
                      <w:u w:val="none"/>
                    </w:rPr>
                    <w:t>g/（km·辆）</w:t>
                  </w:r>
                </w:p>
              </w:tc>
              <w:tc>
                <w:tcPr>
                  <w:tcW w:w="1559" w:type="dxa"/>
                  <w:noWrap w:val="0"/>
                  <w:vAlign w:val="center"/>
                </w:tcPr>
                <w:p w14:paraId="02C39E42">
                  <w:pPr>
                    <w:jc w:val="center"/>
                    <w:rPr>
                      <w:rFonts w:hint="eastAsia"/>
                      <w:color w:val="auto"/>
                      <w:u w:val="none"/>
                    </w:rPr>
                  </w:pPr>
                  <w:r>
                    <w:rPr>
                      <w:rFonts w:hint="eastAsia"/>
                      <w:color w:val="auto"/>
                      <w:u w:val="none"/>
                    </w:rPr>
                    <w:t>/</w:t>
                  </w:r>
                </w:p>
              </w:tc>
              <w:tc>
                <w:tcPr>
                  <w:tcW w:w="1849" w:type="dxa"/>
                  <w:noWrap w:val="0"/>
                  <w:vAlign w:val="center"/>
                </w:tcPr>
                <w:p w14:paraId="2AB6B492">
                  <w:pPr>
                    <w:jc w:val="center"/>
                    <w:rPr>
                      <w:rFonts w:hint="default" w:eastAsia="宋体"/>
                      <w:color w:val="auto"/>
                      <w:u w:val="none"/>
                      <w:lang w:val="en-US" w:eastAsia="zh-CN"/>
                    </w:rPr>
                  </w:pPr>
                  <w:r>
                    <w:rPr>
                      <w:rFonts w:hint="eastAsia"/>
                      <w:color w:val="auto"/>
                      <w:u w:val="none"/>
                      <w:lang w:val="en-US" w:eastAsia="zh-CN"/>
                    </w:rPr>
                    <w:t>225.56</w:t>
                  </w:r>
                </w:p>
              </w:tc>
            </w:tr>
            <w:tr w14:paraId="4303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188086D8">
                  <w:pPr>
                    <w:jc w:val="center"/>
                    <w:rPr>
                      <w:rFonts w:hint="eastAsia"/>
                      <w:color w:val="auto"/>
                      <w:u w:val="none"/>
                    </w:rPr>
                  </w:pPr>
                  <w:r>
                    <w:rPr>
                      <w:rFonts w:hint="eastAsia"/>
                      <w:color w:val="auto"/>
                      <w:u w:val="none"/>
                    </w:rPr>
                    <w:t>公式参数</w:t>
                  </w:r>
                </w:p>
              </w:tc>
              <w:tc>
                <w:tcPr>
                  <w:tcW w:w="1418" w:type="dxa"/>
                  <w:noWrap w:val="0"/>
                  <w:vAlign w:val="center"/>
                </w:tcPr>
                <w:p w14:paraId="6E31E5C5">
                  <w:pPr>
                    <w:jc w:val="center"/>
                    <w:rPr>
                      <w:rFonts w:hint="eastAsia"/>
                      <w:color w:val="auto"/>
                      <w:u w:val="none"/>
                    </w:rPr>
                  </w:pPr>
                  <w:r>
                    <w:rPr>
                      <w:rFonts w:hint="eastAsia"/>
                      <w:color w:val="auto"/>
                      <w:u w:val="none"/>
                    </w:rPr>
                    <w:t>单位</w:t>
                  </w:r>
                </w:p>
              </w:tc>
              <w:tc>
                <w:tcPr>
                  <w:tcW w:w="1559" w:type="dxa"/>
                  <w:noWrap w:val="0"/>
                  <w:vAlign w:val="center"/>
                </w:tcPr>
                <w:p w14:paraId="7FAC2827">
                  <w:pPr>
                    <w:jc w:val="center"/>
                    <w:rPr>
                      <w:rFonts w:hint="eastAsia"/>
                      <w:color w:val="auto"/>
                      <w:u w:val="none"/>
                    </w:rPr>
                  </w:pPr>
                  <w:r>
                    <w:rPr>
                      <w:rFonts w:hint="eastAsia"/>
                      <w:color w:val="auto"/>
                      <w:u w:val="none"/>
                    </w:rPr>
                    <w:t>取值</w:t>
                  </w:r>
                </w:p>
              </w:tc>
              <w:tc>
                <w:tcPr>
                  <w:tcW w:w="1849" w:type="dxa"/>
                  <w:noWrap w:val="0"/>
                  <w:vAlign w:val="center"/>
                </w:tcPr>
                <w:p w14:paraId="1D7C6922">
                  <w:pPr>
                    <w:jc w:val="center"/>
                    <w:rPr>
                      <w:color w:val="auto"/>
                      <w:u w:val="none"/>
                    </w:rPr>
                  </w:pPr>
                  <w:r>
                    <w:rPr>
                      <w:rFonts w:hint="eastAsia"/>
                      <w:color w:val="auto"/>
                      <w:u w:val="none"/>
                    </w:rPr>
                    <w:t>计算结果</w:t>
                  </w:r>
                </w:p>
              </w:tc>
            </w:tr>
            <w:tr w14:paraId="4F10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43CB2F3F">
                  <w:pPr>
                    <w:jc w:val="center"/>
                    <w:rPr>
                      <w:rFonts w:hint="eastAsia"/>
                      <w:color w:val="auto"/>
                      <w:u w:val="none"/>
                    </w:rPr>
                  </w:pPr>
                  <w:r>
                    <w:rPr>
                      <w:rFonts w:hint="eastAsia"/>
                      <w:color w:val="auto"/>
                      <w:u w:val="none"/>
                    </w:rPr>
                    <w:t>L</w:t>
                  </w:r>
                  <w:r>
                    <w:rPr>
                      <w:rFonts w:hint="eastAsia"/>
                      <w:color w:val="auto"/>
                      <w:u w:val="none"/>
                      <w:vertAlign w:val="subscript"/>
                    </w:rPr>
                    <w:t>R</w:t>
                  </w:r>
                  <w:r>
                    <w:rPr>
                      <w:rFonts w:hint="eastAsia"/>
                      <w:bCs/>
                      <w:color w:val="auto"/>
                      <w:u w:val="none"/>
                    </w:rPr>
                    <w:t>—道路长度</w:t>
                  </w:r>
                </w:p>
              </w:tc>
              <w:tc>
                <w:tcPr>
                  <w:tcW w:w="1418" w:type="dxa"/>
                  <w:noWrap w:val="0"/>
                  <w:vAlign w:val="center"/>
                </w:tcPr>
                <w:p w14:paraId="1E4F6CC4">
                  <w:pPr>
                    <w:jc w:val="center"/>
                    <w:rPr>
                      <w:rFonts w:hint="eastAsia"/>
                      <w:color w:val="auto"/>
                      <w:u w:val="none"/>
                    </w:rPr>
                  </w:pPr>
                  <w:r>
                    <w:rPr>
                      <w:rFonts w:hint="eastAsia"/>
                      <w:color w:val="auto"/>
                      <w:u w:val="none"/>
                    </w:rPr>
                    <w:t>km</w:t>
                  </w:r>
                </w:p>
              </w:tc>
              <w:tc>
                <w:tcPr>
                  <w:tcW w:w="1559" w:type="dxa"/>
                  <w:noWrap w:val="0"/>
                  <w:vAlign w:val="center"/>
                </w:tcPr>
                <w:p w14:paraId="64B9ED5D">
                  <w:pPr>
                    <w:jc w:val="center"/>
                    <w:rPr>
                      <w:rFonts w:hint="eastAsia" w:eastAsia="宋体"/>
                      <w:color w:val="auto"/>
                      <w:u w:val="none"/>
                      <w:lang w:val="en-US" w:eastAsia="zh-CN"/>
                    </w:rPr>
                  </w:pPr>
                  <w:r>
                    <w:rPr>
                      <w:rFonts w:hint="eastAsia"/>
                      <w:color w:val="auto"/>
                      <w:u w:val="none"/>
                    </w:rPr>
                    <w:t>0.</w:t>
                  </w:r>
                  <w:r>
                    <w:rPr>
                      <w:rFonts w:hint="eastAsia"/>
                      <w:color w:val="auto"/>
                      <w:u w:val="none"/>
                      <w:lang w:val="en-US" w:eastAsia="zh-CN"/>
                    </w:rPr>
                    <w:t>2</w:t>
                  </w:r>
                </w:p>
              </w:tc>
              <w:tc>
                <w:tcPr>
                  <w:tcW w:w="1849" w:type="dxa"/>
                  <w:noWrap w:val="0"/>
                  <w:vAlign w:val="center"/>
                </w:tcPr>
                <w:p w14:paraId="1A4AB600">
                  <w:pPr>
                    <w:jc w:val="center"/>
                    <w:rPr>
                      <w:rFonts w:hint="eastAsia"/>
                      <w:color w:val="auto"/>
                      <w:u w:val="none"/>
                    </w:rPr>
                  </w:pPr>
                  <w:r>
                    <w:rPr>
                      <w:rFonts w:hint="eastAsia"/>
                      <w:color w:val="auto"/>
                      <w:u w:val="none"/>
                    </w:rPr>
                    <w:t>/</w:t>
                  </w:r>
                </w:p>
              </w:tc>
            </w:tr>
            <w:tr w14:paraId="6E78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71B7B38A">
                  <w:pPr>
                    <w:jc w:val="center"/>
                    <w:rPr>
                      <w:rFonts w:hint="eastAsia"/>
                      <w:color w:val="auto"/>
                      <w:u w:val="none"/>
                    </w:rPr>
                  </w:pPr>
                  <w:r>
                    <w:rPr>
                      <w:rFonts w:hint="eastAsia"/>
                      <w:color w:val="auto"/>
                      <w:u w:val="none"/>
                    </w:rPr>
                    <w:t>N</w:t>
                  </w:r>
                  <w:r>
                    <w:rPr>
                      <w:rFonts w:hint="eastAsia"/>
                      <w:color w:val="auto"/>
                      <w:u w:val="none"/>
                      <w:vertAlign w:val="subscript"/>
                    </w:rPr>
                    <w:t>R</w:t>
                  </w:r>
                  <w:r>
                    <w:rPr>
                      <w:rFonts w:hint="eastAsia"/>
                      <w:bCs/>
                      <w:color w:val="auto"/>
                      <w:u w:val="none"/>
                    </w:rPr>
                    <w:t>—平均车流量</w:t>
                  </w:r>
                </w:p>
              </w:tc>
              <w:tc>
                <w:tcPr>
                  <w:tcW w:w="1418" w:type="dxa"/>
                  <w:noWrap w:val="0"/>
                  <w:vAlign w:val="center"/>
                </w:tcPr>
                <w:p w14:paraId="3165CDB8">
                  <w:pPr>
                    <w:jc w:val="center"/>
                    <w:rPr>
                      <w:rFonts w:hint="eastAsia"/>
                      <w:color w:val="auto"/>
                      <w:u w:val="none"/>
                    </w:rPr>
                  </w:pPr>
                  <w:r>
                    <w:rPr>
                      <w:rFonts w:hint="eastAsia"/>
                      <w:color w:val="auto"/>
                      <w:u w:val="none"/>
                    </w:rPr>
                    <w:t>辆/a</w:t>
                  </w:r>
                </w:p>
              </w:tc>
              <w:tc>
                <w:tcPr>
                  <w:tcW w:w="1559" w:type="dxa"/>
                  <w:noWrap w:val="0"/>
                  <w:vAlign w:val="center"/>
                </w:tcPr>
                <w:p w14:paraId="13919251">
                  <w:pPr>
                    <w:jc w:val="center"/>
                    <w:rPr>
                      <w:rFonts w:hint="default" w:eastAsia="宋体"/>
                      <w:color w:val="auto"/>
                      <w:u w:val="none"/>
                      <w:lang w:val="en-US" w:eastAsia="zh-CN"/>
                    </w:rPr>
                  </w:pPr>
                  <w:r>
                    <w:rPr>
                      <w:rFonts w:hint="eastAsia" w:eastAsia="宋体"/>
                      <w:color w:val="auto"/>
                      <w:u w:val="none"/>
                      <w:lang w:val="en-US" w:eastAsia="zh-CN"/>
                    </w:rPr>
                    <w:t>36562</w:t>
                  </w:r>
                </w:p>
              </w:tc>
              <w:tc>
                <w:tcPr>
                  <w:tcW w:w="1849" w:type="dxa"/>
                  <w:noWrap w:val="0"/>
                  <w:vAlign w:val="center"/>
                </w:tcPr>
                <w:p w14:paraId="6B26E7CC">
                  <w:pPr>
                    <w:jc w:val="center"/>
                    <w:rPr>
                      <w:rFonts w:hint="eastAsia"/>
                      <w:color w:val="auto"/>
                      <w:u w:val="none"/>
                    </w:rPr>
                  </w:pPr>
                  <w:r>
                    <w:rPr>
                      <w:rFonts w:hint="eastAsia"/>
                      <w:color w:val="auto"/>
                      <w:u w:val="none"/>
                    </w:rPr>
                    <w:t>/</w:t>
                  </w:r>
                </w:p>
              </w:tc>
            </w:tr>
            <w:tr w14:paraId="02A8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365B29D6">
                  <w:pPr>
                    <w:jc w:val="center"/>
                    <w:rPr>
                      <w:rFonts w:hint="eastAsia"/>
                      <w:color w:val="auto"/>
                      <w:u w:val="none"/>
                    </w:rPr>
                  </w:pPr>
                  <w:r>
                    <w:rPr>
                      <w:rFonts w:hint="eastAsia"/>
                      <w:color w:val="auto"/>
                      <w:u w:val="none"/>
                    </w:rPr>
                    <w:t>n</w:t>
                  </w:r>
                  <w:r>
                    <w:rPr>
                      <w:rFonts w:hint="eastAsia"/>
                      <w:color w:val="auto"/>
                      <w:u w:val="none"/>
                      <w:vertAlign w:val="subscript"/>
                    </w:rPr>
                    <w:t>r</w:t>
                  </w:r>
                  <w:r>
                    <w:rPr>
                      <w:rFonts w:hint="eastAsia"/>
                      <w:bCs/>
                      <w:color w:val="auto"/>
                      <w:u w:val="none"/>
                    </w:rPr>
                    <w:t>—不起尘天数</w:t>
                  </w:r>
                </w:p>
              </w:tc>
              <w:tc>
                <w:tcPr>
                  <w:tcW w:w="1418" w:type="dxa"/>
                  <w:noWrap w:val="0"/>
                  <w:vAlign w:val="center"/>
                </w:tcPr>
                <w:p w14:paraId="3B1BEBF4">
                  <w:pPr>
                    <w:jc w:val="center"/>
                    <w:rPr>
                      <w:rFonts w:hint="eastAsia"/>
                      <w:color w:val="auto"/>
                      <w:u w:val="none"/>
                    </w:rPr>
                  </w:pPr>
                  <w:r>
                    <w:rPr>
                      <w:rFonts w:hint="eastAsia"/>
                      <w:color w:val="auto"/>
                      <w:u w:val="none"/>
                    </w:rPr>
                    <w:t>天/a</w:t>
                  </w:r>
                </w:p>
              </w:tc>
              <w:tc>
                <w:tcPr>
                  <w:tcW w:w="1559" w:type="dxa"/>
                  <w:noWrap w:val="0"/>
                  <w:vAlign w:val="center"/>
                </w:tcPr>
                <w:p w14:paraId="763538A1">
                  <w:pPr>
                    <w:jc w:val="center"/>
                    <w:rPr>
                      <w:rFonts w:hint="eastAsia"/>
                      <w:color w:val="auto"/>
                      <w:u w:val="none"/>
                    </w:rPr>
                  </w:pPr>
                  <w:r>
                    <w:rPr>
                      <w:rFonts w:hint="eastAsia"/>
                      <w:color w:val="auto"/>
                      <w:u w:val="none"/>
                    </w:rPr>
                    <w:t>200</w:t>
                  </w:r>
                </w:p>
              </w:tc>
              <w:tc>
                <w:tcPr>
                  <w:tcW w:w="1849" w:type="dxa"/>
                  <w:noWrap w:val="0"/>
                  <w:vAlign w:val="center"/>
                </w:tcPr>
                <w:p w14:paraId="39210E66">
                  <w:pPr>
                    <w:jc w:val="center"/>
                    <w:rPr>
                      <w:rFonts w:hint="eastAsia"/>
                      <w:color w:val="auto"/>
                      <w:u w:val="none"/>
                    </w:rPr>
                  </w:pPr>
                  <w:r>
                    <w:rPr>
                      <w:rFonts w:hint="eastAsia"/>
                      <w:color w:val="auto"/>
                      <w:u w:val="none"/>
                    </w:rPr>
                    <w:t>/</w:t>
                  </w:r>
                </w:p>
              </w:tc>
            </w:tr>
            <w:tr w14:paraId="3319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9" w:type="dxa"/>
                  <w:noWrap w:val="0"/>
                  <w:vAlign w:val="center"/>
                </w:tcPr>
                <w:p w14:paraId="650B60C0">
                  <w:pPr>
                    <w:jc w:val="center"/>
                    <w:rPr>
                      <w:rFonts w:hint="eastAsia"/>
                      <w:color w:val="auto"/>
                      <w:u w:val="none"/>
                    </w:rPr>
                  </w:pPr>
                  <w:r>
                    <w:rPr>
                      <w:rFonts w:hint="eastAsia"/>
                      <w:color w:val="auto"/>
                      <w:u w:val="none"/>
                    </w:rPr>
                    <w:t>W</w:t>
                  </w:r>
                  <w:r>
                    <w:rPr>
                      <w:rFonts w:hint="eastAsia"/>
                      <w:color w:val="auto"/>
                      <w:u w:val="none"/>
                      <w:vertAlign w:val="subscript"/>
                    </w:rPr>
                    <w:t>Ri</w:t>
                  </w:r>
                  <w:r>
                    <w:rPr>
                      <w:rFonts w:hint="eastAsia"/>
                      <w:bCs/>
                      <w:color w:val="auto"/>
                      <w:u w:val="none"/>
                    </w:rPr>
                    <w:t>—颗粒物总排放量</w:t>
                  </w:r>
                </w:p>
              </w:tc>
              <w:tc>
                <w:tcPr>
                  <w:tcW w:w="1418" w:type="dxa"/>
                  <w:noWrap w:val="0"/>
                  <w:vAlign w:val="center"/>
                </w:tcPr>
                <w:p w14:paraId="3F78D29A">
                  <w:pPr>
                    <w:jc w:val="center"/>
                    <w:rPr>
                      <w:rFonts w:hint="eastAsia"/>
                      <w:color w:val="auto"/>
                      <w:u w:val="none"/>
                    </w:rPr>
                  </w:pPr>
                  <w:r>
                    <w:rPr>
                      <w:rFonts w:hint="eastAsia"/>
                      <w:color w:val="auto"/>
                      <w:u w:val="none"/>
                    </w:rPr>
                    <w:t>t/a</w:t>
                  </w:r>
                </w:p>
              </w:tc>
              <w:tc>
                <w:tcPr>
                  <w:tcW w:w="1559" w:type="dxa"/>
                  <w:noWrap w:val="0"/>
                  <w:vAlign w:val="center"/>
                </w:tcPr>
                <w:p w14:paraId="290B2156">
                  <w:pPr>
                    <w:jc w:val="center"/>
                    <w:rPr>
                      <w:rFonts w:hint="eastAsia"/>
                      <w:color w:val="auto"/>
                      <w:u w:val="none"/>
                    </w:rPr>
                  </w:pPr>
                  <w:r>
                    <w:rPr>
                      <w:rFonts w:hint="eastAsia"/>
                      <w:color w:val="auto"/>
                      <w:u w:val="none"/>
                    </w:rPr>
                    <w:t>/</w:t>
                  </w:r>
                </w:p>
              </w:tc>
              <w:tc>
                <w:tcPr>
                  <w:tcW w:w="1849" w:type="dxa"/>
                  <w:noWrap w:val="0"/>
                  <w:vAlign w:val="center"/>
                </w:tcPr>
                <w:p w14:paraId="3F02BBF9">
                  <w:pPr>
                    <w:jc w:val="center"/>
                    <w:rPr>
                      <w:rFonts w:hint="default" w:eastAsia="宋体"/>
                      <w:color w:val="auto"/>
                      <w:u w:val="none"/>
                      <w:lang w:val="en-US" w:eastAsia="zh-CN"/>
                    </w:rPr>
                  </w:pPr>
                  <w:r>
                    <w:rPr>
                      <w:rFonts w:hint="eastAsia"/>
                      <w:color w:val="auto"/>
                      <w:u w:val="none"/>
                      <w:lang w:val="en-US" w:eastAsia="zh-CN"/>
                    </w:rPr>
                    <w:t>0.7456</w:t>
                  </w:r>
                </w:p>
              </w:tc>
            </w:tr>
          </w:tbl>
          <w:p w14:paraId="4CDCC162">
            <w:pPr>
              <w:tabs>
                <w:tab w:val="left" w:pos="3225"/>
              </w:tabs>
              <w:spacing w:line="500" w:lineRule="exact"/>
              <w:ind w:firstLine="480" w:firstLineChars="200"/>
              <w:rPr>
                <w:rFonts w:hint="eastAsia"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运输车</w:t>
            </w:r>
            <w:r>
              <w:rPr>
                <w:rFonts w:hint="eastAsia" w:cs="Times New Roman"/>
                <w:color w:val="auto"/>
                <w:sz w:val="24"/>
                <w:u w:val="none"/>
                <w:lang w:val="en-US" w:eastAsia="zh-CN"/>
              </w:rPr>
              <w:t>辆</w:t>
            </w:r>
            <w:r>
              <w:rPr>
                <w:rFonts w:hint="eastAsia" w:ascii="Times New Roman" w:hAnsi="Times New Roman" w:eastAsia="宋体" w:cs="Times New Roman"/>
                <w:color w:val="auto"/>
                <w:sz w:val="24"/>
                <w:u w:val="none"/>
                <w:lang w:val="en-US" w:eastAsia="zh-CN"/>
              </w:rPr>
              <w:t>扬尘产生量为0.7456t/a，项目采取对厂区路面进行硬化处理、定期清扫及洒水降尘、运输车辆加盖篷布、控制车辆进厂速度等措施，可有效减少66%运输扬尘，则运输粉尘年排放量为0.2535t/a。</w:t>
            </w:r>
          </w:p>
          <w:p w14:paraId="646BA668">
            <w:pPr>
              <w:tabs>
                <w:tab w:val="left" w:pos="3225"/>
              </w:tabs>
              <w:spacing w:line="500" w:lineRule="exact"/>
              <w:rPr>
                <w:rFonts w:hint="eastAsia" w:ascii="Times New Roman" w:hAnsi="Times New Roman" w:eastAsia="宋体" w:cs="Times New Roman"/>
                <w:b/>
                <w:bCs/>
                <w:color w:val="auto"/>
                <w:sz w:val="24"/>
                <w:u w:val="none"/>
                <w:lang w:eastAsia="zh-CN"/>
              </w:rPr>
            </w:pPr>
            <w:r>
              <w:rPr>
                <w:rFonts w:hint="eastAsia" w:ascii="Times New Roman" w:hAnsi="Times New Roman" w:eastAsia="宋体" w:cs="Times New Roman"/>
                <w:b/>
                <w:bCs/>
                <w:color w:val="auto"/>
                <w:sz w:val="24"/>
                <w:u w:val="none"/>
                <w:lang w:val="en-US" w:eastAsia="zh-CN"/>
              </w:rPr>
              <w:t>1.2</w:t>
            </w:r>
            <w:r>
              <w:rPr>
                <w:rFonts w:hint="eastAsia" w:ascii="Times New Roman" w:hAnsi="Times New Roman" w:eastAsia="宋体" w:cs="Times New Roman"/>
                <w:b/>
                <w:bCs/>
                <w:color w:val="auto"/>
                <w:sz w:val="24"/>
                <w:u w:val="none"/>
                <w:lang w:eastAsia="zh-CN"/>
              </w:rPr>
              <w:t>废气污染防治措施</w:t>
            </w:r>
          </w:p>
          <w:p w14:paraId="4CEF504C">
            <w:pPr>
              <w:pStyle w:val="6"/>
              <w:spacing w:line="500" w:lineRule="exact"/>
              <w:ind w:firstLine="480"/>
              <w:rPr>
                <w:rFonts w:hint="default"/>
                <w:color w:val="auto"/>
                <w:kern w:val="0"/>
                <w:sz w:val="24"/>
                <w:u w:val="none"/>
                <w:lang w:val="en-US" w:eastAsia="zh-CN"/>
              </w:rPr>
            </w:pPr>
            <w:r>
              <w:rPr>
                <w:rFonts w:hint="eastAsia"/>
                <w:color w:val="auto"/>
                <w:kern w:val="0"/>
                <w:sz w:val="24"/>
                <w:u w:val="none"/>
                <w:lang w:val="en-US" w:eastAsia="zh-CN"/>
              </w:rPr>
              <w:t>项目道路采用定期洒水清扫方式降低运输扬尘的产生，运输车辆定期检修，降低汽车尾气的排放。</w:t>
            </w:r>
          </w:p>
          <w:p w14:paraId="003199FD">
            <w:pPr>
              <w:tabs>
                <w:tab w:val="left" w:pos="3225"/>
              </w:tabs>
              <w:spacing w:line="500" w:lineRule="exact"/>
              <w:rPr>
                <w:rFonts w:hint="eastAsia"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val="en-US" w:eastAsia="zh-CN"/>
              </w:rPr>
              <w:t>1.3</w:t>
            </w:r>
            <w:r>
              <w:rPr>
                <w:rFonts w:hint="eastAsia" w:ascii="Times New Roman" w:hAnsi="Times New Roman" w:eastAsia="宋体" w:cs="Times New Roman"/>
                <w:b/>
                <w:bCs/>
                <w:color w:val="auto"/>
                <w:sz w:val="24"/>
                <w:lang w:eastAsia="zh-CN"/>
              </w:rPr>
              <w:t>正常工况下废气排放达标分析</w:t>
            </w:r>
          </w:p>
          <w:p w14:paraId="7FEA8683">
            <w:pPr>
              <w:pStyle w:val="6"/>
              <w:spacing w:line="500" w:lineRule="exact"/>
              <w:ind w:left="0" w:leftChars="0" w:firstLine="480" w:firstLineChars="200"/>
              <w:jc w:val="left"/>
              <w:rPr>
                <w:rFonts w:hint="default" w:ascii="Times New Roman" w:hAnsi="Times New Roman" w:eastAsia="宋体" w:cs="Times New Roman"/>
                <w:color w:val="auto"/>
                <w:kern w:val="0"/>
                <w:sz w:val="24"/>
                <w:u w:val="none"/>
                <w:lang w:val="en-US" w:eastAsia="zh-CN"/>
              </w:rPr>
            </w:pPr>
            <w:r>
              <w:rPr>
                <w:rFonts w:hint="eastAsia" w:ascii="Times New Roman" w:hAnsi="Times New Roman" w:eastAsia="宋体" w:cs="Times New Roman"/>
                <w:color w:val="auto"/>
                <w:kern w:val="0"/>
                <w:sz w:val="24"/>
                <w:u w:val="none"/>
                <w:lang w:val="en-US" w:eastAsia="zh-CN"/>
              </w:rPr>
              <w:t>汽车运输扬尘、汽车尾气产生量较小，经大气扩散后，能够满足《大气污染物综合排放标准》表2无组织排放浓度限值。</w:t>
            </w:r>
          </w:p>
          <w:p w14:paraId="0BC1C8C8">
            <w:pPr>
              <w:pStyle w:val="6"/>
              <w:spacing w:line="500" w:lineRule="exact"/>
              <w:ind w:left="0" w:leftChars="0" w:firstLine="0" w:firstLineChars="0"/>
              <w:jc w:val="left"/>
              <w:rPr>
                <w:rFonts w:hint="eastAsia"/>
                <w:b/>
                <w:bCs/>
                <w:color w:val="auto"/>
                <w:kern w:val="0"/>
                <w:sz w:val="24"/>
                <w:u w:val="none"/>
                <w:lang w:eastAsia="zh-CN"/>
              </w:rPr>
            </w:pPr>
            <w:r>
              <w:rPr>
                <w:rFonts w:hint="eastAsia"/>
                <w:b/>
                <w:bCs/>
                <w:color w:val="auto"/>
                <w:kern w:val="0"/>
                <w:sz w:val="24"/>
                <w:u w:val="none"/>
                <w:lang w:val="en-US" w:eastAsia="zh-CN"/>
              </w:rPr>
              <w:t>1.</w:t>
            </w:r>
            <w:r>
              <w:rPr>
                <w:rFonts w:hint="eastAsia"/>
                <w:b/>
                <w:bCs/>
                <w:color w:val="auto"/>
                <w:kern w:val="0"/>
                <w:sz w:val="24"/>
                <w:u w:val="none"/>
                <w:lang w:eastAsia="zh-CN"/>
              </w:rPr>
              <w:t>4.正常工况下大气环境影响分析</w:t>
            </w:r>
          </w:p>
          <w:p w14:paraId="0C9B3B1E">
            <w:pPr>
              <w:pStyle w:val="6"/>
              <w:spacing w:line="500" w:lineRule="exact"/>
              <w:ind w:firstLine="480"/>
              <w:rPr>
                <w:rFonts w:hint="default"/>
                <w:color w:val="auto"/>
                <w:kern w:val="0"/>
                <w:sz w:val="24"/>
                <w:u w:val="none"/>
                <w:lang w:val="en-US" w:eastAsia="zh-CN"/>
              </w:rPr>
            </w:pPr>
            <w:r>
              <w:rPr>
                <w:rFonts w:hint="eastAsia"/>
                <w:color w:val="auto"/>
                <w:kern w:val="0"/>
                <w:sz w:val="24"/>
                <w:u w:val="none"/>
                <w:lang w:val="en-US" w:eastAsia="zh-CN"/>
              </w:rPr>
              <w:t>项目汽车尾气、运输车辆扬尘产生量较少，而且露天空旷条件易于废气的扩散，能在较短的时间内在大气中得以稀释，对周边环境影响可接受。</w:t>
            </w:r>
          </w:p>
          <w:p w14:paraId="107DCB23">
            <w:pPr>
              <w:pStyle w:val="6"/>
              <w:spacing w:line="500" w:lineRule="exact"/>
              <w:ind w:firstLine="480"/>
              <w:rPr>
                <w:rFonts w:hint="eastAsia"/>
                <w:color w:val="auto"/>
                <w:kern w:val="0"/>
                <w:sz w:val="24"/>
                <w:u w:val="single"/>
                <w:lang w:eastAsia="zh-CN"/>
              </w:rPr>
            </w:pPr>
            <w:r>
              <w:rPr>
                <w:rFonts w:hint="eastAsia"/>
                <w:color w:val="auto"/>
                <w:kern w:val="0"/>
                <w:sz w:val="24"/>
                <w:u w:val="none"/>
                <w:lang w:eastAsia="zh-CN"/>
              </w:rPr>
              <w:t>项目运营期</w:t>
            </w:r>
            <w:r>
              <w:rPr>
                <w:rFonts w:hint="eastAsia"/>
                <w:color w:val="auto"/>
                <w:kern w:val="0"/>
                <w:sz w:val="24"/>
                <w:u w:val="none"/>
                <w:lang w:val="en-US" w:eastAsia="zh-CN"/>
              </w:rPr>
              <w:t>运输</w:t>
            </w:r>
            <w:r>
              <w:rPr>
                <w:rFonts w:hint="eastAsia"/>
                <w:color w:val="auto"/>
                <w:kern w:val="0"/>
                <w:sz w:val="24"/>
                <w:u w:val="none"/>
                <w:lang w:eastAsia="zh-CN"/>
              </w:rPr>
              <w:t>车辆来往数量多，但车辆行驶速度低，车辆启动时间较短，废气产生量小，而且露天空旷条件易于废气的扩散，能在较短的时间内在大气中得以稀释，对周边环境影响可接受。</w:t>
            </w:r>
          </w:p>
          <w:p w14:paraId="2E4A7A66">
            <w:pPr>
              <w:pStyle w:val="6"/>
              <w:spacing w:line="500" w:lineRule="exact"/>
              <w:ind w:firstLine="480"/>
              <w:rPr>
                <w:rFonts w:hint="default"/>
                <w:color w:val="auto"/>
                <w:kern w:val="0"/>
                <w:sz w:val="24"/>
                <w:u w:val="none"/>
                <w:lang w:val="en-US" w:eastAsia="zh-CN"/>
              </w:rPr>
            </w:pPr>
            <w:r>
              <w:rPr>
                <w:rFonts w:hint="eastAsia"/>
                <w:color w:val="auto"/>
                <w:kern w:val="0"/>
                <w:sz w:val="24"/>
                <w:u w:val="none"/>
                <w:lang w:val="en-US" w:eastAsia="zh-CN"/>
              </w:rPr>
              <w:t>项目厂区道路采取定期洒水清扫方式降低道路泥尘，运输扬尘产生量较小，经大气扩散后，对周边环境影响可接受。</w:t>
            </w:r>
          </w:p>
          <w:p w14:paraId="70505341">
            <w:pPr>
              <w:pStyle w:val="6"/>
              <w:spacing w:line="500" w:lineRule="exact"/>
              <w:ind w:firstLine="480"/>
              <w:rPr>
                <w:rFonts w:hint="default"/>
                <w:color w:val="auto"/>
                <w:kern w:val="0"/>
                <w:sz w:val="24"/>
                <w:u w:val="none"/>
                <w:lang w:val="en-US" w:eastAsia="zh-CN"/>
              </w:rPr>
            </w:pPr>
            <w:r>
              <w:rPr>
                <w:rFonts w:hint="eastAsia"/>
                <w:color w:val="auto"/>
                <w:kern w:val="0"/>
                <w:sz w:val="24"/>
                <w:u w:val="none"/>
                <w:lang w:val="en-US" w:eastAsia="zh-CN"/>
              </w:rPr>
              <w:t>项目汽车尾气、运输车辆扬尘产生量较少，均能够达标排放。</w:t>
            </w:r>
          </w:p>
          <w:p w14:paraId="3F659413">
            <w:pPr>
              <w:pStyle w:val="6"/>
              <w:spacing w:line="500" w:lineRule="exact"/>
              <w:ind w:firstLine="480"/>
              <w:rPr>
                <w:rFonts w:hint="eastAsia"/>
                <w:b/>
                <w:bCs/>
                <w:color w:val="auto"/>
                <w:kern w:val="0"/>
                <w:sz w:val="24"/>
                <w:u w:val="none"/>
                <w:lang w:eastAsia="zh-CN"/>
              </w:rPr>
            </w:pPr>
            <w:r>
              <w:rPr>
                <w:rFonts w:hint="eastAsia"/>
                <w:color w:val="auto"/>
                <w:kern w:val="0"/>
                <w:sz w:val="24"/>
                <w:u w:val="none"/>
                <w:lang w:eastAsia="zh-CN"/>
              </w:rPr>
              <w:t>项目所在区域环境质量良好。</w:t>
            </w:r>
            <w:r>
              <w:rPr>
                <w:rFonts w:hint="eastAsia"/>
                <w:color w:val="auto"/>
                <w:kern w:val="0"/>
                <w:sz w:val="24"/>
                <w:u w:val="none"/>
                <w:lang w:val="en-US" w:eastAsia="zh-CN"/>
              </w:rPr>
              <w:t>污染物主要为汽车尾气和运输扬尘，排放量较少，对大气环境贡献浓度较低，</w:t>
            </w:r>
            <w:r>
              <w:rPr>
                <w:rFonts w:hint="eastAsia"/>
                <w:color w:val="auto"/>
                <w:kern w:val="0"/>
                <w:sz w:val="24"/>
                <w:u w:val="none"/>
                <w:lang w:eastAsia="zh-CN"/>
              </w:rPr>
              <w:t>对周围环境影响</w:t>
            </w:r>
            <w:r>
              <w:rPr>
                <w:rFonts w:hint="eastAsia"/>
                <w:color w:val="auto"/>
                <w:kern w:val="0"/>
                <w:sz w:val="24"/>
                <w:u w:val="none"/>
                <w:lang w:val="en-US" w:eastAsia="zh-CN"/>
              </w:rPr>
              <w:t>可接受</w:t>
            </w:r>
            <w:r>
              <w:rPr>
                <w:rFonts w:hint="eastAsia"/>
                <w:color w:val="auto"/>
                <w:kern w:val="0"/>
                <w:sz w:val="24"/>
                <w:u w:val="none"/>
                <w:lang w:eastAsia="zh-CN"/>
              </w:rPr>
              <w:t>，不会造成所在区域环境质量降级。</w:t>
            </w:r>
          </w:p>
          <w:p w14:paraId="1E083833">
            <w:pPr>
              <w:pStyle w:val="6"/>
              <w:spacing w:line="500" w:lineRule="exact"/>
              <w:ind w:firstLine="0" w:firstLineChars="0"/>
              <w:rPr>
                <w:rFonts w:hint="eastAsia"/>
                <w:b/>
                <w:bCs/>
                <w:color w:val="auto"/>
                <w:sz w:val="24"/>
                <w:u w:val="none"/>
              </w:rPr>
            </w:pPr>
            <w:r>
              <w:rPr>
                <w:b/>
                <w:bCs/>
                <w:color w:val="auto"/>
                <w:sz w:val="24"/>
                <w:u w:val="none"/>
              </w:rPr>
              <w:t>1.</w:t>
            </w:r>
            <w:r>
              <w:rPr>
                <w:rFonts w:hint="eastAsia"/>
                <w:b/>
                <w:bCs/>
                <w:color w:val="auto"/>
                <w:sz w:val="24"/>
                <w:u w:val="none"/>
                <w:lang w:val="en-US" w:eastAsia="zh-CN"/>
              </w:rPr>
              <w:t>5</w:t>
            </w:r>
            <w:r>
              <w:rPr>
                <w:rFonts w:hint="eastAsia"/>
                <w:b/>
                <w:bCs/>
                <w:color w:val="auto"/>
                <w:sz w:val="24"/>
                <w:u w:val="none"/>
              </w:rPr>
              <w:t>自行监测</w:t>
            </w:r>
          </w:p>
          <w:p w14:paraId="18995B1A">
            <w:pPr>
              <w:spacing w:line="500" w:lineRule="exact"/>
              <w:ind w:firstLine="480" w:firstLineChars="200"/>
              <w:rPr>
                <w:color w:val="auto"/>
                <w:sz w:val="24"/>
              </w:rPr>
            </w:pPr>
            <w:r>
              <w:rPr>
                <w:color w:val="auto"/>
                <w:sz w:val="24"/>
              </w:rPr>
              <w:t>制定环境监测计划的</w:t>
            </w:r>
            <w:r>
              <w:rPr>
                <w:color w:val="auto"/>
                <w:sz w:val="24"/>
                <w:highlight w:val="none"/>
              </w:rPr>
              <w:t>目的是</w:t>
            </w:r>
            <w:r>
              <w:rPr>
                <w:color w:val="auto"/>
                <w:sz w:val="24"/>
              </w:rPr>
              <w:t>监督各项措施的落实，根据监测结果适时调整环境保护行动计划，为环保措施的实施时间和实施方案提供依据。</w:t>
            </w:r>
            <w:r>
              <w:rPr>
                <w:rFonts w:hint="eastAsia"/>
                <w:color w:val="auto"/>
                <w:sz w:val="24"/>
              </w:rPr>
              <w:t>根据工程的特点，</w:t>
            </w:r>
            <w:r>
              <w:rPr>
                <w:rFonts w:hint="eastAsia"/>
                <w:color w:val="auto"/>
                <w:sz w:val="24"/>
                <w:lang w:val="en-US" w:eastAsia="zh-CN"/>
              </w:rPr>
              <w:t>根据</w:t>
            </w:r>
            <w:r>
              <w:rPr>
                <w:color w:val="auto"/>
                <w:sz w:val="24"/>
              </w:rPr>
              <w:t>《</w:t>
            </w:r>
            <w:r>
              <w:rPr>
                <w:rFonts w:hint="eastAsia"/>
                <w:color w:val="auto"/>
                <w:sz w:val="24"/>
                <w:lang w:val="en-US" w:eastAsia="zh-CN"/>
              </w:rPr>
              <w:t>排污单位自行监测技术指南</w:t>
            </w:r>
            <w:r>
              <w:rPr>
                <w:rFonts w:hint="eastAsia"/>
                <w:color w:val="auto"/>
                <w:sz w:val="24"/>
              </w:rPr>
              <w:t xml:space="preserve">  </w:t>
            </w:r>
            <w:r>
              <w:rPr>
                <w:rFonts w:hint="eastAsia"/>
                <w:color w:val="auto"/>
                <w:sz w:val="24"/>
                <w:lang w:val="en-US" w:eastAsia="zh-CN"/>
              </w:rPr>
              <w:t>总则</w:t>
            </w:r>
            <w:r>
              <w:rPr>
                <w:color w:val="auto"/>
                <w:sz w:val="24"/>
              </w:rPr>
              <w:t>》（HJ</w:t>
            </w:r>
            <w:r>
              <w:rPr>
                <w:rFonts w:hint="eastAsia"/>
                <w:color w:val="auto"/>
                <w:sz w:val="24"/>
                <w:lang w:val="en-US" w:eastAsia="zh-CN"/>
              </w:rPr>
              <w:t xml:space="preserve"> </w:t>
            </w:r>
            <w:r>
              <w:rPr>
                <w:color w:val="auto"/>
                <w:sz w:val="24"/>
              </w:rPr>
              <w:t>1</w:t>
            </w:r>
            <w:r>
              <w:rPr>
                <w:rFonts w:hint="eastAsia"/>
                <w:color w:val="auto"/>
                <w:sz w:val="24"/>
                <w:lang w:val="en-US" w:eastAsia="zh-CN"/>
              </w:rPr>
              <w:t>819</w:t>
            </w:r>
            <w:r>
              <w:rPr>
                <w:color w:val="auto"/>
                <w:sz w:val="24"/>
              </w:rPr>
              <w:t>-20</w:t>
            </w:r>
            <w:r>
              <w:rPr>
                <w:rFonts w:hint="eastAsia"/>
                <w:color w:val="auto"/>
                <w:sz w:val="24"/>
                <w:lang w:val="en-US" w:eastAsia="zh-CN"/>
              </w:rPr>
              <w:t>17</w:t>
            </w:r>
            <w:r>
              <w:rPr>
                <w:color w:val="auto"/>
                <w:sz w:val="24"/>
              </w:rPr>
              <w:t>）</w:t>
            </w:r>
            <w:r>
              <w:rPr>
                <w:rFonts w:hint="eastAsia"/>
                <w:color w:val="auto"/>
                <w:sz w:val="24"/>
              </w:rPr>
              <w:t>中相关要求</w:t>
            </w:r>
            <w:r>
              <w:rPr>
                <w:color w:val="auto"/>
                <w:sz w:val="24"/>
              </w:rPr>
              <w:t>，项目废气监测计划见下表。</w:t>
            </w:r>
          </w:p>
          <w:p w14:paraId="410B8235">
            <w:pPr>
              <w:pStyle w:val="27"/>
              <w:spacing w:line="500" w:lineRule="exact"/>
              <w:ind w:firstLine="0" w:firstLineChars="0"/>
              <w:jc w:val="center"/>
              <w:rPr>
                <w:rFonts w:ascii="Times New Roman" w:hAnsi="Times New Roman"/>
                <w:b/>
                <w:color w:val="auto"/>
                <w:kern w:val="2"/>
                <w:szCs w:val="20"/>
              </w:rPr>
            </w:pPr>
            <w:r>
              <w:rPr>
                <w:rFonts w:ascii="Times New Roman" w:hAnsi="Times New Roman"/>
                <w:b/>
                <w:color w:val="auto"/>
                <w:kern w:val="2"/>
                <w:szCs w:val="20"/>
              </w:rPr>
              <w:t>表4-</w:t>
            </w:r>
            <w:r>
              <w:rPr>
                <w:rFonts w:hint="eastAsia" w:ascii="Times New Roman" w:hAnsi="Times New Roman"/>
                <w:b/>
                <w:color w:val="auto"/>
                <w:kern w:val="2"/>
                <w:szCs w:val="20"/>
                <w:lang w:val="en-US" w:eastAsia="zh-CN"/>
              </w:rPr>
              <w:t>5</w:t>
            </w:r>
            <w:r>
              <w:rPr>
                <w:rFonts w:hint="eastAsia" w:ascii="Times New Roman" w:hAnsi="Times New Roman"/>
                <w:b/>
                <w:color w:val="auto"/>
                <w:kern w:val="2"/>
                <w:szCs w:val="20"/>
              </w:rPr>
              <w:t xml:space="preserve"> </w:t>
            </w:r>
            <w:r>
              <w:rPr>
                <w:rFonts w:ascii="Times New Roman" w:hAnsi="Times New Roman"/>
                <w:b/>
                <w:color w:val="auto"/>
                <w:kern w:val="2"/>
                <w:szCs w:val="20"/>
              </w:rPr>
              <w:t xml:space="preserve">  废气监测计划表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2324"/>
              <w:gridCol w:w="1061"/>
              <w:gridCol w:w="3430"/>
            </w:tblGrid>
            <w:tr w14:paraId="3B1A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2" w:type="dxa"/>
                  <w:noWrap w:val="0"/>
                  <w:vAlign w:val="center"/>
                </w:tcPr>
                <w:p w14:paraId="1364DBA4">
                  <w:pPr>
                    <w:pStyle w:val="27"/>
                    <w:widowControl w:val="0"/>
                    <w:spacing w:line="0" w:lineRule="atLeast"/>
                    <w:ind w:firstLine="0" w:firstLineChars="0"/>
                    <w:jc w:val="center"/>
                    <w:rPr>
                      <w:rFonts w:ascii="Times New Roman" w:hAnsi="Times New Roman"/>
                      <w:color w:val="auto"/>
                      <w:kern w:val="2"/>
                      <w:sz w:val="21"/>
                      <w:szCs w:val="21"/>
                    </w:rPr>
                  </w:pPr>
                  <w:r>
                    <w:rPr>
                      <w:rFonts w:ascii="Times New Roman" w:hAnsi="Times New Roman"/>
                      <w:color w:val="auto"/>
                      <w:kern w:val="2"/>
                      <w:sz w:val="21"/>
                      <w:szCs w:val="21"/>
                    </w:rPr>
                    <w:t>监测点位</w:t>
                  </w:r>
                </w:p>
              </w:tc>
              <w:tc>
                <w:tcPr>
                  <w:tcW w:w="2324" w:type="dxa"/>
                  <w:noWrap w:val="0"/>
                  <w:vAlign w:val="center"/>
                </w:tcPr>
                <w:p w14:paraId="60AA4FDB">
                  <w:pPr>
                    <w:pStyle w:val="27"/>
                    <w:widowControl w:val="0"/>
                    <w:spacing w:line="0" w:lineRule="atLeast"/>
                    <w:ind w:firstLine="0" w:firstLineChars="0"/>
                    <w:jc w:val="center"/>
                    <w:rPr>
                      <w:rFonts w:ascii="Times New Roman" w:hAnsi="Times New Roman"/>
                      <w:color w:val="auto"/>
                      <w:kern w:val="2"/>
                      <w:sz w:val="21"/>
                      <w:szCs w:val="21"/>
                    </w:rPr>
                  </w:pPr>
                  <w:r>
                    <w:rPr>
                      <w:rFonts w:ascii="Times New Roman" w:hAnsi="Times New Roman"/>
                      <w:color w:val="auto"/>
                      <w:kern w:val="2"/>
                      <w:sz w:val="21"/>
                      <w:szCs w:val="21"/>
                    </w:rPr>
                    <w:t>监测</w:t>
                  </w:r>
                  <w:r>
                    <w:rPr>
                      <w:rFonts w:hint="eastAsia" w:ascii="Times New Roman" w:hAnsi="Times New Roman"/>
                      <w:color w:val="auto"/>
                      <w:kern w:val="2"/>
                      <w:sz w:val="21"/>
                      <w:szCs w:val="21"/>
                    </w:rPr>
                    <w:t>项目</w:t>
                  </w:r>
                </w:p>
              </w:tc>
              <w:tc>
                <w:tcPr>
                  <w:tcW w:w="1061" w:type="dxa"/>
                  <w:noWrap w:val="0"/>
                  <w:vAlign w:val="center"/>
                </w:tcPr>
                <w:p w14:paraId="4950B531">
                  <w:pPr>
                    <w:pStyle w:val="27"/>
                    <w:widowControl w:val="0"/>
                    <w:spacing w:line="0" w:lineRule="atLeast"/>
                    <w:ind w:firstLine="0" w:firstLineChars="0"/>
                    <w:jc w:val="center"/>
                    <w:rPr>
                      <w:rFonts w:ascii="Times New Roman" w:hAnsi="Times New Roman"/>
                      <w:color w:val="auto"/>
                      <w:kern w:val="2"/>
                      <w:sz w:val="21"/>
                      <w:szCs w:val="21"/>
                    </w:rPr>
                  </w:pPr>
                  <w:r>
                    <w:rPr>
                      <w:rFonts w:ascii="Times New Roman" w:hAnsi="Times New Roman"/>
                      <w:color w:val="auto"/>
                      <w:kern w:val="2"/>
                      <w:sz w:val="21"/>
                      <w:szCs w:val="21"/>
                    </w:rPr>
                    <w:t>监测频次</w:t>
                  </w:r>
                </w:p>
              </w:tc>
              <w:tc>
                <w:tcPr>
                  <w:tcW w:w="3430" w:type="dxa"/>
                  <w:noWrap w:val="0"/>
                  <w:vAlign w:val="center"/>
                </w:tcPr>
                <w:p w14:paraId="4F16FD90">
                  <w:pPr>
                    <w:pStyle w:val="27"/>
                    <w:widowControl w:val="0"/>
                    <w:spacing w:line="0" w:lineRule="atLeast"/>
                    <w:ind w:firstLine="0" w:firstLineChars="0"/>
                    <w:jc w:val="center"/>
                    <w:rPr>
                      <w:rFonts w:ascii="Times New Roman" w:hAnsi="Times New Roman"/>
                      <w:color w:val="auto"/>
                      <w:kern w:val="2"/>
                      <w:sz w:val="21"/>
                      <w:szCs w:val="21"/>
                    </w:rPr>
                  </w:pPr>
                  <w:r>
                    <w:rPr>
                      <w:rFonts w:ascii="Times New Roman" w:hAnsi="Times New Roman"/>
                      <w:color w:val="auto"/>
                      <w:kern w:val="2"/>
                      <w:sz w:val="21"/>
                      <w:szCs w:val="21"/>
                    </w:rPr>
                    <w:t>执行排放标准</w:t>
                  </w:r>
                </w:p>
              </w:tc>
            </w:tr>
            <w:tr w14:paraId="2642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2" w:type="dxa"/>
                  <w:noWrap w:val="0"/>
                  <w:vAlign w:val="center"/>
                </w:tcPr>
                <w:p w14:paraId="776D2D79">
                  <w:pPr>
                    <w:pStyle w:val="27"/>
                    <w:widowControl w:val="0"/>
                    <w:spacing w:line="0" w:lineRule="atLeast"/>
                    <w:ind w:firstLine="0" w:firstLineChars="0"/>
                    <w:jc w:val="center"/>
                    <w:rPr>
                      <w:rFonts w:hint="eastAsia" w:ascii="Times New Roman" w:hAnsi="Times New Roman" w:eastAsia="宋体"/>
                      <w:color w:val="auto"/>
                      <w:kern w:val="2"/>
                      <w:sz w:val="21"/>
                      <w:szCs w:val="21"/>
                      <w:lang w:eastAsia="zh-CN"/>
                    </w:rPr>
                  </w:pPr>
                  <w:r>
                    <w:rPr>
                      <w:rFonts w:hint="eastAsia" w:ascii="Times New Roman" w:hAnsi="Times New Roman"/>
                      <w:color w:val="auto"/>
                      <w:kern w:val="2"/>
                      <w:sz w:val="21"/>
                      <w:szCs w:val="21"/>
                      <w:lang w:eastAsia="zh-CN"/>
                    </w:rPr>
                    <w:t>厂界</w:t>
                  </w:r>
                </w:p>
              </w:tc>
              <w:tc>
                <w:tcPr>
                  <w:tcW w:w="2324" w:type="dxa"/>
                  <w:noWrap w:val="0"/>
                  <w:vAlign w:val="center"/>
                </w:tcPr>
                <w:p w14:paraId="485B1312">
                  <w:pPr>
                    <w:pStyle w:val="27"/>
                    <w:widowControl w:val="0"/>
                    <w:spacing w:line="0" w:lineRule="atLeast"/>
                    <w:ind w:firstLine="0" w:firstLineChars="0"/>
                    <w:jc w:val="center"/>
                    <w:rPr>
                      <w:rFonts w:hint="default" w:ascii="Times New Roman" w:hAnsi="Times New Roman" w:eastAsia="宋体"/>
                      <w:color w:val="auto"/>
                      <w:kern w:val="2"/>
                      <w:sz w:val="21"/>
                      <w:szCs w:val="21"/>
                      <w:vertAlign w:val="subscript"/>
                      <w:lang w:val="en-US" w:eastAsia="zh-CN"/>
                    </w:rPr>
                  </w:pPr>
                  <w:r>
                    <w:rPr>
                      <w:rFonts w:hint="eastAsia" w:ascii="Times New Roman" w:hAnsi="Times New Roman"/>
                      <w:color w:val="auto"/>
                      <w:kern w:val="2"/>
                      <w:sz w:val="21"/>
                      <w:szCs w:val="21"/>
                      <w:lang w:val="en-US" w:eastAsia="zh-CN"/>
                    </w:rPr>
                    <w:t>颗粒物</w:t>
                  </w:r>
                </w:p>
              </w:tc>
              <w:tc>
                <w:tcPr>
                  <w:tcW w:w="1061" w:type="dxa"/>
                  <w:noWrap w:val="0"/>
                  <w:vAlign w:val="center"/>
                </w:tcPr>
                <w:p w14:paraId="1A3B9219">
                  <w:pPr>
                    <w:pStyle w:val="27"/>
                    <w:widowControl w:val="0"/>
                    <w:spacing w:line="0" w:lineRule="atLeast"/>
                    <w:ind w:firstLine="0" w:firstLineChars="0"/>
                    <w:jc w:val="center"/>
                    <w:rPr>
                      <w:rFonts w:ascii="Times New Roman" w:hAnsi="Times New Roman"/>
                      <w:color w:val="auto"/>
                      <w:kern w:val="2"/>
                      <w:sz w:val="21"/>
                      <w:szCs w:val="21"/>
                    </w:rPr>
                  </w:pPr>
                  <w:r>
                    <w:rPr>
                      <w:rFonts w:hint="eastAsia" w:ascii="Times New Roman" w:hAnsi="Times New Roman"/>
                      <w:color w:val="auto"/>
                      <w:kern w:val="2"/>
                      <w:sz w:val="21"/>
                      <w:szCs w:val="21"/>
                    </w:rPr>
                    <w:t>1次/年</w:t>
                  </w:r>
                </w:p>
              </w:tc>
              <w:tc>
                <w:tcPr>
                  <w:tcW w:w="3430" w:type="dxa"/>
                  <w:noWrap w:val="0"/>
                  <w:vAlign w:val="center"/>
                </w:tcPr>
                <w:p w14:paraId="3AB524D5">
                  <w:pPr>
                    <w:pStyle w:val="27"/>
                    <w:widowControl w:val="0"/>
                    <w:spacing w:line="0" w:lineRule="atLeast"/>
                    <w:ind w:firstLine="0" w:firstLineChars="0"/>
                    <w:jc w:val="center"/>
                    <w:rPr>
                      <w:rFonts w:ascii="Times New Roman" w:hAnsi="Times New Roman"/>
                      <w:color w:val="auto"/>
                      <w:kern w:val="2"/>
                      <w:sz w:val="21"/>
                      <w:szCs w:val="21"/>
                    </w:rPr>
                  </w:pPr>
                  <w:r>
                    <w:rPr>
                      <w:rFonts w:hint="eastAsia" w:ascii="Times New Roman" w:hAnsi="Times New Roman"/>
                      <w:color w:val="auto"/>
                      <w:kern w:val="2"/>
                      <w:sz w:val="21"/>
                      <w:szCs w:val="21"/>
                      <w:u w:val="none"/>
                    </w:rPr>
                    <w:t>《大气污染物综合排放标准》（GB16297-1996）</w:t>
                  </w:r>
                </w:p>
              </w:tc>
            </w:tr>
            <w:tr w14:paraId="7FAF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7" w:type="dxa"/>
                  <w:gridSpan w:val="4"/>
                  <w:noWrap w:val="0"/>
                  <w:vAlign w:val="center"/>
                </w:tcPr>
                <w:p w14:paraId="790D7FC1">
                  <w:pPr>
                    <w:pStyle w:val="27"/>
                    <w:widowControl w:val="0"/>
                    <w:spacing w:line="0" w:lineRule="atLeast"/>
                    <w:ind w:firstLine="0" w:firstLineChars="0"/>
                    <w:rPr>
                      <w:rFonts w:ascii="Times New Roman" w:hAnsi="Times New Roman"/>
                      <w:color w:val="000000"/>
                      <w:kern w:val="2"/>
                      <w:sz w:val="18"/>
                      <w:szCs w:val="21"/>
                    </w:rPr>
                  </w:pPr>
                  <w:r>
                    <w:rPr>
                      <w:rFonts w:hint="eastAsia" w:ascii="Times New Roman" w:hAnsi="Times New Roman"/>
                      <w:color w:val="000000"/>
                      <w:kern w:val="2"/>
                      <w:sz w:val="18"/>
                      <w:szCs w:val="21"/>
                    </w:rPr>
                    <w:t>注：无组织排放采样方法参照HJ/T 55执行。国家或地方法律法规等另有规定的，从其规定。</w:t>
                  </w:r>
                </w:p>
              </w:tc>
            </w:tr>
          </w:tbl>
          <w:p w14:paraId="5858CB8D">
            <w:pPr>
              <w:pStyle w:val="6"/>
              <w:spacing w:line="500" w:lineRule="exact"/>
              <w:ind w:firstLine="0" w:firstLineChars="0"/>
              <w:rPr>
                <w:b/>
                <w:bCs/>
                <w:sz w:val="24"/>
              </w:rPr>
            </w:pPr>
            <w:r>
              <w:rPr>
                <w:b/>
                <w:bCs/>
                <w:sz w:val="24"/>
              </w:rPr>
              <w:t>2.废水</w:t>
            </w:r>
          </w:p>
          <w:p w14:paraId="4511624C">
            <w:pPr>
              <w:pStyle w:val="6"/>
              <w:spacing w:line="500" w:lineRule="exact"/>
              <w:ind w:firstLine="0" w:firstLineChars="0"/>
              <w:rPr>
                <w:rFonts w:hint="eastAsia"/>
                <w:kern w:val="0"/>
                <w:sz w:val="24"/>
              </w:rPr>
            </w:pPr>
            <w:r>
              <w:rPr>
                <w:rFonts w:hint="eastAsia"/>
                <w:b/>
                <w:bCs/>
                <w:sz w:val="24"/>
              </w:rPr>
              <w:t>2</w:t>
            </w:r>
            <w:r>
              <w:rPr>
                <w:b/>
                <w:bCs/>
                <w:sz w:val="24"/>
              </w:rPr>
              <w:t>.1废</w:t>
            </w:r>
            <w:r>
              <w:rPr>
                <w:rFonts w:hint="eastAsia"/>
                <w:b/>
                <w:bCs/>
                <w:sz w:val="24"/>
              </w:rPr>
              <w:t>水</w:t>
            </w:r>
            <w:r>
              <w:rPr>
                <w:b/>
                <w:bCs/>
                <w:sz w:val="24"/>
              </w:rPr>
              <w:t>源强估算</w:t>
            </w:r>
          </w:p>
          <w:p w14:paraId="57950005">
            <w:pPr>
              <w:pStyle w:val="6"/>
              <w:spacing w:line="500" w:lineRule="exact"/>
              <w:ind w:firstLine="480"/>
              <w:rPr>
                <w:rFonts w:hint="eastAsia"/>
                <w:kern w:val="0"/>
                <w:sz w:val="24"/>
                <w:u w:val="none"/>
              </w:rPr>
            </w:pPr>
            <w:r>
              <w:rPr>
                <w:rFonts w:hint="eastAsia"/>
                <w:kern w:val="0"/>
                <w:sz w:val="24"/>
                <w:u w:val="none"/>
                <w:lang w:val="en-US" w:eastAsia="zh-CN"/>
              </w:rPr>
              <w:t>改扩建</w:t>
            </w:r>
            <w:r>
              <w:rPr>
                <w:rFonts w:hint="eastAsia"/>
                <w:kern w:val="0"/>
                <w:sz w:val="24"/>
                <w:u w:val="none"/>
              </w:rPr>
              <w:t>项目</w:t>
            </w:r>
            <w:r>
              <w:rPr>
                <w:rFonts w:hint="eastAsia"/>
                <w:kern w:val="0"/>
                <w:sz w:val="24"/>
                <w:u w:val="none"/>
                <w:lang w:val="en-US" w:eastAsia="zh-CN"/>
              </w:rPr>
              <w:t>不新增员工，</w:t>
            </w:r>
            <w:r>
              <w:rPr>
                <w:rFonts w:hint="eastAsia"/>
                <w:kern w:val="0"/>
                <w:sz w:val="24"/>
                <w:u w:val="none"/>
              </w:rPr>
              <w:t>废水主要为</w:t>
            </w:r>
            <w:r>
              <w:rPr>
                <w:rFonts w:hint="eastAsia"/>
                <w:kern w:val="0"/>
                <w:sz w:val="24"/>
                <w:u w:val="none"/>
                <w:lang w:eastAsia="zh-CN"/>
              </w:rPr>
              <w:t>初期雨水，项目运营过程中无场地冲洗废水产生</w:t>
            </w:r>
            <w:r>
              <w:rPr>
                <w:rFonts w:hint="eastAsia"/>
                <w:kern w:val="0"/>
                <w:sz w:val="24"/>
                <w:u w:val="none"/>
              </w:rPr>
              <w:t>。</w:t>
            </w:r>
          </w:p>
          <w:p w14:paraId="0648EE3C">
            <w:pPr>
              <w:pStyle w:val="6"/>
              <w:spacing w:line="500" w:lineRule="exact"/>
              <w:ind w:firstLine="480"/>
              <w:rPr>
                <w:rFonts w:hint="eastAsia"/>
                <w:kern w:val="0"/>
                <w:sz w:val="24"/>
                <w:u w:val="none"/>
                <w:lang w:val="en-US" w:eastAsia="zh-CN"/>
              </w:rPr>
            </w:pPr>
            <w:bookmarkStart w:id="21" w:name="_Toc83046826"/>
            <w:r>
              <w:rPr>
                <w:rFonts w:hint="eastAsia"/>
                <w:kern w:val="0"/>
                <w:sz w:val="24"/>
                <w:u w:val="none"/>
                <w:lang w:val="en-US" w:eastAsia="zh-CN"/>
              </w:rPr>
              <w:t>厂区地面采取水泥硬化处理，收集的初期雨水主要为项目集装箱空箱堆场区域，项目汇水面积约10900m</w:t>
            </w:r>
            <w:r>
              <w:rPr>
                <w:rFonts w:hint="eastAsia"/>
                <w:kern w:val="0"/>
                <w:sz w:val="24"/>
                <w:u w:val="none"/>
                <w:vertAlign w:val="superscript"/>
                <w:lang w:val="en-US" w:eastAsia="zh-CN"/>
              </w:rPr>
              <w:t>2</w:t>
            </w:r>
            <w:r>
              <w:rPr>
                <w:rFonts w:hint="eastAsia"/>
                <w:kern w:val="0"/>
                <w:sz w:val="24"/>
                <w:u w:val="none"/>
                <w:lang w:val="en-US" w:eastAsia="zh-CN"/>
              </w:rPr>
              <w:t>。初期雨水主要含有COD、SS等污染物质，初期雨水经初期雨水收集后排至钦州港工业污水集中处理厂处理。</w:t>
            </w:r>
          </w:p>
          <w:p w14:paraId="3A54CE1F">
            <w:pPr>
              <w:pStyle w:val="6"/>
              <w:spacing w:line="500" w:lineRule="exact"/>
              <w:ind w:firstLine="480"/>
              <w:rPr>
                <w:rFonts w:hint="eastAsia"/>
                <w:kern w:val="0"/>
                <w:sz w:val="24"/>
                <w:u w:val="none"/>
                <w:lang w:val="en-US" w:eastAsia="zh-CN"/>
              </w:rPr>
            </w:pPr>
            <w:r>
              <w:rPr>
                <w:rFonts w:hint="eastAsia"/>
                <w:kern w:val="0"/>
                <w:sz w:val="24"/>
                <w:u w:val="none"/>
                <w:lang w:val="en-US" w:eastAsia="zh-CN"/>
              </w:rPr>
              <w:t>根据《室外排水设计规范》（GB50201-2005），初期雨水量</w:t>
            </w:r>
            <w:r>
              <w:rPr>
                <w:rFonts w:hint="eastAsia"/>
                <w:kern w:val="0"/>
                <w:sz w:val="24"/>
                <w:highlight w:val="none"/>
                <w:u w:val="none"/>
                <w:lang w:val="en-US" w:eastAsia="zh-CN"/>
              </w:rPr>
              <w:t>按下式计算</w:t>
            </w:r>
            <w:r>
              <w:rPr>
                <w:rFonts w:hint="eastAsia"/>
                <w:kern w:val="0"/>
                <w:sz w:val="24"/>
                <w:u w:val="none"/>
                <w:lang w:val="en-US" w:eastAsia="zh-CN"/>
              </w:rPr>
              <w:t>：</w:t>
            </w:r>
          </w:p>
          <w:p w14:paraId="760D0C1A">
            <w:pPr>
              <w:pStyle w:val="6"/>
              <w:spacing w:line="500" w:lineRule="exact"/>
              <w:ind w:firstLine="480"/>
              <w:jc w:val="center"/>
              <w:rPr>
                <w:rFonts w:hint="eastAsia"/>
                <w:kern w:val="0"/>
                <w:sz w:val="24"/>
                <w:lang w:val="en-US" w:eastAsia="zh-CN"/>
              </w:rPr>
            </w:pPr>
            <w:r>
              <w:rPr>
                <w:rFonts w:hint="eastAsia"/>
                <w:kern w:val="0"/>
                <w:sz w:val="24"/>
                <w:lang w:val="en-US" w:eastAsia="zh-CN"/>
              </w:rPr>
              <w:t>Qs=qΨF</w:t>
            </w:r>
          </w:p>
          <w:p w14:paraId="3FF9A023">
            <w:pPr>
              <w:pStyle w:val="6"/>
              <w:spacing w:line="500" w:lineRule="exact"/>
              <w:ind w:firstLine="480"/>
              <w:rPr>
                <w:rFonts w:hint="eastAsia"/>
                <w:kern w:val="0"/>
                <w:sz w:val="24"/>
                <w:lang w:val="en-US" w:eastAsia="zh-CN"/>
              </w:rPr>
            </w:pPr>
            <w:r>
              <w:rPr>
                <w:rFonts w:hint="eastAsia"/>
                <w:kern w:val="0"/>
                <w:sz w:val="24"/>
                <w:lang w:val="en-US" w:eastAsia="zh-CN"/>
              </w:rPr>
              <w:t>式中：Qs—雨水设计流量（L/s）；</w:t>
            </w:r>
          </w:p>
          <w:p w14:paraId="19D86C5C">
            <w:pPr>
              <w:pStyle w:val="6"/>
              <w:spacing w:line="500" w:lineRule="exact"/>
              <w:ind w:firstLine="1200" w:firstLineChars="500"/>
              <w:rPr>
                <w:rFonts w:hint="eastAsia"/>
                <w:kern w:val="0"/>
                <w:sz w:val="24"/>
                <w:lang w:val="en-US" w:eastAsia="zh-CN"/>
              </w:rPr>
            </w:pPr>
            <w:r>
              <w:rPr>
                <w:rFonts w:hint="eastAsia"/>
                <w:kern w:val="0"/>
                <w:sz w:val="24"/>
                <w:lang w:val="en-US" w:eastAsia="zh-CN"/>
              </w:rPr>
              <w:t>q—设计暴雨强度（L/s·hm</w:t>
            </w:r>
            <w:r>
              <w:rPr>
                <w:rFonts w:hint="eastAsia"/>
                <w:kern w:val="0"/>
                <w:sz w:val="24"/>
                <w:vertAlign w:val="superscript"/>
                <w:lang w:val="en-US" w:eastAsia="zh-CN"/>
              </w:rPr>
              <w:t>2）</w:t>
            </w:r>
            <w:r>
              <w:rPr>
                <w:rFonts w:hint="eastAsia"/>
                <w:kern w:val="0"/>
                <w:sz w:val="24"/>
                <w:lang w:val="en-US" w:eastAsia="zh-CN"/>
              </w:rPr>
              <w:t>；</w:t>
            </w:r>
          </w:p>
          <w:p w14:paraId="5FB1B317">
            <w:pPr>
              <w:pStyle w:val="6"/>
              <w:spacing w:line="500" w:lineRule="exact"/>
              <w:ind w:firstLine="1200" w:firstLineChars="500"/>
              <w:rPr>
                <w:rFonts w:hint="eastAsia"/>
                <w:kern w:val="0"/>
                <w:sz w:val="24"/>
                <w:lang w:val="en-US" w:eastAsia="zh-CN"/>
              </w:rPr>
            </w:pPr>
            <w:r>
              <w:rPr>
                <w:rFonts w:hint="eastAsia"/>
                <w:kern w:val="0"/>
                <w:sz w:val="24"/>
                <w:lang w:val="en-US" w:eastAsia="zh-CN"/>
              </w:rPr>
              <w:t>Ψ—流系数，本项目主要为水泥地面，取0.9；</w:t>
            </w:r>
          </w:p>
          <w:p w14:paraId="2D407E04">
            <w:pPr>
              <w:pStyle w:val="6"/>
              <w:spacing w:line="500" w:lineRule="exact"/>
              <w:ind w:firstLine="1200" w:firstLineChars="500"/>
              <w:rPr>
                <w:rFonts w:hint="eastAsia"/>
                <w:kern w:val="0"/>
                <w:sz w:val="24"/>
                <w:lang w:val="en-US" w:eastAsia="zh-CN"/>
              </w:rPr>
            </w:pPr>
            <w:r>
              <w:rPr>
                <w:rFonts w:hint="eastAsia"/>
                <w:kern w:val="0"/>
                <w:sz w:val="24"/>
                <w:lang w:val="en-US" w:eastAsia="zh-CN"/>
              </w:rPr>
              <w:t>F—汇水面积（hm</w:t>
            </w:r>
            <w:r>
              <w:rPr>
                <w:rFonts w:hint="eastAsia"/>
                <w:kern w:val="0"/>
                <w:sz w:val="24"/>
                <w:vertAlign w:val="superscript"/>
                <w:lang w:val="en-US" w:eastAsia="zh-CN"/>
              </w:rPr>
              <w:t>2</w:t>
            </w:r>
            <w:r>
              <w:rPr>
                <w:rFonts w:hint="eastAsia"/>
                <w:kern w:val="0"/>
                <w:sz w:val="24"/>
                <w:lang w:val="en-US" w:eastAsia="zh-CN"/>
              </w:rPr>
              <w:t>），根据实际情况，本项目汇水面积约为1.09hm</w:t>
            </w:r>
            <w:r>
              <w:rPr>
                <w:rFonts w:hint="eastAsia"/>
                <w:kern w:val="0"/>
                <w:sz w:val="24"/>
                <w:vertAlign w:val="superscript"/>
                <w:lang w:val="en-US" w:eastAsia="zh-CN"/>
              </w:rPr>
              <w:t>2</w:t>
            </w:r>
            <w:r>
              <w:rPr>
                <w:rFonts w:hint="eastAsia"/>
                <w:kern w:val="0"/>
                <w:sz w:val="24"/>
                <w:lang w:val="en-US" w:eastAsia="zh-CN"/>
              </w:rPr>
              <w:t>。</w:t>
            </w:r>
          </w:p>
          <w:p w14:paraId="6A83B43A">
            <w:pPr>
              <w:pStyle w:val="6"/>
              <w:spacing w:line="500" w:lineRule="exact"/>
              <w:ind w:firstLine="480"/>
              <w:rPr>
                <w:rFonts w:hint="eastAsia"/>
                <w:kern w:val="0"/>
                <w:sz w:val="24"/>
                <w:lang w:val="en-US" w:eastAsia="zh-CN"/>
              </w:rPr>
            </w:pPr>
            <w:r>
              <w:rPr>
                <w:rFonts w:hint="eastAsia"/>
                <w:kern w:val="0"/>
                <w:sz w:val="24"/>
                <w:lang w:val="en-US" w:eastAsia="zh-CN"/>
              </w:rPr>
              <w:t>钦州市设计暴雨强度按下式计算：</w:t>
            </w:r>
          </w:p>
          <w:p w14:paraId="31870287">
            <w:pPr>
              <w:pStyle w:val="6"/>
              <w:spacing w:line="500" w:lineRule="exact"/>
              <w:ind w:firstLine="1200" w:firstLineChars="500"/>
              <w:jc w:val="center"/>
              <w:rPr>
                <w:rFonts w:hint="default"/>
                <w:kern w:val="0"/>
                <w:sz w:val="24"/>
                <w:lang w:val="en-US" w:eastAsia="zh-CN"/>
              </w:rPr>
            </w:pPr>
            <w:r>
              <w:rPr>
                <w:rFonts w:hint="eastAsia"/>
                <w:kern w:val="0"/>
                <w:sz w:val="24"/>
                <w:lang w:val="en-US" w:eastAsia="zh-CN"/>
              </w:rPr>
              <w:t>q=1815.359(1+0.594lgP)/(t+6.669)</w:t>
            </w:r>
            <w:r>
              <w:rPr>
                <w:rFonts w:hint="eastAsia"/>
                <w:kern w:val="0"/>
                <w:sz w:val="24"/>
                <w:vertAlign w:val="superscript"/>
                <w:lang w:val="en-US" w:eastAsia="zh-CN"/>
              </w:rPr>
              <w:t>0.596</w:t>
            </w:r>
          </w:p>
          <w:p w14:paraId="7A3FE163">
            <w:pPr>
              <w:pStyle w:val="6"/>
              <w:spacing w:line="500" w:lineRule="exact"/>
              <w:ind w:firstLine="480"/>
              <w:rPr>
                <w:rFonts w:hint="eastAsia"/>
                <w:kern w:val="0"/>
                <w:sz w:val="24"/>
                <w:lang w:val="en-US" w:eastAsia="zh-CN"/>
              </w:rPr>
            </w:pPr>
            <w:r>
              <w:rPr>
                <w:rFonts w:hint="eastAsia"/>
                <w:kern w:val="0"/>
                <w:sz w:val="24"/>
                <w:lang w:val="en-US" w:eastAsia="zh-CN"/>
              </w:rPr>
              <w:t>式中：q设计暴雨强度（L/s·hm</w:t>
            </w:r>
            <w:r>
              <w:rPr>
                <w:rFonts w:hint="eastAsia"/>
                <w:kern w:val="0"/>
                <w:sz w:val="24"/>
                <w:vertAlign w:val="superscript"/>
                <w:lang w:val="en-US" w:eastAsia="zh-CN"/>
              </w:rPr>
              <w:t>2</w:t>
            </w:r>
            <w:r>
              <w:rPr>
                <w:rFonts w:hint="eastAsia"/>
                <w:kern w:val="0"/>
                <w:sz w:val="24"/>
                <w:lang w:val="en-US" w:eastAsia="zh-CN"/>
              </w:rPr>
              <w:t>）；</w:t>
            </w:r>
          </w:p>
          <w:p w14:paraId="0BF248C3">
            <w:pPr>
              <w:pStyle w:val="6"/>
              <w:spacing w:line="500" w:lineRule="exact"/>
              <w:ind w:firstLine="1200" w:firstLineChars="500"/>
              <w:rPr>
                <w:rFonts w:hint="eastAsia"/>
                <w:kern w:val="0"/>
                <w:sz w:val="24"/>
                <w:lang w:val="en-US" w:eastAsia="zh-CN"/>
              </w:rPr>
            </w:pPr>
            <w:r>
              <w:rPr>
                <w:rFonts w:hint="eastAsia"/>
                <w:kern w:val="0"/>
                <w:sz w:val="24"/>
                <w:lang w:val="en-US" w:eastAsia="zh-CN"/>
              </w:rPr>
              <w:t>t—集水时间（min），取15分钟；</w:t>
            </w:r>
          </w:p>
          <w:p w14:paraId="1A3EB9F9">
            <w:pPr>
              <w:pStyle w:val="6"/>
              <w:spacing w:line="500" w:lineRule="exact"/>
              <w:ind w:firstLine="1200" w:firstLineChars="500"/>
              <w:rPr>
                <w:rFonts w:hint="eastAsia"/>
                <w:kern w:val="0"/>
                <w:sz w:val="24"/>
                <w:lang w:val="en-US" w:eastAsia="zh-CN"/>
              </w:rPr>
            </w:pPr>
            <w:r>
              <w:rPr>
                <w:rFonts w:hint="eastAsia"/>
                <w:kern w:val="0"/>
                <w:sz w:val="24"/>
                <w:lang w:val="en-US" w:eastAsia="zh-CN"/>
              </w:rPr>
              <w:t>P—设计重现期（a），取2年。</w:t>
            </w:r>
          </w:p>
          <w:p w14:paraId="1263DC6A">
            <w:pPr>
              <w:pStyle w:val="6"/>
              <w:spacing w:line="500" w:lineRule="exact"/>
              <w:ind w:firstLine="480"/>
              <w:rPr>
                <w:rFonts w:hint="eastAsia" w:eastAsia="宋体"/>
                <w:color w:val="auto"/>
                <w:kern w:val="0"/>
                <w:sz w:val="24"/>
                <w:lang w:val="en-US" w:eastAsia="zh-CN"/>
              </w:rPr>
            </w:pPr>
            <w:r>
              <w:rPr>
                <w:rFonts w:hint="eastAsia"/>
                <w:color w:val="auto"/>
                <w:kern w:val="0"/>
                <w:sz w:val="24"/>
                <w:lang w:val="en-US" w:eastAsia="zh-CN"/>
              </w:rPr>
              <w:t>经计算，项目厂区暴雨强度为343.62L/s·hm</w:t>
            </w:r>
            <w:r>
              <w:rPr>
                <w:rFonts w:hint="eastAsia"/>
                <w:color w:val="auto"/>
                <w:kern w:val="0"/>
                <w:sz w:val="24"/>
                <w:vertAlign w:val="superscript"/>
                <w:lang w:val="en-US" w:eastAsia="zh-CN"/>
              </w:rPr>
              <w:t>2</w:t>
            </w:r>
            <w:r>
              <w:rPr>
                <w:rFonts w:hint="eastAsia"/>
                <w:color w:val="auto"/>
                <w:kern w:val="0"/>
                <w:sz w:val="24"/>
                <w:lang w:val="en-US" w:eastAsia="zh-CN"/>
              </w:rPr>
              <w:t>，初期雨水量的时间以15min计，则项目厂区初期雨水量约为337m</w:t>
            </w:r>
            <w:r>
              <w:rPr>
                <w:rFonts w:hint="eastAsia"/>
                <w:color w:val="auto"/>
                <w:kern w:val="0"/>
                <w:sz w:val="24"/>
                <w:vertAlign w:val="superscript"/>
                <w:lang w:val="en-US" w:eastAsia="zh-CN"/>
              </w:rPr>
              <w:t>3</w:t>
            </w:r>
            <w:r>
              <w:rPr>
                <w:rFonts w:hint="eastAsia"/>
                <w:color w:val="auto"/>
                <w:kern w:val="0"/>
                <w:sz w:val="24"/>
                <w:lang w:val="en-US" w:eastAsia="zh-CN"/>
              </w:rPr>
              <w:t>/次。项目建设有360m</w:t>
            </w:r>
            <w:r>
              <w:rPr>
                <w:rFonts w:hint="eastAsia"/>
                <w:color w:val="auto"/>
                <w:kern w:val="0"/>
                <w:sz w:val="24"/>
                <w:vertAlign w:val="superscript"/>
                <w:lang w:val="en-US" w:eastAsia="zh-CN"/>
              </w:rPr>
              <w:t>3</w:t>
            </w:r>
            <w:r>
              <w:rPr>
                <w:rFonts w:hint="eastAsia"/>
                <w:color w:val="auto"/>
                <w:kern w:val="0"/>
                <w:sz w:val="24"/>
                <w:lang w:val="en-US" w:eastAsia="zh-CN"/>
              </w:rPr>
              <w:t>初期雨水收集池，能够满足收集要求。</w:t>
            </w:r>
            <w:r>
              <w:rPr>
                <w:rFonts w:hint="eastAsia"/>
                <w:color w:val="auto"/>
                <w:kern w:val="0"/>
                <w:sz w:val="24"/>
                <w:u w:val="none"/>
                <w:lang w:val="en-US" w:eastAsia="zh-CN"/>
              </w:rPr>
              <w:t>初期雨水主要污染物为COD、SS，污染物产排浓度为40mg/L、80mg/L，</w:t>
            </w:r>
            <w:r>
              <w:rPr>
                <w:rFonts w:hint="eastAsia"/>
                <w:color w:val="auto"/>
                <w:kern w:val="0"/>
                <w:sz w:val="24"/>
                <w:u w:val="single"/>
                <w:lang w:val="en-US" w:eastAsia="zh-CN"/>
              </w:rPr>
              <w:t>初期雨水经初期雨水收集池收集后排至钦州港工业污水集中处理厂处理，项目初期雨水收集走向见附图2。</w:t>
            </w:r>
          </w:p>
          <w:p w14:paraId="4A2F767A">
            <w:pPr>
              <w:pStyle w:val="6"/>
              <w:spacing w:line="500" w:lineRule="exact"/>
              <w:ind w:firstLine="0" w:firstLineChars="0"/>
              <w:jc w:val="center"/>
              <w:rPr>
                <w:rFonts w:hint="eastAsia"/>
                <w:b/>
                <w:bCs/>
                <w:kern w:val="0"/>
                <w:sz w:val="24"/>
                <w:lang w:val="en-GB" w:eastAsia="zh-CN"/>
              </w:rPr>
            </w:pPr>
            <w:r>
              <w:rPr>
                <w:rFonts w:hint="eastAsia"/>
                <w:b/>
                <w:bCs/>
                <w:kern w:val="0"/>
                <w:sz w:val="24"/>
                <w:lang w:val="en-GB" w:eastAsia="zh-CN"/>
              </w:rPr>
              <w:t>表4-</w:t>
            </w:r>
            <w:r>
              <w:rPr>
                <w:rFonts w:hint="eastAsia"/>
                <w:b/>
                <w:bCs/>
                <w:kern w:val="0"/>
                <w:sz w:val="24"/>
                <w:lang w:val="en-US" w:eastAsia="zh-CN"/>
              </w:rPr>
              <w:t>6</w:t>
            </w:r>
            <w:r>
              <w:rPr>
                <w:rFonts w:hint="eastAsia"/>
                <w:b/>
                <w:bCs/>
                <w:kern w:val="0"/>
                <w:sz w:val="24"/>
                <w:lang w:val="en-GB" w:eastAsia="zh-CN"/>
              </w:rPr>
              <w:t xml:space="preserve"> 项目用水量及污染物去向</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481"/>
              <w:gridCol w:w="1363"/>
              <w:gridCol w:w="1503"/>
              <w:gridCol w:w="3254"/>
            </w:tblGrid>
            <w:tr w14:paraId="0528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9" w:type="dxa"/>
                  <w:tcBorders>
                    <w:top w:val="single" w:color="auto" w:sz="4" w:space="0"/>
                    <w:left w:val="single" w:color="auto" w:sz="4" w:space="0"/>
                    <w:bottom w:val="single" w:color="auto" w:sz="4" w:space="0"/>
                    <w:right w:val="single" w:color="auto" w:sz="4" w:space="0"/>
                  </w:tcBorders>
                  <w:noWrap w:val="0"/>
                  <w:vAlign w:val="center"/>
                </w:tcPr>
                <w:p w14:paraId="7472A16D">
                  <w:pPr>
                    <w:adjustRightInd w:val="0"/>
                    <w:snapToGrid w:val="0"/>
                    <w:spacing w:line="240" w:lineRule="atLeast"/>
                    <w:jc w:val="center"/>
                    <w:rPr>
                      <w:rFonts w:hint="eastAsia"/>
                      <w:szCs w:val="21"/>
                    </w:rPr>
                  </w:pPr>
                  <w:r>
                    <w:rPr>
                      <w:rFonts w:hint="eastAsia"/>
                      <w:szCs w:val="21"/>
                    </w:rPr>
                    <w:t>序号</w:t>
                  </w:r>
                </w:p>
              </w:tc>
              <w:tc>
                <w:tcPr>
                  <w:tcW w:w="1481" w:type="dxa"/>
                  <w:tcBorders>
                    <w:top w:val="single" w:color="auto" w:sz="4" w:space="0"/>
                    <w:left w:val="single" w:color="auto" w:sz="4" w:space="0"/>
                    <w:bottom w:val="single" w:color="auto" w:sz="4" w:space="0"/>
                    <w:right w:val="single" w:color="auto" w:sz="4" w:space="0"/>
                  </w:tcBorders>
                  <w:noWrap w:val="0"/>
                  <w:vAlign w:val="center"/>
                </w:tcPr>
                <w:p w14:paraId="6E593530">
                  <w:pPr>
                    <w:adjustRightInd w:val="0"/>
                    <w:snapToGrid w:val="0"/>
                    <w:spacing w:line="240" w:lineRule="atLeast"/>
                    <w:jc w:val="center"/>
                    <w:rPr>
                      <w:rFonts w:hint="eastAsia"/>
                      <w:szCs w:val="21"/>
                    </w:rPr>
                  </w:pPr>
                  <w:r>
                    <w:rPr>
                      <w:rFonts w:hint="eastAsia"/>
                      <w:szCs w:val="21"/>
                    </w:rPr>
                    <w:t>项目</w:t>
                  </w:r>
                </w:p>
              </w:tc>
              <w:tc>
                <w:tcPr>
                  <w:tcW w:w="1363" w:type="dxa"/>
                  <w:tcBorders>
                    <w:top w:val="single" w:color="auto" w:sz="4" w:space="0"/>
                    <w:left w:val="single" w:color="auto" w:sz="4" w:space="0"/>
                    <w:bottom w:val="single" w:color="auto" w:sz="4" w:space="0"/>
                    <w:right w:val="single" w:color="auto" w:sz="4" w:space="0"/>
                  </w:tcBorders>
                  <w:noWrap w:val="0"/>
                  <w:vAlign w:val="center"/>
                </w:tcPr>
                <w:p w14:paraId="6E86D631">
                  <w:pPr>
                    <w:adjustRightInd w:val="0"/>
                    <w:snapToGrid w:val="0"/>
                    <w:spacing w:line="240" w:lineRule="atLeast"/>
                    <w:jc w:val="center"/>
                    <w:rPr>
                      <w:rFonts w:hint="eastAsia"/>
                      <w:szCs w:val="21"/>
                    </w:rPr>
                  </w:pPr>
                  <w:r>
                    <w:rPr>
                      <w:rFonts w:hint="eastAsia"/>
                      <w:szCs w:val="21"/>
                    </w:rPr>
                    <w:t>用水量t/a</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3E4D45AC">
                  <w:pPr>
                    <w:adjustRightInd w:val="0"/>
                    <w:snapToGrid w:val="0"/>
                    <w:spacing w:line="240" w:lineRule="atLeast"/>
                    <w:jc w:val="center"/>
                    <w:rPr>
                      <w:rFonts w:hint="eastAsia"/>
                      <w:szCs w:val="21"/>
                    </w:rPr>
                  </w:pPr>
                  <w:r>
                    <w:rPr>
                      <w:rFonts w:hint="eastAsia"/>
                      <w:szCs w:val="21"/>
                    </w:rPr>
                    <w:t>废水量t/a</w:t>
                  </w:r>
                </w:p>
              </w:tc>
              <w:tc>
                <w:tcPr>
                  <w:tcW w:w="3254" w:type="dxa"/>
                  <w:tcBorders>
                    <w:top w:val="single" w:color="auto" w:sz="4" w:space="0"/>
                    <w:left w:val="single" w:color="auto" w:sz="4" w:space="0"/>
                    <w:bottom w:val="single" w:color="auto" w:sz="4" w:space="0"/>
                    <w:right w:val="single" w:color="auto" w:sz="4" w:space="0"/>
                  </w:tcBorders>
                  <w:noWrap w:val="0"/>
                  <w:vAlign w:val="center"/>
                </w:tcPr>
                <w:p w14:paraId="1D6543D5">
                  <w:pPr>
                    <w:adjustRightInd w:val="0"/>
                    <w:snapToGrid w:val="0"/>
                    <w:spacing w:line="240" w:lineRule="atLeast"/>
                    <w:jc w:val="center"/>
                    <w:rPr>
                      <w:rFonts w:hint="eastAsia"/>
                      <w:szCs w:val="21"/>
                    </w:rPr>
                  </w:pPr>
                  <w:r>
                    <w:rPr>
                      <w:rFonts w:hint="eastAsia"/>
                      <w:szCs w:val="21"/>
                    </w:rPr>
                    <w:t>处置及去向</w:t>
                  </w:r>
                </w:p>
              </w:tc>
            </w:tr>
            <w:tr w14:paraId="526C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859" w:type="dxa"/>
                  <w:tcBorders>
                    <w:top w:val="single" w:color="auto" w:sz="4" w:space="0"/>
                    <w:left w:val="single" w:color="auto" w:sz="4" w:space="0"/>
                    <w:bottom w:val="single" w:color="auto" w:sz="4" w:space="0"/>
                    <w:right w:val="single" w:color="auto" w:sz="4" w:space="0"/>
                  </w:tcBorders>
                  <w:noWrap w:val="0"/>
                  <w:vAlign w:val="center"/>
                </w:tcPr>
                <w:p w14:paraId="04CC761D">
                  <w:pPr>
                    <w:adjustRightInd w:val="0"/>
                    <w:snapToGrid w:val="0"/>
                    <w:spacing w:line="240" w:lineRule="atLeast"/>
                    <w:jc w:val="center"/>
                    <w:rPr>
                      <w:rFonts w:hint="eastAsia" w:eastAsia="宋体"/>
                      <w:szCs w:val="21"/>
                      <w:lang w:eastAsia="zh-CN"/>
                    </w:rPr>
                  </w:pPr>
                  <w:r>
                    <w:rPr>
                      <w:rFonts w:hint="eastAsia"/>
                      <w:szCs w:val="21"/>
                      <w:lang w:val="en-US" w:eastAsia="zh-CN"/>
                    </w:rPr>
                    <w:t>1</w:t>
                  </w:r>
                </w:p>
              </w:tc>
              <w:tc>
                <w:tcPr>
                  <w:tcW w:w="1481" w:type="dxa"/>
                  <w:tcBorders>
                    <w:top w:val="single" w:color="auto" w:sz="4" w:space="0"/>
                    <w:left w:val="single" w:color="auto" w:sz="4" w:space="0"/>
                    <w:bottom w:val="single" w:color="auto" w:sz="4" w:space="0"/>
                    <w:right w:val="single" w:color="auto" w:sz="4" w:space="0"/>
                  </w:tcBorders>
                  <w:noWrap w:val="0"/>
                  <w:vAlign w:val="center"/>
                </w:tcPr>
                <w:p w14:paraId="727D61ED">
                  <w:pPr>
                    <w:adjustRightInd w:val="0"/>
                    <w:snapToGrid w:val="0"/>
                    <w:spacing w:line="240" w:lineRule="atLeast"/>
                    <w:jc w:val="center"/>
                    <w:rPr>
                      <w:rFonts w:hint="eastAsia"/>
                      <w:szCs w:val="21"/>
                    </w:rPr>
                  </w:pPr>
                  <w:r>
                    <w:rPr>
                      <w:rFonts w:hint="eastAsia"/>
                      <w:szCs w:val="21"/>
                    </w:rPr>
                    <w:t>初期雨水</w:t>
                  </w:r>
                </w:p>
              </w:tc>
              <w:tc>
                <w:tcPr>
                  <w:tcW w:w="1363" w:type="dxa"/>
                  <w:tcBorders>
                    <w:top w:val="single" w:color="auto" w:sz="4" w:space="0"/>
                    <w:left w:val="single" w:color="auto" w:sz="4" w:space="0"/>
                    <w:bottom w:val="single" w:color="auto" w:sz="4" w:space="0"/>
                    <w:right w:val="single" w:color="auto" w:sz="4" w:space="0"/>
                  </w:tcBorders>
                  <w:noWrap w:val="0"/>
                  <w:vAlign w:val="center"/>
                </w:tcPr>
                <w:p w14:paraId="70348931">
                  <w:pPr>
                    <w:adjustRightInd w:val="0"/>
                    <w:snapToGrid w:val="0"/>
                    <w:spacing w:line="240" w:lineRule="atLeast"/>
                    <w:jc w:val="center"/>
                    <w:rPr>
                      <w:color w:val="000000"/>
                      <w:szCs w:val="21"/>
                    </w:rPr>
                  </w:pPr>
                  <w:r>
                    <w:rPr>
                      <w:rFonts w:hint="eastAsia"/>
                      <w:color w:val="000000"/>
                      <w:szCs w:val="21"/>
                    </w:rPr>
                    <w:t>/</w:t>
                  </w:r>
                </w:p>
              </w:tc>
              <w:tc>
                <w:tcPr>
                  <w:tcW w:w="1503" w:type="dxa"/>
                  <w:tcBorders>
                    <w:top w:val="single" w:color="auto" w:sz="4" w:space="0"/>
                    <w:left w:val="single" w:color="auto" w:sz="4" w:space="0"/>
                    <w:bottom w:val="single" w:color="auto" w:sz="4" w:space="0"/>
                    <w:right w:val="single" w:color="auto" w:sz="4" w:space="0"/>
                  </w:tcBorders>
                  <w:noWrap w:val="0"/>
                  <w:vAlign w:val="center"/>
                </w:tcPr>
                <w:p w14:paraId="67CB4F7D">
                  <w:pPr>
                    <w:adjustRightInd w:val="0"/>
                    <w:snapToGrid w:val="0"/>
                    <w:spacing w:line="240" w:lineRule="atLeast"/>
                    <w:jc w:val="center"/>
                    <w:rPr>
                      <w:color w:val="000000"/>
                      <w:kern w:val="0"/>
                      <w:szCs w:val="21"/>
                    </w:rPr>
                  </w:pPr>
                  <w:r>
                    <w:rPr>
                      <w:rFonts w:hint="eastAsia"/>
                      <w:color w:val="000000"/>
                      <w:kern w:val="0"/>
                      <w:szCs w:val="21"/>
                      <w:lang w:val="en-US" w:eastAsia="zh-CN"/>
                    </w:rPr>
                    <w:t>337</w:t>
                  </w:r>
                  <w:r>
                    <w:rPr>
                      <w:rFonts w:hint="eastAsia"/>
                      <w:color w:val="000000"/>
                      <w:kern w:val="0"/>
                      <w:szCs w:val="21"/>
                    </w:rPr>
                    <w:t>m</w:t>
                  </w:r>
                  <w:r>
                    <w:rPr>
                      <w:rFonts w:hint="eastAsia"/>
                      <w:color w:val="000000"/>
                      <w:kern w:val="0"/>
                      <w:szCs w:val="21"/>
                      <w:vertAlign w:val="superscript"/>
                    </w:rPr>
                    <w:t>3</w:t>
                  </w:r>
                  <w:r>
                    <w:rPr>
                      <w:rFonts w:hint="eastAsia"/>
                      <w:color w:val="000000"/>
                      <w:kern w:val="0"/>
                      <w:szCs w:val="21"/>
                    </w:rPr>
                    <w:t>/次</w:t>
                  </w:r>
                </w:p>
              </w:tc>
              <w:tc>
                <w:tcPr>
                  <w:tcW w:w="3254" w:type="dxa"/>
                  <w:tcBorders>
                    <w:top w:val="single" w:color="auto" w:sz="4" w:space="0"/>
                    <w:left w:val="single" w:color="auto" w:sz="4" w:space="0"/>
                    <w:bottom w:val="single" w:color="auto" w:sz="4" w:space="0"/>
                    <w:right w:val="single" w:color="auto" w:sz="4" w:space="0"/>
                  </w:tcBorders>
                  <w:noWrap w:val="0"/>
                  <w:vAlign w:val="center"/>
                </w:tcPr>
                <w:p w14:paraId="7FD6D13F">
                  <w:pPr>
                    <w:adjustRightInd w:val="0"/>
                    <w:snapToGrid w:val="0"/>
                    <w:spacing w:line="240" w:lineRule="atLeast"/>
                    <w:jc w:val="center"/>
                    <w:rPr>
                      <w:rFonts w:hint="eastAsia" w:eastAsia="宋体"/>
                      <w:szCs w:val="21"/>
                      <w:lang w:eastAsia="zh-CN"/>
                    </w:rPr>
                  </w:pPr>
                  <w:r>
                    <w:rPr>
                      <w:rFonts w:hint="eastAsia"/>
                      <w:szCs w:val="21"/>
                      <w:lang w:val="en-US" w:eastAsia="zh-CN"/>
                    </w:rPr>
                    <w:t>排至钦州港工业污水集中处理厂</w:t>
                  </w:r>
                </w:p>
              </w:tc>
            </w:tr>
          </w:tbl>
          <w:p w14:paraId="5AAEAEE0">
            <w:pPr>
              <w:pStyle w:val="6"/>
              <w:spacing w:line="500" w:lineRule="exact"/>
              <w:ind w:firstLine="0" w:firstLineChars="0"/>
              <w:rPr>
                <w:rFonts w:hint="eastAsia"/>
                <w:b/>
                <w:bCs/>
                <w:sz w:val="24"/>
              </w:rPr>
            </w:pPr>
            <w:r>
              <w:rPr>
                <w:rFonts w:hint="eastAsia"/>
                <w:b/>
                <w:bCs/>
                <w:sz w:val="24"/>
              </w:rPr>
              <w:t>2.2废水治理措施可行性分析</w:t>
            </w:r>
          </w:p>
          <w:p w14:paraId="44297463">
            <w:pPr>
              <w:pStyle w:val="6"/>
              <w:spacing w:line="500" w:lineRule="exact"/>
              <w:ind w:firstLine="480"/>
              <w:rPr>
                <w:rFonts w:hint="eastAsia"/>
                <w:kern w:val="0"/>
                <w:sz w:val="24"/>
              </w:rPr>
            </w:pPr>
            <w:r>
              <w:rPr>
                <w:rFonts w:hint="eastAsia"/>
                <w:kern w:val="0"/>
                <w:sz w:val="24"/>
              </w:rPr>
              <w:t>根据《排污许可证申请与核发技术规范 总则》（HJ942-2018），本项目采用的三级化粪池处理工艺属于可行</w:t>
            </w:r>
            <w:r>
              <w:rPr>
                <w:rFonts w:hint="eastAsia"/>
                <w:kern w:val="0"/>
                <w:sz w:val="24"/>
                <w:highlight w:val="none"/>
              </w:rPr>
              <w:t>生活</w:t>
            </w:r>
            <w:r>
              <w:rPr>
                <w:rFonts w:hint="eastAsia"/>
                <w:kern w:val="0"/>
                <w:sz w:val="24"/>
                <w:highlight w:val="none"/>
                <w:lang w:val="en-US" w:eastAsia="zh-CN"/>
              </w:rPr>
              <w:t>污</w:t>
            </w:r>
            <w:r>
              <w:rPr>
                <w:rFonts w:hint="eastAsia"/>
                <w:kern w:val="0"/>
                <w:sz w:val="24"/>
                <w:highlight w:val="none"/>
              </w:rPr>
              <w:t>水</w:t>
            </w:r>
            <w:r>
              <w:rPr>
                <w:rFonts w:hint="eastAsia"/>
                <w:kern w:val="0"/>
                <w:sz w:val="24"/>
              </w:rPr>
              <w:t>污染治理工艺。</w:t>
            </w:r>
          </w:p>
          <w:p w14:paraId="0BB7B8FD">
            <w:pPr>
              <w:pStyle w:val="6"/>
              <w:spacing w:line="500" w:lineRule="exact"/>
              <w:ind w:firstLine="480"/>
              <w:rPr>
                <w:rFonts w:hint="eastAsia"/>
                <w:kern w:val="0"/>
                <w:sz w:val="24"/>
              </w:rPr>
            </w:pPr>
            <w:r>
              <w:rPr>
                <w:rFonts w:hint="eastAsia"/>
                <w:kern w:val="0"/>
                <w:sz w:val="24"/>
              </w:rPr>
              <w:t>因此，项目采用化粪池预处理生活污水具有可行性。</w:t>
            </w:r>
          </w:p>
          <w:p w14:paraId="0CB14ABA">
            <w:pPr>
              <w:pStyle w:val="6"/>
              <w:spacing w:line="500" w:lineRule="exact"/>
              <w:ind w:firstLine="0" w:firstLineChars="0"/>
              <w:rPr>
                <w:b/>
                <w:bCs/>
                <w:sz w:val="24"/>
              </w:rPr>
            </w:pPr>
            <w:r>
              <w:rPr>
                <w:rFonts w:hint="eastAsia"/>
                <w:b/>
                <w:bCs/>
                <w:sz w:val="24"/>
              </w:rPr>
              <w:t>2.3废水依托</w:t>
            </w:r>
            <w:r>
              <w:rPr>
                <w:rFonts w:hint="eastAsia"/>
                <w:b/>
                <w:bCs/>
                <w:sz w:val="24"/>
                <w:lang w:val="en-US" w:eastAsia="zh-CN"/>
              </w:rPr>
              <w:t>钦州港工业污水集中处理厂</w:t>
            </w:r>
            <w:r>
              <w:rPr>
                <w:rFonts w:hint="eastAsia"/>
                <w:b/>
                <w:bCs/>
                <w:sz w:val="24"/>
              </w:rPr>
              <w:t>可行性分析</w:t>
            </w:r>
          </w:p>
          <w:p w14:paraId="009620F2">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①纳管符合性</w:t>
            </w:r>
          </w:p>
          <w:p w14:paraId="1106D64B">
            <w:pPr>
              <w:pStyle w:val="6"/>
              <w:spacing w:line="500" w:lineRule="exact"/>
              <w:ind w:firstLine="480"/>
              <w:rPr>
                <w:rFonts w:hint="default"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rPr>
              <w:t>本项目位于</w:t>
            </w:r>
            <w:r>
              <w:rPr>
                <w:rFonts w:hint="eastAsia" w:ascii="Times New Roman" w:hAnsi="Times New Roman" w:eastAsia="宋体" w:cs="Times New Roman"/>
                <w:color w:val="000000"/>
                <w:kern w:val="0"/>
                <w:sz w:val="24"/>
                <w:lang w:eastAsia="zh-CN"/>
              </w:rPr>
              <w:t>钦州市中国（广西）自由贸易试验区钦州港片区金鼓江西岸</w:t>
            </w:r>
            <w:r>
              <w:rPr>
                <w:rFonts w:hint="eastAsia" w:ascii="Times New Roman" w:hAnsi="Times New Roman" w:eastAsia="宋体" w:cs="Times New Roman"/>
                <w:color w:val="000000"/>
                <w:kern w:val="0"/>
                <w:sz w:val="24"/>
              </w:rPr>
              <w:t>，</w:t>
            </w:r>
            <w:r>
              <w:rPr>
                <w:rFonts w:hint="eastAsia" w:ascii="Times New Roman" w:hAnsi="Times New Roman" w:eastAsia="宋体" w:cs="Times New Roman"/>
                <w:color w:val="000000"/>
                <w:kern w:val="0"/>
                <w:sz w:val="24"/>
                <w:lang w:val="en-US" w:eastAsia="zh-CN"/>
              </w:rPr>
              <w:t>市政污水管网已铺设到项目区域西</w:t>
            </w:r>
            <w:r>
              <w:rPr>
                <w:rFonts w:hint="eastAsia" w:ascii="Times New Roman" w:hAnsi="Times New Roman" w:eastAsia="宋体" w:cs="Times New Roman"/>
                <w:color w:val="auto"/>
                <w:kern w:val="0"/>
                <w:sz w:val="24"/>
                <w:lang w:val="en-US" w:eastAsia="zh-CN"/>
              </w:rPr>
              <w:t>面</w:t>
            </w:r>
            <w:r>
              <w:rPr>
                <w:rFonts w:hint="eastAsia" w:ascii="Times New Roman" w:hAnsi="Times New Roman" w:eastAsia="宋体" w:cs="Times New Roman"/>
                <w:color w:val="auto"/>
                <w:kern w:val="0"/>
                <w:sz w:val="24"/>
              </w:rPr>
              <w:t>。</w:t>
            </w:r>
            <w:r>
              <w:rPr>
                <w:rFonts w:hint="eastAsia" w:cs="Times New Roman"/>
                <w:color w:val="auto"/>
                <w:kern w:val="0"/>
                <w:sz w:val="24"/>
                <w:u w:val="single"/>
                <w:lang w:val="en-US" w:eastAsia="zh-CN"/>
              </w:rPr>
              <w:t>污水管网走向为项目地——临海大道——果鹰大道——钦州港工业污水集中处理厂。</w:t>
            </w:r>
          </w:p>
          <w:p w14:paraId="2CDE4172">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②水质符合性</w:t>
            </w:r>
          </w:p>
          <w:p w14:paraId="452C8101">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color w:val="auto"/>
                <w:kern w:val="0"/>
                <w:sz w:val="24"/>
                <w:u w:val="none"/>
                <w:lang w:eastAsia="zh-CN"/>
              </w:rPr>
              <w:t>根据《</w:t>
            </w:r>
            <w:r>
              <w:rPr>
                <w:rFonts w:hint="eastAsia" w:ascii="Times New Roman" w:hAnsi="Times New Roman" w:eastAsia="宋体" w:cs="Times New Roman"/>
                <w:color w:val="auto"/>
                <w:kern w:val="0"/>
                <w:sz w:val="24"/>
                <w:lang w:eastAsia="zh-CN"/>
              </w:rPr>
              <w:t>广西钦州石化产业园总体发展规划（2020-2035）环境影响报告书</w:t>
            </w:r>
            <w:r>
              <w:rPr>
                <w:rFonts w:hint="eastAsia" w:ascii="Times New Roman" w:hAnsi="Times New Roman" w:eastAsia="宋体" w:cs="Times New Roman"/>
                <w:color w:val="auto"/>
                <w:kern w:val="0"/>
                <w:sz w:val="24"/>
                <w:u w:val="none"/>
                <w:lang w:eastAsia="zh-CN"/>
              </w:rPr>
              <w:t>》，“区内集中污水处理厂均需设定接纳污水水质标准，凡入区项目必须自行进行污水预处理，达到污水处理厂接纳污水水质要求后，才</w:t>
            </w:r>
            <w:r>
              <w:rPr>
                <w:rFonts w:hint="eastAsia" w:cs="Times New Roman"/>
                <w:color w:val="auto"/>
                <w:kern w:val="0"/>
                <w:sz w:val="24"/>
                <w:u w:val="none"/>
                <w:lang w:eastAsia="zh-CN"/>
              </w:rPr>
              <w:t>可以</w:t>
            </w:r>
            <w:r>
              <w:rPr>
                <w:rFonts w:hint="eastAsia" w:ascii="Times New Roman" w:hAnsi="Times New Roman" w:eastAsia="宋体" w:cs="Times New Roman"/>
                <w:color w:val="auto"/>
                <w:kern w:val="0"/>
                <w:sz w:val="24"/>
                <w:u w:val="none"/>
                <w:lang w:eastAsia="zh-CN"/>
              </w:rPr>
              <w:t>排入规划区的污水管道送入污水处理厂进一步处理”。</w:t>
            </w:r>
            <w:r>
              <w:rPr>
                <w:rFonts w:hint="eastAsia" w:ascii="Times New Roman" w:hAnsi="Times New Roman" w:eastAsia="宋体" w:cs="Times New Roman"/>
                <w:color w:val="auto"/>
                <w:kern w:val="0"/>
                <w:sz w:val="24"/>
                <w:u w:val="none"/>
                <w:lang w:val="en-US" w:eastAsia="zh-CN"/>
              </w:rPr>
              <w:t>初期雨水水质较为简单，主要污染物COD、SS，污染物产排浓度约为40mg/L、80mg/L</w:t>
            </w:r>
            <w:r>
              <w:rPr>
                <w:rFonts w:hint="eastAsia" w:ascii="Times New Roman" w:hAnsi="Times New Roman" w:eastAsia="宋体" w:cs="Times New Roman"/>
                <w:color w:val="auto"/>
                <w:kern w:val="0"/>
                <w:sz w:val="24"/>
              </w:rPr>
              <w:t>，可达到</w:t>
            </w:r>
            <w:r>
              <w:rPr>
                <w:rFonts w:hint="eastAsia" w:cs="Times New Roman"/>
                <w:color w:val="auto"/>
                <w:kern w:val="0"/>
                <w:sz w:val="24"/>
                <w:lang w:eastAsia="zh-CN"/>
              </w:rPr>
              <w:t>钦州港工业污水集中处理厂</w:t>
            </w:r>
            <w:r>
              <w:rPr>
                <w:rFonts w:hint="eastAsia" w:ascii="Times New Roman" w:hAnsi="Times New Roman" w:eastAsia="宋体" w:cs="Times New Roman"/>
                <w:color w:val="auto"/>
                <w:kern w:val="0"/>
                <w:sz w:val="24"/>
              </w:rPr>
              <w:t>进水水质要求</w:t>
            </w:r>
            <w:r>
              <w:rPr>
                <w:rFonts w:hint="eastAsia" w:cs="Times New Roman"/>
                <w:color w:val="auto"/>
                <w:kern w:val="0"/>
                <w:sz w:val="24"/>
                <w:lang w:eastAsia="zh-CN"/>
              </w:rPr>
              <w:t>，</w:t>
            </w:r>
            <w:r>
              <w:rPr>
                <w:rFonts w:hint="eastAsia" w:ascii="Times New Roman" w:hAnsi="Times New Roman" w:eastAsia="宋体" w:cs="Times New Roman"/>
                <w:color w:val="auto"/>
                <w:kern w:val="0"/>
                <w:sz w:val="24"/>
              </w:rPr>
              <w:t>项目排放的废水不影响污水处</w:t>
            </w:r>
            <w:r>
              <w:rPr>
                <w:rFonts w:hint="eastAsia" w:ascii="Times New Roman" w:hAnsi="Times New Roman" w:eastAsia="宋体" w:cs="Times New Roman"/>
                <w:kern w:val="0"/>
                <w:sz w:val="24"/>
              </w:rPr>
              <w:t>理厂的进水水质，不会对其运行负荷造成太大冲击。</w:t>
            </w:r>
          </w:p>
          <w:p w14:paraId="32493FCD">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③水量符合性</w:t>
            </w:r>
          </w:p>
          <w:p w14:paraId="0ED16426">
            <w:pPr>
              <w:pStyle w:val="6"/>
              <w:spacing w:line="500" w:lineRule="exact"/>
              <w:ind w:firstLine="480"/>
              <w:rPr>
                <w:rFonts w:hint="eastAsia" w:ascii="Times New Roman" w:hAnsi="Times New Roman" w:eastAsia="宋体" w:cs="Times New Roman"/>
                <w:color w:val="FF0000"/>
                <w:kern w:val="0"/>
                <w:sz w:val="24"/>
              </w:rPr>
            </w:pPr>
            <w:r>
              <w:rPr>
                <w:rFonts w:hint="eastAsia" w:ascii="Times New Roman" w:hAnsi="Times New Roman" w:eastAsia="宋体" w:cs="Times New Roman"/>
                <w:color w:val="000000"/>
                <w:kern w:val="0"/>
                <w:sz w:val="24"/>
                <w:lang w:eastAsia="zh-CN"/>
              </w:rPr>
              <w:t>钦州市</w:t>
            </w:r>
            <w:r>
              <w:rPr>
                <w:rFonts w:hint="eastAsia" w:cs="Times New Roman"/>
                <w:color w:val="000000"/>
                <w:kern w:val="0"/>
                <w:sz w:val="24"/>
                <w:lang w:eastAsia="zh-CN"/>
              </w:rPr>
              <w:t>钦州港工业污水集中处理厂</w:t>
            </w:r>
            <w:r>
              <w:rPr>
                <w:rFonts w:hint="eastAsia" w:ascii="Times New Roman" w:hAnsi="Times New Roman" w:eastAsia="宋体" w:cs="Times New Roman"/>
                <w:color w:val="000000"/>
                <w:kern w:val="0"/>
                <w:sz w:val="24"/>
                <w:lang w:eastAsia="zh-CN"/>
              </w:rPr>
              <w:t>位于钦州港经济开发区果鹰大道8号，服务范围为西港区66.67km</w:t>
            </w:r>
            <w:r>
              <w:rPr>
                <w:rFonts w:hint="eastAsia" w:ascii="Times New Roman" w:hAnsi="Times New Roman" w:eastAsia="宋体" w:cs="Times New Roman"/>
                <w:color w:val="000000"/>
                <w:kern w:val="0"/>
                <w:sz w:val="24"/>
                <w:vertAlign w:val="superscript"/>
                <w:lang w:eastAsia="zh-CN"/>
              </w:rPr>
              <w:t>2</w:t>
            </w:r>
            <w:r>
              <w:rPr>
                <w:rFonts w:hint="eastAsia" w:ascii="Times New Roman" w:hAnsi="Times New Roman" w:eastAsia="宋体" w:cs="Times New Roman"/>
                <w:color w:val="000000"/>
                <w:kern w:val="0"/>
                <w:sz w:val="24"/>
                <w:lang w:eastAsia="zh-CN"/>
              </w:rPr>
              <w:t>内的企业和居民。</w:t>
            </w:r>
            <w:r>
              <w:rPr>
                <w:rFonts w:hint="eastAsia" w:cs="Times New Roman"/>
                <w:color w:val="000000"/>
                <w:kern w:val="0"/>
                <w:sz w:val="24"/>
                <w:lang w:val="en-US" w:eastAsia="zh-CN"/>
              </w:rPr>
              <w:t>钦州港工业污水集中处理厂</w:t>
            </w:r>
            <w:r>
              <w:rPr>
                <w:rFonts w:hint="eastAsia" w:ascii="Times New Roman" w:hAnsi="Times New Roman" w:eastAsia="宋体" w:cs="Times New Roman"/>
                <w:color w:val="000000"/>
                <w:kern w:val="0"/>
                <w:sz w:val="24"/>
                <w:lang w:val="en-US" w:eastAsia="zh-CN"/>
              </w:rPr>
              <w:t>处理规模为1.</w:t>
            </w:r>
            <w:r>
              <w:rPr>
                <w:rFonts w:hint="eastAsia" w:ascii="Times New Roman" w:hAnsi="Times New Roman" w:eastAsia="宋体" w:cs="Times New Roman"/>
                <w:color w:val="000000"/>
                <w:kern w:val="0"/>
                <w:sz w:val="24"/>
                <w:lang w:eastAsia="zh-CN"/>
              </w:rPr>
              <w:t>5万m</w:t>
            </w:r>
            <w:r>
              <w:rPr>
                <w:rFonts w:hint="eastAsia" w:ascii="Times New Roman" w:hAnsi="Times New Roman" w:eastAsia="宋体" w:cs="Times New Roman"/>
                <w:color w:val="000000"/>
                <w:kern w:val="0"/>
                <w:sz w:val="24"/>
                <w:vertAlign w:val="superscript"/>
                <w:lang w:eastAsia="zh-CN"/>
              </w:rPr>
              <w:t>3</w:t>
            </w:r>
            <w:r>
              <w:rPr>
                <w:rFonts w:hint="eastAsia" w:ascii="Times New Roman" w:hAnsi="Times New Roman" w:eastAsia="宋体" w:cs="Times New Roman"/>
                <w:color w:val="000000"/>
                <w:kern w:val="0"/>
                <w:sz w:val="24"/>
                <w:lang w:eastAsia="zh-CN"/>
              </w:rPr>
              <w:t>/d，采用“缺氧+好氧+生物流化床”工艺，设计处理后出水达到《污水综合排放标准》（GB8978-1996）</w:t>
            </w:r>
            <w:r>
              <w:rPr>
                <w:rFonts w:hint="eastAsia" w:ascii="Times New Roman" w:hAnsi="Times New Roman" w:eastAsia="宋体" w:cs="Times New Roman"/>
                <w:color w:val="000000"/>
                <w:kern w:val="0"/>
                <w:sz w:val="24"/>
                <w:lang w:val="en-US" w:eastAsia="zh-CN"/>
              </w:rPr>
              <w:t>一级标准和</w:t>
            </w:r>
            <w:r>
              <w:rPr>
                <w:rFonts w:hint="eastAsia" w:ascii="Times New Roman" w:hAnsi="Times New Roman" w:eastAsia="宋体" w:cs="Times New Roman"/>
                <w:color w:val="000000"/>
                <w:kern w:val="0"/>
                <w:sz w:val="24"/>
                <w:lang w:eastAsia="zh-CN"/>
              </w:rPr>
              <w:t>《石油化学工业污染物排放标准》（GB 31571-2015）</w:t>
            </w:r>
            <w:r>
              <w:rPr>
                <w:rFonts w:hint="eastAsia" w:ascii="Times New Roman" w:hAnsi="Times New Roman" w:eastAsia="宋体" w:cs="Times New Roman"/>
                <w:color w:val="000000"/>
                <w:kern w:val="0"/>
                <w:sz w:val="24"/>
                <w:lang w:val="en-US" w:eastAsia="zh-CN"/>
              </w:rPr>
              <w:t>中最严标准</w:t>
            </w:r>
            <w:r>
              <w:rPr>
                <w:rFonts w:hint="eastAsia" w:ascii="Times New Roman" w:hAnsi="Times New Roman" w:eastAsia="宋体" w:cs="Times New Roman"/>
                <w:color w:val="000000"/>
                <w:kern w:val="0"/>
                <w:sz w:val="24"/>
                <w:lang w:eastAsia="zh-CN"/>
              </w:rPr>
              <w:t>，排放去向为钦州港金鼓江排污混合区（GX056DⅣ）（A</w:t>
            </w:r>
            <w:r>
              <w:rPr>
                <w:rFonts w:hint="eastAsia" w:ascii="Times New Roman" w:hAnsi="Times New Roman" w:eastAsia="宋体" w:cs="Times New Roman"/>
                <w:color w:val="000000"/>
                <w:kern w:val="0"/>
                <w:sz w:val="24"/>
                <w:lang w:val="en-US" w:eastAsia="zh-CN"/>
              </w:rPr>
              <w:t>1</w:t>
            </w:r>
            <w:r>
              <w:rPr>
                <w:rFonts w:hint="eastAsia" w:ascii="Times New Roman" w:hAnsi="Times New Roman" w:eastAsia="宋体" w:cs="Times New Roman"/>
                <w:color w:val="000000"/>
                <w:kern w:val="0"/>
                <w:sz w:val="24"/>
                <w:lang w:eastAsia="zh-CN"/>
              </w:rPr>
              <w:t>排放区）</w:t>
            </w:r>
            <w:r>
              <w:rPr>
                <w:rFonts w:hint="eastAsia" w:ascii="Times New Roman" w:hAnsi="Times New Roman" w:eastAsia="宋体" w:cs="Times New Roman"/>
                <w:color w:val="000000"/>
                <w:kern w:val="0"/>
                <w:sz w:val="24"/>
              </w:rPr>
              <w:t>。</w:t>
            </w:r>
          </w:p>
          <w:p w14:paraId="7693F47F">
            <w:pPr>
              <w:pStyle w:val="6"/>
              <w:spacing w:line="500" w:lineRule="exact"/>
              <w:ind w:firstLine="480"/>
              <w:rPr>
                <w:rFonts w:hint="eastAsia" w:ascii="Times New Roman" w:hAnsi="Times New Roman" w:eastAsia="宋体" w:cs="Times New Roman"/>
                <w:color w:val="auto"/>
                <w:kern w:val="0"/>
                <w:sz w:val="24"/>
                <w:u w:val="single"/>
              </w:rPr>
            </w:pPr>
            <w:r>
              <w:rPr>
                <w:rFonts w:hint="eastAsia" w:cs="Times New Roman"/>
                <w:color w:val="auto"/>
                <w:kern w:val="0"/>
                <w:sz w:val="24"/>
                <w:u w:val="single"/>
                <w:lang w:val="en-US" w:eastAsia="zh-CN"/>
              </w:rPr>
              <w:t>根据胜科水务有限公司《排污许可证执行报告（2024年年报）》，胜科污水处理厂现状平均处理水量为11410m</w:t>
            </w:r>
            <w:r>
              <w:rPr>
                <w:rFonts w:hint="eastAsia" w:cs="Times New Roman"/>
                <w:color w:val="auto"/>
                <w:kern w:val="0"/>
                <w:sz w:val="24"/>
                <w:u w:val="single"/>
                <w:vertAlign w:val="superscript"/>
                <w:lang w:val="en-US" w:eastAsia="zh-CN"/>
              </w:rPr>
              <w:t>3</w:t>
            </w:r>
            <w:r>
              <w:rPr>
                <w:rFonts w:hint="eastAsia" w:cs="Times New Roman"/>
                <w:color w:val="auto"/>
                <w:kern w:val="0"/>
                <w:sz w:val="24"/>
                <w:u w:val="single"/>
                <w:lang w:val="en-US" w:eastAsia="zh-CN"/>
              </w:rPr>
              <w:t>/d，设计污水处理能力为1.5万m</w:t>
            </w:r>
            <w:r>
              <w:rPr>
                <w:rFonts w:hint="eastAsia" w:cs="Times New Roman"/>
                <w:color w:val="auto"/>
                <w:kern w:val="0"/>
                <w:sz w:val="24"/>
                <w:u w:val="single"/>
                <w:vertAlign w:val="superscript"/>
                <w:lang w:val="en-US" w:eastAsia="zh-CN"/>
              </w:rPr>
              <w:t>3</w:t>
            </w:r>
            <w:r>
              <w:rPr>
                <w:rFonts w:hint="eastAsia" w:cs="Times New Roman"/>
                <w:color w:val="auto"/>
                <w:kern w:val="0"/>
                <w:sz w:val="24"/>
                <w:u w:val="single"/>
                <w:lang w:val="en-US" w:eastAsia="zh-CN"/>
              </w:rPr>
              <w:t>/d，富余废水处理量为3590m</w:t>
            </w:r>
            <w:r>
              <w:rPr>
                <w:rFonts w:hint="eastAsia" w:cs="Times New Roman"/>
                <w:color w:val="auto"/>
                <w:kern w:val="0"/>
                <w:sz w:val="24"/>
                <w:u w:val="single"/>
                <w:vertAlign w:val="superscript"/>
                <w:lang w:val="en-US" w:eastAsia="zh-CN"/>
              </w:rPr>
              <w:t>3</w:t>
            </w:r>
            <w:r>
              <w:rPr>
                <w:rFonts w:hint="eastAsia" w:cs="Times New Roman"/>
                <w:color w:val="auto"/>
                <w:kern w:val="0"/>
                <w:sz w:val="24"/>
                <w:u w:val="single"/>
                <w:lang w:val="en-US" w:eastAsia="zh-CN"/>
              </w:rPr>
              <w:t>/d，</w:t>
            </w:r>
            <w:r>
              <w:rPr>
                <w:rFonts w:hint="eastAsia" w:ascii="Times New Roman" w:hAnsi="Times New Roman" w:eastAsia="宋体" w:cs="Times New Roman"/>
                <w:color w:val="auto"/>
                <w:kern w:val="0"/>
                <w:sz w:val="24"/>
                <w:u w:val="single"/>
                <w:lang w:eastAsia="zh-CN"/>
              </w:rPr>
              <w:t>本项目</w:t>
            </w:r>
            <w:r>
              <w:rPr>
                <w:rFonts w:hint="eastAsia" w:cs="Times New Roman"/>
                <w:color w:val="auto"/>
                <w:kern w:val="0"/>
                <w:sz w:val="24"/>
                <w:u w:val="single"/>
                <w:lang w:val="en-US" w:eastAsia="zh-CN"/>
              </w:rPr>
              <w:t>初期雨水</w:t>
            </w:r>
            <w:r>
              <w:rPr>
                <w:rFonts w:hint="eastAsia" w:ascii="Times New Roman" w:hAnsi="Times New Roman" w:eastAsia="宋体" w:cs="Times New Roman"/>
                <w:color w:val="auto"/>
                <w:kern w:val="0"/>
                <w:sz w:val="24"/>
                <w:u w:val="single"/>
                <w:lang w:eastAsia="zh-CN"/>
              </w:rPr>
              <w:t>量为</w:t>
            </w:r>
            <w:r>
              <w:rPr>
                <w:rFonts w:hint="eastAsia" w:cs="Times New Roman"/>
                <w:color w:val="auto"/>
                <w:kern w:val="0"/>
                <w:sz w:val="24"/>
                <w:u w:val="single"/>
                <w:lang w:val="en-US" w:eastAsia="zh-CN"/>
              </w:rPr>
              <w:t>337</w:t>
            </w:r>
            <w:r>
              <w:rPr>
                <w:rFonts w:hint="eastAsia" w:ascii="Times New Roman" w:hAnsi="Times New Roman" w:eastAsia="宋体" w:cs="Times New Roman"/>
                <w:color w:val="auto"/>
                <w:kern w:val="0"/>
                <w:sz w:val="24"/>
                <w:u w:val="single"/>
                <w:lang w:val="en-US" w:eastAsia="zh-CN"/>
              </w:rPr>
              <w:t>m</w:t>
            </w:r>
            <w:r>
              <w:rPr>
                <w:rFonts w:hint="eastAsia" w:ascii="Times New Roman" w:hAnsi="Times New Roman" w:eastAsia="宋体" w:cs="Times New Roman"/>
                <w:color w:val="auto"/>
                <w:kern w:val="0"/>
                <w:sz w:val="24"/>
                <w:u w:val="single"/>
                <w:vertAlign w:val="superscript"/>
                <w:lang w:val="en-US" w:eastAsia="zh-CN"/>
              </w:rPr>
              <w:t>3</w:t>
            </w:r>
            <w:r>
              <w:rPr>
                <w:rFonts w:hint="eastAsia" w:ascii="Times New Roman" w:hAnsi="Times New Roman" w:eastAsia="宋体" w:cs="Times New Roman"/>
                <w:color w:val="auto"/>
                <w:kern w:val="0"/>
                <w:sz w:val="24"/>
                <w:u w:val="single"/>
                <w:lang w:val="en-US" w:eastAsia="zh-CN"/>
              </w:rPr>
              <w:t>/</w:t>
            </w:r>
            <w:r>
              <w:rPr>
                <w:rFonts w:hint="eastAsia" w:cs="Times New Roman"/>
                <w:color w:val="auto"/>
                <w:kern w:val="0"/>
                <w:sz w:val="24"/>
                <w:u w:val="single"/>
                <w:lang w:val="en-US" w:eastAsia="zh-CN"/>
              </w:rPr>
              <w:t>次</w:t>
            </w:r>
            <w:r>
              <w:rPr>
                <w:rFonts w:hint="eastAsia" w:ascii="Times New Roman" w:hAnsi="Times New Roman" w:eastAsia="宋体" w:cs="Times New Roman"/>
                <w:color w:val="auto"/>
                <w:kern w:val="0"/>
                <w:sz w:val="24"/>
                <w:u w:val="single"/>
                <w:lang w:val="en-US" w:eastAsia="zh-CN"/>
              </w:rPr>
              <w:t>，占污水处理厂</w:t>
            </w:r>
            <w:r>
              <w:rPr>
                <w:rFonts w:hint="eastAsia" w:cs="Times New Roman"/>
                <w:color w:val="auto"/>
                <w:kern w:val="0"/>
                <w:sz w:val="24"/>
                <w:u w:val="single"/>
                <w:lang w:val="en-US" w:eastAsia="zh-CN"/>
              </w:rPr>
              <w:t>富余水处理量的9.39</w:t>
            </w:r>
            <w:r>
              <w:rPr>
                <w:rFonts w:hint="eastAsia" w:ascii="Times New Roman" w:hAnsi="Times New Roman" w:eastAsia="宋体" w:cs="Times New Roman"/>
                <w:color w:val="auto"/>
                <w:kern w:val="0"/>
                <w:sz w:val="24"/>
                <w:u w:val="single"/>
                <w:lang w:val="en-US" w:eastAsia="zh-CN"/>
              </w:rPr>
              <w:t>%，</w:t>
            </w:r>
            <w:r>
              <w:rPr>
                <w:rFonts w:hint="eastAsia" w:cs="Times New Roman"/>
                <w:color w:val="auto"/>
                <w:kern w:val="0"/>
                <w:sz w:val="24"/>
                <w:u w:val="single"/>
                <w:lang w:eastAsia="zh-CN"/>
              </w:rPr>
              <w:t>钦州港工业污水集中处理厂</w:t>
            </w:r>
            <w:r>
              <w:rPr>
                <w:rFonts w:hint="eastAsia" w:ascii="Times New Roman" w:hAnsi="Times New Roman" w:eastAsia="宋体" w:cs="Times New Roman"/>
                <w:color w:val="auto"/>
                <w:kern w:val="0"/>
                <w:sz w:val="24"/>
                <w:u w:val="single"/>
              </w:rPr>
              <w:t>完全能容纳该项目废水。</w:t>
            </w:r>
          </w:p>
          <w:p w14:paraId="7DEF04B7">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④小结</w:t>
            </w:r>
          </w:p>
          <w:p w14:paraId="382B663F">
            <w:pPr>
              <w:pStyle w:val="6"/>
              <w:spacing w:line="500" w:lineRule="exact"/>
              <w:ind w:firstLine="480"/>
              <w:rPr>
                <w:rFonts w:hint="eastAsia" w:ascii="Times New Roman" w:hAnsi="Times New Roman" w:eastAsia="宋体" w:cs="Times New Roman"/>
                <w:color w:val="auto"/>
                <w:kern w:val="0"/>
                <w:sz w:val="24"/>
              </w:rPr>
            </w:pPr>
            <w:r>
              <w:rPr>
                <w:rFonts w:hint="eastAsia" w:ascii="Times New Roman" w:hAnsi="Times New Roman" w:eastAsia="宋体" w:cs="Times New Roman"/>
                <w:kern w:val="0"/>
                <w:sz w:val="24"/>
              </w:rPr>
              <w:t>综上所述，</w:t>
            </w:r>
            <w:r>
              <w:rPr>
                <w:rFonts w:hint="eastAsia" w:ascii="Times New Roman" w:hAnsi="Times New Roman" w:eastAsia="宋体" w:cs="Times New Roman"/>
                <w:color w:val="auto"/>
                <w:kern w:val="0"/>
                <w:sz w:val="24"/>
              </w:rPr>
              <w:t>从管网配套建设、污水处理厂容量、废水水质各方面分析，本项目</w:t>
            </w:r>
            <w:r>
              <w:rPr>
                <w:rFonts w:hint="eastAsia" w:ascii="Times New Roman" w:hAnsi="Times New Roman" w:eastAsia="宋体" w:cs="Times New Roman"/>
                <w:color w:val="auto"/>
                <w:kern w:val="0"/>
                <w:sz w:val="24"/>
                <w:u w:val="none"/>
                <w:lang w:val="en-US" w:eastAsia="zh-CN"/>
              </w:rPr>
              <w:t>初期雨水水质较为简单，经初期雨水收集后可满足</w:t>
            </w:r>
            <w:r>
              <w:rPr>
                <w:rFonts w:hint="eastAsia" w:cs="Times New Roman"/>
                <w:color w:val="auto"/>
                <w:kern w:val="0"/>
                <w:sz w:val="24"/>
                <w:u w:val="none"/>
                <w:lang w:val="en-US" w:eastAsia="zh-CN"/>
              </w:rPr>
              <w:t>钦州港工业污水集中处理厂</w:t>
            </w:r>
            <w:r>
              <w:rPr>
                <w:rFonts w:hint="eastAsia" w:ascii="Times New Roman" w:hAnsi="Times New Roman" w:eastAsia="宋体" w:cs="Times New Roman"/>
                <w:color w:val="auto"/>
                <w:kern w:val="0"/>
                <w:sz w:val="24"/>
                <w:u w:val="none"/>
                <w:lang w:val="en-US" w:eastAsia="zh-CN"/>
              </w:rPr>
              <w:t>进水水质</w:t>
            </w:r>
            <w:r>
              <w:rPr>
                <w:rFonts w:hint="eastAsia" w:cs="Times New Roman"/>
                <w:color w:val="auto"/>
                <w:kern w:val="0"/>
                <w:sz w:val="24"/>
                <w:u w:val="none"/>
                <w:lang w:val="en-US" w:eastAsia="zh-CN"/>
              </w:rPr>
              <w:t>要求</w:t>
            </w:r>
            <w:r>
              <w:rPr>
                <w:rFonts w:hint="eastAsia" w:ascii="Times New Roman" w:hAnsi="Times New Roman" w:eastAsia="宋体" w:cs="Times New Roman"/>
                <w:color w:val="auto"/>
                <w:kern w:val="0"/>
                <w:sz w:val="24"/>
                <w:u w:val="none"/>
                <w:lang w:val="en-US" w:eastAsia="zh-CN"/>
              </w:rPr>
              <w:t>，</w:t>
            </w:r>
            <w:r>
              <w:rPr>
                <w:rFonts w:hint="eastAsia" w:ascii="Times New Roman" w:hAnsi="Times New Roman" w:eastAsia="宋体" w:cs="Times New Roman"/>
                <w:color w:val="auto"/>
                <w:kern w:val="0"/>
                <w:sz w:val="24"/>
                <w:u w:val="none"/>
              </w:rPr>
              <w:t>可</w:t>
            </w:r>
            <w:r>
              <w:rPr>
                <w:rFonts w:hint="eastAsia" w:ascii="Times New Roman" w:hAnsi="Times New Roman" w:eastAsia="宋体" w:cs="Times New Roman"/>
                <w:color w:val="auto"/>
                <w:kern w:val="0"/>
                <w:sz w:val="24"/>
                <w:u w:val="none"/>
                <w:lang w:val="en-US" w:eastAsia="zh-CN"/>
              </w:rPr>
              <w:t>排至</w:t>
            </w:r>
            <w:r>
              <w:rPr>
                <w:rFonts w:hint="eastAsia" w:cs="Times New Roman"/>
                <w:color w:val="auto"/>
                <w:kern w:val="0"/>
                <w:sz w:val="24"/>
                <w:u w:val="none"/>
                <w:lang w:val="en-US" w:eastAsia="zh-CN"/>
              </w:rPr>
              <w:t>钦州港工业污水集中处理厂</w:t>
            </w:r>
            <w:r>
              <w:rPr>
                <w:rFonts w:hint="eastAsia" w:ascii="Times New Roman" w:hAnsi="Times New Roman" w:eastAsia="宋体" w:cs="Times New Roman"/>
                <w:color w:val="auto"/>
                <w:kern w:val="0"/>
                <w:sz w:val="24"/>
                <w:u w:val="none"/>
              </w:rPr>
              <w:t>处理，对周边水环境影响不大。</w:t>
            </w:r>
          </w:p>
          <w:p w14:paraId="3425199D">
            <w:pPr>
              <w:adjustRightInd w:val="0"/>
              <w:snapToGrid w:val="0"/>
              <w:spacing w:line="500" w:lineRule="exact"/>
              <w:rPr>
                <w:rFonts w:hint="eastAsia"/>
                <w:b/>
                <w:sz w:val="24"/>
                <w:u w:val="none"/>
                <w:lang w:val="zh-CN"/>
              </w:rPr>
            </w:pPr>
            <w:r>
              <w:rPr>
                <w:rFonts w:hint="eastAsia"/>
                <w:b/>
                <w:bCs/>
                <w:spacing w:val="-10"/>
                <w:sz w:val="24"/>
                <w:u w:val="none"/>
              </w:rPr>
              <w:t>2.4排放口基本情况</w:t>
            </w:r>
          </w:p>
          <w:p w14:paraId="53CAE917">
            <w:pPr>
              <w:spacing w:line="360" w:lineRule="exact"/>
              <w:jc w:val="center"/>
              <w:rPr>
                <w:rFonts w:hint="eastAsia"/>
                <w:b/>
                <w:sz w:val="24"/>
                <w:u w:val="none"/>
                <w:lang w:val="zh-CN"/>
              </w:rPr>
            </w:pPr>
            <w:r>
              <w:rPr>
                <w:rFonts w:hint="eastAsia"/>
                <w:b/>
                <w:sz w:val="24"/>
                <w:u w:val="none"/>
                <w:lang w:val="zh-CN"/>
              </w:rPr>
              <w:t>表</w:t>
            </w:r>
            <w:r>
              <w:rPr>
                <w:rFonts w:hint="eastAsia"/>
                <w:b/>
                <w:sz w:val="24"/>
                <w:u w:val="none"/>
              </w:rPr>
              <w:t>4-</w:t>
            </w:r>
            <w:r>
              <w:rPr>
                <w:rFonts w:hint="eastAsia"/>
                <w:b/>
                <w:sz w:val="24"/>
                <w:u w:val="none"/>
                <w:lang w:val="en-US" w:eastAsia="zh-CN"/>
              </w:rPr>
              <w:t>7</w:t>
            </w:r>
            <w:r>
              <w:rPr>
                <w:rFonts w:hint="eastAsia"/>
                <w:b/>
                <w:sz w:val="24"/>
                <w:u w:val="none"/>
              </w:rPr>
              <w:t xml:space="preserve"> </w:t>
            </w:r>
            <w:r>
              <w:rPr>
                <w:rFonts w:hint="eastAsia"/>
                <w:b/>
                <w:sz w:val="24"/>
                <w:u w:val="none"/>
                <w:lang w:val="zh-CN"/>
              </w:rPr>
              <w:t>废水类别、污染物及污染治理设施信息表</w:t>
            </w:r>
          </w:p>
          <w:tbl>
            <w:tblPr>
              <w:tblStyle w:val="19"/>
              <w:tblpPr w:leftFromText="180" w:rightFromText="180" w:vertAnchor="text" w:horzAnchor="margin" w:tblpY="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32"/>
              <w:gridCol w:w="1019"/>
              <w:gridCol w:w="582"/>
              <w:gridCol w:w="636"/>
              <w:gridCol w:w="576"/>
              <w:gridCol w:w="714"/>
              <w:gridCol w:w="718"/>
              <w:gridCol w:w="881"/>
              <w:gridCol w:w="848"/>
              <w:gridCol w:w="1423"/>
            </w:tblGrid>
            <w:tr w14:paraId="737F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20C5CC67">
                  <w:pPr>
                    <w:adjustRightInd w:val="0"/>
                    <w:snapToGrid w:val="0"/>
                    <w:spacing w:line="240" w:lineRule="exact"/>
                    <w:jc w:val="center"/>
                    <w:rPr>
                      <w:szCs w:val="21"/>
                    </w:rPr>
                  </w:pPr>
                  <w:r>
                    <w:rPr>
                      <w:szCs w:val="21"/>
                    </w:rPr>
                    <w:t>序号</w:t>
                  </w:r>
                </w:p>
              </w:tc>
              <w:tc>
                <w:tcPr>
                  <w:tcW w:w="632" w:type="dxa"/>
                  <w:vMerge w:val="restart"/>
                  <w:tcBorders>
                    <w:top w:val="single" w:color="auto" w:sz="4" w:space="0"/>
                    <w:left w:val="single" w:color="auto" w:sz="4" w:space="0"/>
                    <w:bottom w:val="single" w:color="auto" w:sz="4" w:space="0"/>
                    <w:right w:val="single" w:color="auto" w:sz="4" w:space="0"/>
                  </w:tcBorders>
                  <w:noWrap w:val="0"/>
                  <w:vAlign w:val="center"/>
                </w:tcPr>
                <w:p w14:paraId="6C398429">
                  <w:pPr>
                    <w:adjustRightInd w:val="0"/>
                    <w:snapToGrid w:val="0"/>
                    <w:spacing w:line="240" w:lineRule="exact"/>
                    <w:jc w:val="center"/>
                    <w:rPr>
                      <w:szCs w:val="21"/>
                    </w:rPr>
                  </w:pPr>
                  <w:r>
                    <w:rPr>
                      <w:szCs w:val="21"/>
                    </w:rPr>
                    <w:t>废水类别</w:t>
                  </w:r>
                  <w:r>
                    <w:rPr>
                      <w:szCs w:val="21"/>
                      <w:vertAlign w:val="superscript"/>
                    </w:rPr>
                    <w:t>（a）</w:t>
                  </w:r>
                </w:p>
              </w:tc>
              <w:tc>
                <w:tcPr>
                  <w:tcW w:w="1019" w:type="dxa"/>
                  <w:vMerge w:val="restart"/>
                  <w:tcBorders>
                    <w:top w:val="single" w:color="auto" w:sz="4" w:space="0"/>
                    <w:left w:val="single" w:color="auto" w:sz="4" w:space="0"/>
                    <w:bottom w:val="single" w:color="auto" w:sz="4" w:space="0"/>
                    <w:right w:val="single" w:color="auto" w:sz="4" w:space="0"/>
                  </w:tcBorders>
                  <w:noWrap w:val="0"/>
                  <w:vAlign w:val="center"/>
                </w:tcPr>
                <w:p w14:paraId="12B94EF9">
                  <w:pPr>
                    <w:adjustRightInd w:val="0"/>
                    <w:snapToGrid w:val="0"/>
                    <w:spacing w:line="240" w:lineRule="exact"/>
                    <w:jc w:val="center"/>
                    <w:rPr>
                      <w:szCs w:val="21"/>
                    </w:rPr>
                  </w:pPr>
                  <w:r>
                    <w:rPr>
                      <w:szCs w:val="21"/>
                    </w:rPr>
                    <w:t>污染物种类</w:t>
                  </w:r>
                  <w:r>
                    <w:rPr>
                      <w:szCs w:val="21"/>
                      <w:vertAlign w:val="superscript"/>
                    </w:rPr>
                    <w:t>（b）</w:t>
                  </w:r>
                </w:p>
              </w:tc>
              <w:tc>
                <w:tcPr>
                  <w:tcW w:w="582" w:type="dxa"/>
                  <w:vMerge w:val="restart"/>
                  <w:tcBorders>
                    <w:top w:val="single" w:color="auto" w:sz="4" w:space="0"/>
                    <w:left w:val="single" w:color="auto" w:sz="4" w:space="0"/>
                    <w:bottom w:val="single" w:color="auto" w:sz="4" w:space="0"/>
                    <w:right w:val="single" w:color="auto" w:sz="4" w:space="0"/>
                  </w:tcBorders>
                  <w:noWrap w:val="0"/>
                  <w:vAlign w:val="center"/>
                </w:tcPr>
                <w:p w14:paraId="42EB4D4D">
                  <w:pPr>
                    <w:adjustRightInd w:val="0"/>
                    <w:snapToGrid w:val="0"/>
                    <w:spacing w:line="240" w:lineRule="exact"/>
                    <w:jc w:val="center"/>
                    <w:rPr>
                      <w:szCs w:val="21"/>
                    </w:rPr>
                  </w:pPr>
                  <w:r>
                    <w:rPr>
                      <w:szCs w:val="21"/>
                    </w:rPr>
                    <w:t>排放去向</w:t>
                  </w:r>
                  <w:r>
                    <w:rPr>
                      <w:szCs w:val="21"/>
                      <w:vertAlign w:val="superscript"/>
                    </w:rPr>
                    <w:t>（c）</w:t>
                  </w:r>
                </w:p>
              </w:tc>
              <w:tc>
                <w:tcPr>
                  <w:tcW w:w="636" w:type="dxa"/>
                  <w:vMerge w:val="restart"/>
                  <w:tcBorders>
                    <w:top w:val="single" w:color="auto" w:sz="4" w:space="0"/>
                    <w:left w:val="single" w:color="auto" w:sz="4" w:space="0"/>
                    <w:bottom w:val="single" w:color="auto" w:sz="4" w:space="0"/>
                    <w:right w:val="single" w:color="auto" w:sz="4" w:space="0"/>
                  </w:tcBorders>
                  <w:noWrap w:val="0"/>
                  <w:vAlign w:val="center"/>
                </w:tcPr>
                <w:p w14:paraId="51B658B7">
                  <w:pPr>
                    <w:adjustRightInd w:val="0"/>
                    <w:snapToGrid w:val="0"/>
                    <w:spacing w:line="240" w:lineRule="exact"/>
                    <w:jc w:val="center"/>
                    <w:rPr>
                      <w:szCs w:val="21"/>
                    </w:rPr>
                  </w:pPr>
                  <w:r>
                    <w:rPr>
                      <w:szCs w:val="21"/>
                    </w:rPr>
                    <w:t>排放规律</w:t>
                  </w:r>
                  <w:r>
                    <w:rPr>
                      <w:szCs w:val="21"/>
                      <w:vertAlign w:val="superscript"/>
                    </w:rPr>
                    <w:t>（d）</w:t>
                  </w:r>
                </w:p>
              </w:tc>
              <w:tc>
                <w:tcPr>
                  <w:tcW w:w="2008" w:type="dxa"/>
                  <w:gridSpan w:val="3"/>
                  <w:tcBorders>
                    <w:top w:val="single" w:color="auto" w:sz="4" w:space="0"/>
                    <w:left w:val="single" w:color="auto" w:sz="4" w:space="0"/>
                    <w:bottom w:val="single" w:color="auto" w:sz="4" w:space="0"/>
                    <w:right w:val="single" w:color="auto" w:sz="4" w:space="0"/>
                  </w:tcBorders>
                  <w:noWrap w:val="0"/>
                  <w:vAlign w:val="center"/>
                </w:tcPr>
                <w:p w14:paraId="52A57563">
                  <w:pPr>
                    <w:adjustRightInd w:val="0"/>
                    <w:snapToGrid w:val="0"/>
                    <w:spacing w:line="240" w:lineRule="exact"/>
                    <w:jc w:val="center"/>
                    <w:rPr>
                      <w:szCs w:val="21"/>
                    </w:rPr>
                  </w:pPr>
                  <w:r>
                    <w:rPr>
                      <w:szCs w:val="21"/>
                    </w:rPr>
                    <w:t>污染治理设施</w:t>
                  </w:r>
                </w:p>
              </w:tc>
              <w:tc>
                <w:tcPr>
                  <w:tcW w:w="881" w:type="dxa"/>
                  <w:vMerge w:val="restart"/>
                  <w:tcBorders>
                    <w:top w:val="single" w:color="auto" w:sz="4" w:space="0"/>
                    <w:left w:val="single" w:color="auto" w:sz="4" w:space="0"/>
                    <w:bottom w:val="single" w:color="auto" w:sz="4" w:space="0"/>
                    <w:right w:val="single" w:color="auto" w:sz="4" w:space="0"/>
                  </w:tcBorders>
                  <w:noWrap w:val="0"/>
                  <w:vAlign w:val="center"/>
                </w:tcPr>
                <w:p w14:paraId="16BC498E">
                  <w:pPr>
                    <w:adjustRightInd w:val="0"/>
                    <w:snapToGrid w:val="0"/>
                    <w:spacing w:line="240" w:lineRule="exact"/>
                    <w:jc w:val="center"/>
                    <w:rPr>
                      <w:szCs w:val="21"/>
                    </w:rPr>
                  </w:pPr>
                  <w:r>
                    <w:rPr>
                      <w:szCs w:val="21"/>
                    </w:rPr>
                    <w:t>排放口编号</w:t>
                  </w:r>
                  <w:r>
                    <w:rPr>
                      <w:szCs w:val="21"/>
                      <w:vertAlign w:val="superscript"/>
                    </w:rPr>
                    <w:t>（f）</w:t>
                  </w:r>
                </w:p>
              </w:tc>
              <w:tc>
                <w:tcPr>
                  <w:tcW w:w="848" w:type="dxa"/>
                  <w:vMerge w:val="restart"/>
                  <w:tcBorders>
                    <w:top w:val="single" w:color="auto" w:sz="4" w:space="0"/>
                    <w:left w:val="single" w:color="auto" w:sz="4" w:space="0"/>
                    <w:bottom w:val="single" w:color="auto" w:sz="4" w:space="0"/>
                    <w:right w:val="single" w:color="auto" w:sz="4" w:space="0"/>
                  </w:tcBorders>
                  <w:noWrap w:val="0"/>
                  <w:vAlign w:val="center"/>
                </w:tcPr>
                <w:p w14:paraId="41E695EB">
                  <w:pPr>
                    <w:adjustRightInd w:val="0"/>
                    <w:snapToGrid w:val="0"/>
                    <w:spacing w:line="240" w:lineRule="exact"/>
                    <w:jc w:val="center"/>
                    <w:rPr>
                      <w:szCs w:val="21"/>
                    </w:rPr>
                  </w:pPr>
                  <w:r>
                    <w:rPr>
                      <w:szCs w:val="21"/>
                    </w:rPr>
                    <w:t>排放口设置是否符合要求</w:t>
                  </w:r>
                  <w:r>
                    <w:rPr>
                      <w:szCs w:val="21"/>
                      <w:vertAlign w:val="superscript"/>
                    </w:rPr>
                    <w:t>（g）</w:t>
                  </w:r>
                </w:p>
              </w:tc>
              <w:tc>
                <w:tcPr>
                  <w:tcW w:w="1423" w:type="dxa"/>
                  <w:vMerge w:val="restart"/>
                  <w:tcBorders>
                    <w:top w:val="single" w:color="auto" w:sz="4" w:space="0"/>
                    <w:left w:val="single" w:color="auto" w:sz="4" w:space="0"/>
                    <w:bottom w:val="single" w:color="auto" w:sz="4" w:space="0"/>
                    <w:right w:val="single" w:color="auto" w:sz="4" w:space="0"/>
                  </w:tcBorders>
                  <w:noWrap w:val="0"/>
                  <w:vAlign w:val="center"/>
                </w:tcPr>
                <w:p w14:paraId="3615F702">
                  <w:pPr>
                    <w:adjustRightInd w:val="0"/>
                    <w:snapToGrid w:val="0"/>
                    <w:spacing w:line="240" w:lineRule="exact"/>
                    <w:jc w:val="center"/>
                    <w:rPr>
                      <w:szCs w:val="21"/>
                    </w:rPr>
                  </w:pPr>
                  <w:r>
                    <w:rPr>
                      <w:szCs w:val="21"/>
                    </w:rPr>
                    <w:t>排放口类型</w:t>
                  </w:r>
                </w:p>
              </w:tc>
            </w:tr>
            <w:tr w14:paraId="0698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40F25778">
                  <w:pPr>
                    <w:adjustRightInd w:val="0"/>
                    <w:snapToGrid w:val="0"/>
                    <w:spacing w:line="240" w:lineRule="exact"/>
                    <w:jc w:val="center"/>
                    <w:rPr>
                      <w:szCs w:val="21"/>
                    </w:rPr>
                  </w:pPr>
                </w:p>
              </w:tc>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143D327B">
                  <w:pPr>
                    <w:adjustRightInd w:val="0"/>
                    <w:snapToGrid w:val="0"/>
                    <w:spacing w:line="240" w:lineRule="exact"/>
                    <w:jc w:val="center"/>
                    <w:rPr>
                      <w:szCs w:val="21"/>
                    </w:rPr>
                  </w:pPr>
                </w:p>
              </w:tc>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2B21D926">
                  <w:pPr>
                    <w:adjustRightInd w:val="0"/>
                    <w:snapToGrid w:val="0"/>
                    <w:spacing w:line="240" w:lineRule="exact"/>
                    <w:jc w:val="center"/>
                    <w:rPr>
                      <w:szCs w:val="21"/>
                    </w:rPr>
                  </w:pPr>
                </w:p>
              </w:tc>
              <w:tc>
                <w:tcPr>
                  <w:tcW w:w="582" w:type="dxa"/>
                  <w:vMerge w:val="continue"/>
                  <w:tcBorders>
                    <w:top w:val="single" w:color="auto" w:sz="4" w:space="0"/>
                    <w:left w:val="single" w:color="auto" w:sz="4" w:space="0"/>
                    <w:bottom w:val="single" w:color="auto" w:sz="4" w:space="0"/>
                    <w:right w:val="single" w:color="auto" w:sz="4" w:space="0"/>
                  </w:tcBorders>
                  <w:noWrap w:val="0"/>
                  <w:vAlign w:val="center"/>
                </w:tcPr>
                <w:p w14:paraId="1D283646">
                  <w:pPr>
                    <w:adjustRightInd w:val="0"/>
                    <w:snapToGrid w:val="0"/>
                    <w:spacing w:line="240" w:lineRule="exact"/>
                    <w:jc w:val="center"/>
                    <w:rPr>
                      <w:szCs w:val="21"/>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55D5000">
                  <w:pPr>
                    <w:adjustRightInd w:val="0"/>
                    <w:snapToGrid w:val="0"/>
                    <w:spacing w:line="240" w:lineRule="exact"/>
                    <w:jc w:val="center"/>
                    <w:rPr>
                      <w:szCs w:val="21"/>
                    </w:rPr>
                  </w:pPr>
                </w:p>
              </w:tc>
              <w:tc>
                <w:tcPr>
                  <w:tcW w:w="576" w:type="dxa"/>
                  <w:tcBorders>
                    <w:top w:val="single" w:color="auto" w:sz="4" w:space="0"/>
                    <w:left w:val="single" w:color="auto" w:sz="4" w:space="0"/>
                    <w:bottom w:val="single" w:color="auto" w:sz="4" w:space="0"/>
                    <w:right w:val="single" w:color="auto" w:sz="4" w:space="0"/>
                  </w:tcBorders>
                  <w:noWrap w:val="0"/>
                  <w:vAlign w:val="center"/>
                </w:tcPr>
                <w:p w14:paraId="645DF2C1">
                  <w:pPr>
                    <w:adjustRightInd w:val="0"/>
                    <w:snapToGrid w:val="0"/>
                    <w:spacing w:line="240" w:lineRule="exact"/>
                    <w:jc w:val="center"/>
                    <w:rPr>
                      <w:szCs w:val="21"/>
                    </w:rPr>
                  </w:pPr>
                  <w:r>
                    <w:rPr>
                      <w:szCs w:val="21"/>
                    </w:rPr>
                    <w:t>污染治理</w:t>
                  </w:r>
                </w:p>
                <w:p w14:paraId="5268FD3C">
                  <w:pPr>
                    <w:adjustRightInd w:val="0"/>
                    <w:snapToGrid w:val="0"/>
                    <w:spacing w:line="240" w:lineRule="exact"/>
                    <w:jc w:val="center"/>
                    <w:rPr>
                      <w:szCs w:val="21"/>
                    </w:rPr>
                  </w:pPr>
                  <w:r>
                    <w:rPr>
                      <w:szCs w:val="21"/>
                    </w:rPr>
                    <w:t>设施编号</w:t>
                  </w:r>
                </w:p>
              </w:tc>
              <w:tc>
                <w:tcPr>
                  <w:tcW w:w="714" w:type="dxa"/>
                  <w:tcBorders>
                    <w:top w:val="single" w:color="auto" w:sz="4" w:space="0"/>
                    <w:left w:val="single" w:color="auto" w:sz="4" w:space="0"/>
                    <w:bottom w:val="single" w:color="auto" w:sz="4" w:space="0"/>
                    <w:right w:val="single" w:color="auto" w:sz="4" w:space="0"/>
                  </w:tcBorders>
                  <w:noWrap w:val="0"/>
                  <w:vAlign w:val="center"/>
                </w:tcPr>
                <w:p w14:paraId="7ADF31E6">
                  <w:pPr>
                    <w:adjustRightInd w:val="0"/>
                    <w:snapToGrid w:val="0"/>
                    <w:spacing w:line="240" w:lineRule="exact"/>
                    <w:jc w:val="center"/>
                    <w:rPr>
                      <w:szCs w:val="21"/>
                    </w:rPr>
                  </w:pPr>
                  <w:r>
                    <w:rPr>
                      <w:szCs w:val="21"/>
                    </w:rPr>
                    <w:t>污染治理设施名称</w:t>
                  </w:r>
                  <w:r>
                    <w:rPr>
                      <w:szCs w:val="21"/>
                      <w:vertAlign w:val="superscript"/>
                    </w:rPr>
                    <w:t>（e）</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40627EE3">
                  <w:pPr>
                    <w:adjustRightInd w:val="0"/>
                    <w:snapToGrid w:val="0"/>
                    <w:spacing w:line="240" w:lineRule="exact"/>
                    <w:jc w:val="center"/>
                    <w:rPr>
                      <w:szCs w:val="21"/>
                    </w:rPr>
                  </w:pPr>
                  <w:r>
                    <w:rPr>
                      <w:szCs w:val="21"/>
                    </w:rPr>
                    <w:t>污染治理设施工艺</w:t>
                  </w:r>
                </w:p>
              </w:tc>
              <w:tc>
                <w:tcPr>
                  <w:tcW w:w="881" w:type="dxa"/>
                  <w:vMerge w:val="continue"/>
                  <w:tcBorders>
                    <w:top w:val="single" w:color="auto" w:sz="4" w:space="0"/>
                    <w:left w:val="single" w:color="auto" w:sz="4" w:space="0"/>
                    <w:bottom w:val="single" w:color="auto" w:sz="4" w:space="0"/>
                    <w:right w:val="single" w:color="auto" w:sz="4" w:space="0"/>
                  </w:tcBorders>
                  <w:noWrap w:val="0"/>
                  <w:vAlign w:val="center"/>
                </w:tcPr>
                <w:p w14:paraId="2FE069E7">
                  <w:pPr>
                    <w:adjustRightInd w:val="0"/>
                    <w:snapToGrid w:val="0"/>
                    <w:spacing w:line="240" w:lineRule="exact"/>
                    <w:jc w:val="center"/>
                    <w:rPr>
                      <w:szCs w:val="21"/>
                    </w:rPr>
                  </w:pPr>
                </w:p>
              </w:tc>
              <w:tc>
                <w:tcPr>
                  <w:tcW w:w="848" w:type="dxa"/>
                  <w:vMerge w:val="continue"/>
                  <w:tcBorders>
                    <w:top w:val="single" w:color="auto" w:sz="4" w:space="0"/>
                    <w:left w:val="single" w:color="auto" w:sz="4" w:space="0"/>
                    <w:bottom w:val="single" w:color="auto" w:sz="4" w:space="0"/>
                    <w:right w:val="single" w:color="auto" w:sz="4" w:space="0"/>
                  </w:tcBorders>
                  <w:noWrap w:val="0"/>
                  <w:vAlign w:val="center"/>
                </w:tcPr>
                <w:p w14:paraId="7FC119D0">
                  <w:pPr>
                    <w:adjustRightInd w:val="0"/>
                    <w:snapToGrid w:val="0"/>
                    <w:spacing w:line="240" w:lineRule="exact"/>
                    <w:jc w:val="center"/>
                    <w:rPr>
                      <w:szCs w:val="21"/>
                    </w:rPr>
                  </w:pPr>
                </w:p>
              </w:tc>
              <w:tc>
                <w:tcPr>
                  <w:tcW w:w="1423" w:type="dxa"/>
                  <w:vMerge w:val="continue"/>
                  <w:tcBorders>
                    <w:top w:val="single" w:color="auto" w:sz="4" w:space="0"/>
                    <w:left w:val="single" w:color="auto" w:sz="4" w:space="0"/>
                    <w:bottom w:val="single" w:color="auto" w:sz="4" w:space="0"/>
                    <w:right w:val="single" w:color="auto" w:sz="4" w:space="0"/>
                  </w:tcBorders>
                  <w:noWrap w:val="0"/>
                  <w:vAlign w:val="center"/>
                </w:tcPr>
                <w:p w14:paraId="6D1E1474">
                  <w:pPr>
                    <w:adjustRightInd w:val="0"/>
                    <w:snapToGrid w:val="0"/>
                    <w:spacing w:line="240" w:lineRule="exact"/>
                    <w:jc w:val="center"/>
                    <w:rPr>
                      <w:szCs w:val="21"/>
                    </w:rPr>
                  </w:pPr>
                </w:p>
              </w:tc>
            </w:tr>
            <w:tr w14:paraId="20C7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426" w:type="dxa"/>
                  <w:tcBorders>
                    <w:top w:val="single" w:color="auto" w:sz="4" w:space="0"/>
                    <w:left w:val="single" w:color="auto" w:sz="4" w:space="0"/>
                    <w:bottom w:val="single" w:color="auto" w:sz="4" w:space="0"/>
                    <w:right w:val="single" w:color="auto" w:sz="4" w:space="0"/>
                  </w:tcBorders>
                  <w:noWrap w:val="0"/>
                  <w:vAlign w:val="center"/>
                </w:tcPr>
                <w:p w14:paraId="6B6FAE82">
                  <w:pPr>
                    <w:adjustRightInd w:val="0"/>
                    <w:snapToGrid w:val="0"/>
                    <w:spacing w:line="240" w:lineRule="exact"/>
                    <w:jc w:val="center"/>
                    <w:rPr>
                      <w:szCs w:val="21"/>
                    </w:rPr>
                  </w:pPr>
                  <w:r>
                    <w:rPr>
                      <w:szCs w:val="21"/>
                    </w:rPr>
                    <w:t>1</w:t>
                  </w:r>
                </w:p>
              </w:tc>
              <w:tc>
                <w:tcPr>
                  <w:tcW w:w="632" w:type="dxa"/>
                  <w:tcBorders>
                    <w:top w:val="single" w:color="auto" w:sz="4" w:space="0"/>
                    <w:left w:val="single" w:color="auto" w:sz="4" w:space="0"/>
                    <w:bottom w:val="single" w:color="auto" w:sz="4" w:space="0"/>
                    <w:right w:val="single" w:color="auto" w:sz="4" w:space="0"/>
                  </w:tcBorders>
                  <w:noWrap w:val="0"/>
                  <w:vAlign w:val="center"/>
                </w:tcPr>
                <w:p w14:paraId="20484314">
                  <w:pPr>
                    <w:adjustRightInd w:val="0"/>
                    <w:snapToGrid w:val="0"/>
                    <w:spacing w:line="240" w:lineRule="exact"/>
                    <w:jc w:val="center"/>
                    <w:rPr>
                      <w:szCs w:val="21"/>
                    </w:rPr>
                  </w:pPr>
                  <w:r>
                    <w:rPr>
                      <w:rFonts w:hint="eastAsia"/>
                      <w:szCs w:val="21"/>
                      <w:lang w:val="en-US" w:eastAsia="zh-CN"/>
                    </w:rPr>
                    <w:t>初期雨水</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15AA45A3">
                  <w:pPr>
                    <w:adjustRightInd w:val="0"/>
                    <w:snapToGrid w:val="0"/>
                    <w:spacing w:line="240" w:lineRule="exact"/>
                    <w:jc w:val="center"/>
                    <w:rPr>
                      <w:rFonts w:hint="eastAsia"/>
                      <w:szCs w:val="21"/>
                    </w:rPr>
                  </w:pPr>
                  <w:r>
                    <w:rPr>
                      <w:rFonts w:hint="eastAsia"/>
                      <w:szCs w:val="21"/>
                      <w:lang w:val="en-US" w:eastAsia="zh-CN"/>
                    </w:rPr>
                    <w:t>COD、SS</w:t>
                  </w:r>
                </w:p>
              </w:tc>
              <w:tc>
                <w:tcPr>
                  <w:tcW w:w="582" w:type="dxa"/>
                  <w:tcBorders>
                    <w:top w:val="single" w:color="auto" w:sz="4" w:space="0"/>
                    <w:left w:val="single" w:color="auto" w:sz="4" w:space="0"/>
                    <w:right w:val="single" w:color="auto" w:sz="4" w:space="0"/>
                  </w:tcBorders>
                  <w:noWrap w:val="0"/>
                  <w:vAlign w:val="center"/>
                </w:tcPr>
                <w:p w14:paraId="7DD5E728">
                  <w:pPr>
                    <w:adjustRightInd w:val="0"/>
                    <w:snapToGrid w:val="0"/>
                    <w:spacing w:line="240" w:lineRule="exact"/>
                    <w:jc w:val="center"/>
                    <w:rPr>
                      <w:rFonts w:hint="default" w:eastAsia="宋体"/>
                      <w:szCs w:val="21"/>
                      <w:lang w:val="en-US" w:eastAsia="zh-CN"/>
                    </w:rPr>
                  </w:pPr>
                  <w:r>
                    <w:rPr>
                      <w:rFonts w:hint="eastAsia"/>
                      <w:szCs w:val="21"/>
                      <w:lang w:val="en-US" w:eastAsia="zh-CN"/>
                    </w:rPr>
                    <w:t>排至钦州港工业污水集中处理厂</w:t>
                  </w:r>
                </w:p>
              </w:tc>
              <w:tc>
                <w:tcPr>
                  <w:tcW w:w="636" w:type="dxa"/>
                  <w:tcBorders>
                    <w:top w:val="single" w:color="auto" w:sz="4" w:space="0"/>
                    <w:left w:val="single" w:color="auto" w:sz="4" w:space="0"/>
                    <w:bottom w:val="single" w:color="auto" w:sz="4" w:space="0"/>
                    <w:right w:val="single" w:color="auto" w:sz="4" w:space="0"/>
                  </w:tcBorders>
                  <w:noWrap w:val="0"/>
                  <w:vAlign w:val="center"/>
                </w:tcPr>
                <w:p w14:paraId="1F5687C4">
                  <w:pPr>
                    <w:adjustRightInd w:val="0"/>
                    <w:snapToGrid w:val="0"/>
                    <w:spacing w:line="240" w:lineRule="exact"/>
                    <w:jc w:val="center"/>
                    <w:rPr>
                      <w:szCs w:val="21"/>
                    </w:rPr>
                  </w:pPr>
                  <w:r>
                    <w:rPr>
                      <w:rFonts w:hint="eastAsia"/>
                      <w:szCs w:val="21"/>
                      <w:lang w:val="en-US" w:eastAsia="zh-CN"/>
                    </w:rPr>
                    <w:t>间断排放、流量不稳定</w:t>
                  </w:r>
                </w:p>
              </w:tc>
              <w:tc>
                <w:tcPr>
                  <w:tcW w:w="576" w:type="dxa"/>
                  <w:tcBorders>
                    <w:top w:val="single" w:color="auto" w:sz="4" w:space="0"/>
                    <w:left w:val="single" w:color="auto" w:sz="4" w:space="0"/>
                    <w:bottom w:val="single" w:color="auto" w:sz="4" w:space="0"/>
                    <w:right w:val="single" w:color="auto" w:sz="4" w:space="0"/>
                  </w:tcBorders>
                  <w:noWrap w:val="0"/>
                  <w:vAlign w:val="center"/>
                </w:tcPr>
                <w:p w14:paraId="5885F7B6">
                  <w:pPr>
                    <w:adjustRightInd w:val="0"/>
                    <w:snapToGrid w:val="0"/>
                    <w:spacing w:line="240" w:lineRule="exact"/>
                    <w:jc w:val="center"/>
                    <w:rPr>
                      <w:szCs w:val="21"/>
                    </w:rPr>
                  </w:pPr>
                  <w:r>
                    <w:rPr>
                      <w:rFonts w:hint="eastAsia"/>
                      <w:szCs w:val="21"/>
                      <w:lang w:val="en-US" w:eastAsia="zh-CN"/>
                    </w:rPr>
                    <w:t>2</w:t>
                  </w:r>
                </w:p>
              </w:tc>
              <w:tc>
                <w:tcPr>
                  <w:tcW w:w="714" w:type="dxa"/>
                  <w:tcBorders>
                    <w:top w:val="single" w:color="auto" w:sz="4" w:space="0"/>
                    <w:left w:val="single" w:color="auto" w:sz="4" w:space="0"/>
                    <w:bottom w:val="single" w:color="auto" w:sz="4" w:space="0"/>
                    <w:right w:val="single" w:color="auto" w:sz="4" w:space="0"/>
                  </w:tcBorders>
                  <w:noWrap w:val="0"/>
                  <w:vAlign w:val="center"/>
                </w:tcPr>
                <w:p w14:paraId="67E8C974">
                  <w:pPr>
                    <w:adjustRightInd w:val="0"/>
                    <w:snapToGrid w:val="0"/>
                    <w:spacing w:line="240" w:lineRule="exact"/>
                    <w:jc w:val="center"/>
                    <w:rPr>
                      <w:szCs w:val="21"/>
                    </w:rPr>
                  </w:pPr>
                  <w:r>
                    <w:rPr>
                      <w:rFonts w:hint="eastAsia"/>
                      <w:szCs w:val="21"/>
                      <w:lang w:val="en-US" w:eastAsia="zh-CN"/>
                    </w:rPr>
                    <w:t>初期雨水收集池</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70CD72EF">
                  <w:pPr>
                    <w:adjustRightInd w:val="0"/>
                    <w:snapToGrid w:val="0"/>
                    <w:spacing w:line="240" w:lineRule="exact"/>
                    <w:jc w:val="center"/>
                    <w:rPr>
                      <w:szCs w:val="21"/>
                    </w:rPr>
                  </w:pPr>
                  <w:r>
                    <w:rPr>
                      <w:rFonts w:hint="eastAsia"/>
                      <w:szCs w:val="21"/>
                      <w:lang w:val="en-US" w:eastAsia="zh-CN"/>
                    </w:rPr>
                    <w:t>沉淀</w:t>
                  </w:r>
                </w:p>
              </w:tc>
              <w:tc>
                <w:tcPr>
                  <w:tcW w:w="881" w:type="dxa"/>
                  <w:tcBorders>
                    <w:top w:val="single" w:color="auto" w:sz="4" w:space="0"/>
                    <w:left w:val="single" w:color="auto" w:sz="4" w:space="0"/>
                    <w:right w:val="single" w:color="auto" w:sz="4" w:space="0"/>
                  </w:tcBorders>
                  <w:noWrap w:val="0"/>
                  <w:vAlign w:val="center"/>
                </w:tcPr>
                <w:p w14:paraId="0BC598FF">
                  <w:pPr>
                    <w:adjustRightInd w:val="0"/>
                    <w:snapToGrid w:val="0"/>
                    <w:spacing w:line="240" w:lineRule="exact"/>
                    <w:jc w:val="center"/>
                    <w:rPr>
                      <w:szCs w:val="21"/>
                    </w:rPr>
                  </w:pPr>
                  <w:r>
                    <w:rPr>
                      <w:rFonts w:hint="eastAsia"/>
                      <w:szCs w:val="21"/>
                      <w:lang w:val="en-US" w:eastAsia="zh-CN"/>
                    </w:rPr>
                    <w:t>DW002</w:t>
                  </w:r>
                </w:p>
              </w:tc>
              <w:tc>
                <w:tcPr>
                  <w:tcW w:w="848" w:type="dxa"/>
                  <w:tcBorders>
                    <w:top w:val="single" w:color="auto" w:sz="4" w:space="0"/>
                    <w:left w:val="single" w:color="auto" w:sz="4" w:space="0"/>
                    <w:right w:val="single" w:color="auto" w:sz="4" w:space="0"/>
                  </w:tcBorders>
                  <w:noWrap w:val="0"/>
                  <w:vAlign w:val="center"/>
                </w:tcPr>
                <w:p w14:paraId="26E9E26D">
                  <w:pPr>
                    <w:adjustRightInd w:val="0"/>
                    <w:snapToGrid w:val="0"/>
                    <w:spacing w:line="240" w:lineRule="exact"/>
                    <w:jc w:val="center"/>
                    <w:rPr>
                      <w:bCs/>
                      <w:szCs w:val="21"/>
                    </w:rPr>
                  </w:pPr>
                  <w:r>
                    <w:rPr>
                      <w:bCs/>
                      <w:szCs w:val="21"/>
                    </w:rPr>
                    <w:t>是</w:t>
                  </w:r>
                  <w:r>
                    <w:rPr>
                      <w:szCs w:val="21"/>
                    </w:rPr>
                    <w:t>■</w:t>
                  </w:r>
                </w:p>
                <w:p w14:paraId="7E063F13">
                  <w:pPr>
                    <w:adjustRightInd w:val="0"/>
                    <w:snapToGrid w:val="0"/>
                    <w:spacing w:line="240" w:lineRule="exact"/>
                    <w:jc w:val="center"/>
                    <w:rPr>
                      <w:b/>
                      <w:bCs/>
                      <w:szCs w:val="21"/>
                    </w:rPr>
                  </w:pPr>
                  <w:r>
                    <w:rPr>
                      <w:bCs/>
                      <w:szCs w:val="21"/>
                    </w:rPr>
                    <w:t>否</w:t>
                  </w:r>
                  <w:r>
                    <w:rPr>
                      <w:szCs w:val="21"/>
                    </w:rPr>
                    <w:t>□</w:t>
                  </w:r>
                </w:p>
              </w:tc>
              <w:tc>
                <w:tcPr>
                  <w:tcW w:w="1423" w:type="dxa"/>
                  <w:tcBorders>
                    <w:top w:val="single" w:color="auto" w:sz="4" w:space="0"/>
                    <w:left w:val="single" w:color="auto" w:sz="4" w:space="0"/>
                    <w:right w:val="single" w:color="auto" w:sz="4" w:space="0"/>
                  </w:tcBorders>
                  <w:noWrap w:val="0"/>
                  <w:vAlign w:val="center"/>
                </w:tcPr>
                <w:p w14:paraId="0231F26E">
                  <w:pPr>
                    <w:adjustRightInd w:val="0"/>
                    <w:snapToGrid w:val="0"/>
                    <w:spacing w:line="240" w:lineRule="exact"/>
                    <w:jc w:val="left"/>
                    <w:rPr>
                      <w:szCs w:val="21"/>
                    </w:rPr>
                  </w:pPr>
                  <w:r>
                    <w:rPr>
                      <w:szCs w:val="21"/>
                    </w:rPr>
                    <w:t>□ 企业总排</w:t>
                  </w:r>
                </w:p>
                <w:p w14:paraId="5A2020C1">
                  <w:pPr>
                    <w:adjustRightInd w:val="0"/>
                    <w:snapToGrid w:val="0"/>
                    <w:spacing w:line="240" w:lineRule="exact"/>
                    <w:jc w:val="left"/>
                    <w:rPr>
                      <w:szCs w:val="21"/>
                    </w:rPr>
                  </w:pPr>
                  <w:r>
                    <w:rPr>
                      <w:szCs w:val="21"/>
                    </w:rPr>
                    <w:t>■ 雨水排放</w:t>
                  </w:r>
                </w:p>
                <w:p w14:paraId="692C34A1">
                  <w:pPr>
                    <w:adjustRightInd w:val="0"/>
                    <w:snapToGrid w:val="0"/>
                    <w:spacing w:line="240" w:lineRule="exact"/>
                    <w:jc w:val="left"/>
                    <w:rPr>
                      <w:szCs w:val="21"/>
                    </w:rPr>
                  </w:pPr>
                  <w:r>
                    <w:rPr>
                      <w:szCs w:val="21"/>
                    </w:rPr>
                    <w:t>□ 清净下水排放</w:t>
                  </w:r>
                </w:p>
                <w:p w14:paraId="6C78F74E">
                  <w:pPr>
                    <w:adjustRightInd w:val="0"/>
                    <w:snapToGrid w:val="0"/>
                    <w:spacing w:line="240" w:lineRule="exact"/>
                    <w:jc w:val="left"/>
                    <w:rPr>
                      <w:szCs w:val="21"/>
                    </w:rPr>
                  </w:pPr>
                  <w:r>
                    <w:rPr>
                      <w:szCs w:val="21"/>
                    </w:rPr>
                    <w:t>□ 温排水排放</w:t>
                  </w:r>
                </w:p>
                <w:p w14:paraId="263D2CD2">
                  <w:pPr>
                    <w:adjustRightInd w:val="0"/>
                    <w:snapToGrid w:val="0"/>
                    <w:spacing w:line="240" w:lineRule="exact"/>
                    <w:jc w:val="left"/>
                    <w:rPr>
                      <w:b/>
                      <w:bCs/>
                      <w:szCs w:val="21"/>
                    </w:rPr>
                  </w:pPr>
                  <w:r>
                    <w:rPr>
                      <w:szCs w:val="21"/>
                    </w:rPr>
                    <w:t>□ 车间或车间处理设施排放</w:t>
                  </w:r>
                </w:p>
              </w:tc>
            </w:tr>
            <w:tr w14:paraId="35A1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55" w:type="dxa"/>
                  <w:gridSpan w:val="11"/>
                  <w:tcBorders>
                    <w:top w:val="single" w:color="auto" w:sz="4" w:space="0"/>
                    <w:left w:val="single" w:color="auto" w:sz="4" w:space="0"/>
                    <w:bottom w:val="single" w:color="auto" w:sz="4" w:space="0"/>
                    <w:right w:val="single" w:color="auto" w:sz="4" w:space="0"/>
                  </w:tcBorders>
                  <w:noWrap w:val="0"/>
                  <w:vAlign w:val="center"/>
                </w:tcPr>
                <w:p w14:paraId="33B7ECA9">
                  <w:pPr>
                    <w:adjustRightInd w:val="0"/>
                    <w:snapToGrid w:val="0"/>
                    <w:spacing w:line="240" w:lineRule="exact"/>
                    <w:rPr>
                      <w:szCs w:val="21"/>
                    </w:rPr>
                  </w:pPr>
                  <w:r>
                    <w:rPr>
                      <w:szCs w:val="21"/>
                    </w:rPr>
                    <w:t>a  指产生废水的工艺、工序，或废水类型的名称。</w:t>
                  </w:r>
                </w:p>
                <w:p w14:paraId="570C7B15">
                  <w:pPr>
                    <w:adjustRightInd w:val="0"/>
                    <w:snapToGrid w:val="0"/>
                    <w:spacing w:line="240" w:lineRule="exact"/>
                    <w:rPr>
                      <w:szCs w:val="21"/>
                    </w:rPr>
                  </w:pPr>
                  <w:r>
                    <w:rPr>
                      <w:szCs w:val="21"/>
                    </w:rPr>
                    <w:t>b  指产生的主要污染物类型，以相应排放标准中确定的污染因子为准。</w:t>
                  </w:r>
                </w:p>
                <w:p w14:paraId="13165C2D">
                  <w:pPr>
                    <w:adjustRightInd w:val="0"/>
                    <w:snapToGrid w:val="0"/>
                    <w:spacing w:line="240" w:lineRule="exact"/>
                    <w:rPr>
                      <w:szCs w:val="21"/>
                    </w:rPr>
                  </w:pPr>
                  <w:r>
                    <w:rPr>
                      <w:szCs w:val="21"/>
                    </w:rPr>
                    <w:t>c  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包括回用等）。对于工艺、工序产生的废水，“不外排”指全部在工序内部循环使用，“排至厂内综合污水处理站”指工序废水经处理后排至综合处理站。对于综合污水处理站，“不外排”指全厂废水经处理后全部回用不排放。</w:t>
                  </w:r>
                </w:p>
                <w:p w14:paraId="010237B6">
                  <w:pPr>
                    <w:adjustRightInd w:val="0"/>
                    <w:snapToGrid w:val="0"/>
                    <w:spacing w:line="240" w:lineRule="exact"/>
                    <w:rPr>
                      <w:szCs w:val="21"/>
                    </w:rPr>
                  </w:pPr>
                  <w:r>
                    <w:rPr>
                      <w:szCs w:val="21"/>
                    </w:rPr>
                    <w:t>d  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p w14:paraId="3BCE59F1">
                  <w:pPr>
                    <w:adjustRightInd w:val="0"/>
                    <w:snapToGrid w:val="0"/>
                    <w:spacing w:line="240" w:lineRule="exact"/>
                    <w:rPr>
                      <w:szCs w:val="21"/>
                    </w:rPr>
                  </w:pPr>
                  <w:r>
                    <w:rPr>
                      <w:szCs w:val="21"/>
                    </w:rPr>
                    <w:t>e  指主要污水处理设施名称，如“综合污水处理站”“生活污水处理系统”等。</w:t>
                  </w:r>
                </w:p>
                <w:p w14:paraId="02B01A21">
                  <w:pPr>
                    <w:adjustRightInd w:val="0"/>
                    <w:snapToGrid w:val="0"/>
                    <w:spacing w:line="240" w:lineRule="exact"/>
                    <w:rPr>
                      <w:szCs w:val="21"/>
                    </w:rPr>
                  </w:pPr>
                  <w:r>
                    <w:rPr>
                      <w:szCs w:val="21"/>
                    </w:rPr>
                    <w:t>f  排放口编号可按地方环境管理部门现有编号进行填写或由企业根据国家相关规范进行编制。</w:t>
                  </w:r>
                </w:p>
                <w:p w14:paraId="13DAE44C">
                  <w:pPr>
                    <w:adjustRightInd w:val="0"/>
                    <w:snapToGrid w:val="0"/>
                    <w:spacing w:line="240" w:lineRule="exact"/>
                    <w:rPr>
                      <w:szCs w:val="21"/>
                    </w:rPr>
                  </w:pPr>
                  <w:r>
                    <w:rPr>
                      <w:szCs w:val="21"/>
                    </w:rPr>
                    <w:t>g  指排放口设置是否符合排放口规范化整治技术要求等相关文件的规定。</w:t>
                  </w:r>
                </w:p>
              </w:tc>
            </w:tr>
          </w:tbl>
          <w:p w14:paraId="13D38C44">
            <w:pPr>
              <w:spacing w:line="360" w:lineRule="exact"/>
              <w:jc w:val="center"/>
              <w:rPr>
                <w:rFonts w:hint="eastAsia"/>
                <w:b/>
                <w:sz w:val="24"/>
                <w:u w:val="none"/>
                <w:lang w:val="zh-CN"/>
              </w:rPr>
            </w:pPr>
            <w:r>
              <w:rPr>
                <w:rFonts w:hint="eastAsia"/>
                <w:b/>
                <w:sz w:val="24"/>
                <w:u w:val="none"/>
                <w:lang w:val="zh-CN"/>
              </w:rPr>
              <w:t>表</w:t>
            </w:r>
            <w:r>
              <w:rPr>
                <w:rFonts w:hint="eastAsia"/>
                <w:b/>
                <w:sz w:val="24"/>
                <w:u w:val="none"/>
              </w:rPr>
              <w:t>4-</w:t>
            </w:r>
            <w:r>
              <w:rPr>
                <w:rFonts w:hint="eastAsia"/>
                <w:b/>
                <w:sz w:val="24"/>
                <w:u w:val="none"/>
                <w:lang w:val="en-US" w:eastAsia="zh-CN"/>
              </w:rPr>
              <w:t>8</w:t>
            </w:r>
            <w:r>
              <w:rPr>
                <w:rFonts w:hint="eastAsia"/>
                <w:b/>
                <w:sz w:val="24"/>
                <w:u w:val="none"/>
              </w:rPr>
              <w:t xml:space="preserve"> </w:t>
            </w:r>
            <w:r>
              <w:rPr>
                <w:rFonts w:hint="eastAsia"/>
                <w:b/>
                <w:sz w:val="24"/>
                <w:u w:val="none"/>
                <w:lang w:val="zh-CN"/>
              </w:rPr>
              <w:t>废水污染物排放执行标准表</w:t>
            </w:r>
          </w:p>
          <w:tbl>
            <w:tblPr>
              <w:tblStyle w:val="19"/>
              <w:tblW w:w="8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552"/>
              <w:gridCol w:w="910"/>
              <w:gridCol w:w="1282"/>
              <w:gridCol w:w="1477"/>
              <w:gridCol w:w="2910"/>
            </w:tblGrid>
            <w:tr w14:paraId="0013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2393D3E8">
                  <w:pPr>
                    <w:adjustRightInd w:val="0"/>
                    <w:snapToGrid w:val="0"/>
                    <w:spacing w:line="240" w:lineRule="exact"/>
                    <w:jc w:val="center"/>
                    <w:rPr>
                      <w:szCs w:val="21"/>
                    </w:rPr>
                  </w:pPr>
                  <w:r>
                    <w:rPr>
                      <w:szCs w:val="21"/>
                    </w:rPr>
                    <w:t>序号</w:t>
                  </w:r>
                </w:p>
              </w:tc>
              <w:tc>
                <w:tcPr>
                  <w:tcW w:w="1552" w:type="dxa"/>
                  <w:vMerge w:val="restart"/>
                  <w:tcBorders>
                    <w:top w:val="single" w:color="auto" w:sz="4" w:space="0"/>
                    <w:left w:val="single" w:color="auto" w:sz="4" w:space="0"/>
                    <w:right w:val="single" w:color="auto" w:sz="4" w:space="0"/>
                  </w:tcBorders>
                  <w:noWrap w:val="0"/>
                  <w:vAlign w:val="center"/>
                </w:tcPr>
                <w:p w14:paraId="3DD964FF">
                  <w:pPr>
                    <w:adjustRightInd w:val="0"/>
                    <w:snapToGrid w:val="0"/>
                    <w:spacing w:line="240" w:lineRule="exact"/>
                    <w:jc w:val="center"/>
                    <w:rPr>
                      <w:rFonts w:hint="eastAsia"/>
                      <w:szCs w:val="21"/>
                    </w:rPr>
                  </w:pPr>
                  <w:r>
                    <w:rPr>
                      <w:rFonts w:hint="eastAsia"/>
                      <w:szCs w:val="21"/>
                    </w:rPr>
                    <w:t>排放口位置</w:t>
                  </w:r>
                </w:p>
              </w:tc>
              <w:tc>
                <w:tcPr>
                  <w:tcW w:w="910" w:type="dxa"/>
                  <w:vMerge w:val="restart"/>
                  <w:tcBorders>
                    <w:top w:val="single" w:color="auto" w:sz="4" w:space="0"/>
                    <w:left w:val="single" w:color="auto" w:sz="4" w:space="0"/>
                    <w:bottom w:val="single" w:color="auto" w:sz="4" w:space="0"/>
                    <w:right w:val="single" w:color="auto" w:sz="4" w:space="0"/>
                  </w:tcBorders>
                  <w:noWrap w:val="0"/>
                  <w:vAlign w:val="center"/>
                </w:tcPr>
                <w:p w14:paraId="4CBBB8AF">
                  <w:pPr>
                    <w:adjustRightInd w:val="0"/>
                    <w:snapToGrid w:val="0"/>
                    <w:spacing w:line="240" w:lineRule="exact"/>
                    <w:jc w:val="center"/>
                    <w:rPr>
                      <w:szCs w:val="21"/>
                    </w:rPr>
                  </w:pPr>
                  <w:r>
                    <w:rPr>
                      <w:szCs w:val="21"/>
                    </w:rPr>
                    <w:t>排放口编号</w:t>
                  </w:r>
                </w:p>
              </w:tc>
              <w:tc>
                <w:tcPr>
                  <w:tcW w:w="1282" w:type="dxa"/>
                  <w:vMerge w:val="restart"/>
                  <w:tcBorders>
                    <w:top w:val="single" w:color="auto" w:sz="4" w:space="0"/>
                    <w:left w:val="single" w:color="auto" w:sz="4" w:space="0"/>
                    <w:bottom w:val="single" w:color="auto" w:sz="4" w:space="0"/>
                    <w:right w:val="single" w:color="auto" w:sz="4" w:space="0"/>
                  </w:tcBorders>
                  <w:noWrap w:val="0"/>
                  <w:vAlign w:val="center"/>
                </w:tcPr>
                <w:p w14:paraId="04885CC2">
                  <w:pPr>
                    <w:adjustRightInd w:val="0"/>
                    <w:snapToGrid w:val="0"/>
                    <w:spacing w:line="240" w:lineRule="exact"/>
                    <w:jc w:val="center"/>
                    <w:rPr>
                      <w:szCs w:val="21"/>
                    </w:rPr>
                  </w:pPr>
                  <w:r>
                    <w:rPr>
                      <w:szCs w:val="21"/>
                    </w:rPr>
                    <w:t>污染物种类</w:t>
                  </w:r>
                </w:p>
              </w:tc>
              <w:tc>
                <w:tcPr>
                  <w:tcW w:w="4387" w:type="dxa"/>
                  <w:gridSpan w:val="2"/>
                  <w:tcBorders>
                    <w:top w:val="single" w:color="auto" w:sz="4" w:space="0"/>
                    <w:left w:val="single" w:color="auto" w:sz="4" w:space="0"/>
                    <w:bottom w:val="single" w:color="auto" w:sz="4" w:space="0"/>
                    <w:right w:val="single" w:color="auto" w:sz="4" w:space="0"/>
                  </w:tcBorders>
                  <w:noWrap w:val="0"/>
                  <w:vAlign w:val="center"/>
                </w:tcPr>
                <w:p w14:paraId="1033DC60">
                  <w:pPr>
                    <w:adjustRightInd w:val="0"/>
                    <w:snapToGrid w:val="0"/>
                    <w:spacing w:line="240" w:lineRule="exact"/>
                    <w:jc w:val="center"/>
                    <w:rPr>
                      <w:szCs w:val="21"/>
                    </w:rPr>
                  </w:pPr>
                  <w:r>
                    <w:rPr>
                      <w:szCs w:val="21"/>
                    </w:rPr>
                    <w:t>国家或地方污染物排放标准及其他按规定商定的排放协议（a）</w:t>
                  </w:r>
                </w:p>
              </w:tc>
            </w:tr>
            <w:tr w14:paraId="694A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6BBBE969">
                  <w:pPr>
                    <w:adjustRightInd w:val="0"/>
                    <w:snapToGrid w:val="0"/>
                    <w:spacing w:line="240" w:lineRule="exact"/>
                    <w:jc w:val="center"/>
                    <w:rPr>
                      <w:szCs w:val="21"/>
                    </w:rPr>
                  </w:pPr>
                </w:p>
              </w:tc>
              <w:tc>
                <w:tcPr>
                  <w:tcW w:w="1552" w:type="dxa"/>
                  <w:vMerge w:val="continue"/>
                  <w:tcBorders>
                    <w:left w:val="single" w:color="auto" w:sz="4" w:space="0"/>
                    <w:bottom w:val="single" w:color="auto" w:sz="4" w:space="0"/>
                    <w:right w:val="single" w:color="auto" w:sz="4" w:space="0"/>
                  </w:tcBorders>
                  <w:noWrap w:val="0"/>
                  <w:vAlign w:val="center"/>
                </w:tcPr>
                <w:p w14:paraId="6E67A69A">
                  <w:pPr>
                    <w:adjustRightInd w:val="0"/>
                    <w:snapToGrid w:val="0"/>
                    <w:spacing w:line="240" w:lineRule="exact"/>
                    <w:jc w:val="center"/>
                    <w:rPr>
                      <w:szCs w:val="21"/>
                    </w:rPr>
                  </w:pPr>
                </w:p>
              </w:tc>
              <w:tc>
                <w:tcPr>
                  <w:tcW w:w="910" w:type="dxa"/>
                  <w:vMerge w:val="continue"/>
                  <w:tcBorders>
                    <w:top w:val="single" w:color="auto" w:sz="4" w:space="0"/>
                    <w:left w:val="single" w:color="auto" w:sz="4" w:space="0"/>
                    <w:bottom w:val="single" w:color="auto" w:sz="4" w:space="0"/>
                    <w:right w:val="single" w:color="auto" w:sz="4" w:space="0"/>
                  </w:tcBorders>
                  <w:noWrap w:val="0"/>
                  <w:vAlign w:val="center"/>
                </w:tcPr>
                <w:p w14:paraId="6A4953CF">
                  <w:pPr>
                    <w:adjustRightInd w:val="0"/>
                    <w:snapToGrid w:val="0"/>
                    <w:spacing w:line="240" w:lineRule="exact"/>
                    <w:jc w:val="center"/>
                    <w:rPr>
                      <w:szCs w:val="21"/>
                    </w:rPr>
                  </w:pPr>
                </w:p>
              </w:tc>
              <w:tc>
                <w:tcPr>
                  <w:tcW w:w="1282" w:type="dxa"/>
                  <w:vMerge w:val="continue"/>
                  <w:tcBorders>
                    <w:top w:val="single" w:color="auto" w:sz="4" w:space="0"/>
                    <w:left w:val="single" w:color="auto" w:sz="4" w:space="0"/>
                    <w:bottom w:val="single" w:color="auto" w:sz="4" w:space="0"/>
                    <w:right w:val="single" w:color="auto" w:sz="4" w:space="0"/>
                  </w:tcBorders>
                  <w:noWrap w:val="0"/>
                  <w:vAlign w:val="center"/>
                </w:tcPr>
                <w:p w14:paraId="2629F858">
                  <w:pPr>
                    <w:adjustRightInd w:val="0"/>
                    <w:snapToGrid w:val="0"/>
                    <w:spacing w:line="240" w:lineRule="exact"/>
                    <w:jc w:val="center"/>
                    <w:rPr>
                      <w:szCs w:val="21"/>
                    </w:rPr>
                  </w:pPr>
                </w:p>
              </w:tc>
              <w:tc>
                <w:tcPr>
                  <w:tcW w:w="1477" w:type="dxa"/>
                  <w:tcBorders>
                    <w:top w:val="single" w:color="auto" w:sz="4" w:space="0"/>
                    <w:left w:val="single" w:color="auto" w:sz="4" w:space="0"/>
                    <w:bottom w:val="single" w:color="auto" w:sz="4" w:space="0"/>
                    <w:right w:val="single" w:color="auto" w:sz="4" w:space="0"/>
                  </w:tcBorders>
                  <w:noWrap w:val="0"/>
                  <w:vAlign w:val="center"/>
                </w:tcPr>
                <w:p w14:paraId="7BE415EA">
                  <w:pPr>
                    <w:adjustRightInd w:val="0"/>
                    <w:snapToGrid w:val="0"/>
                    <w:spacing w:line="240" w:lineRule="exact"/>
                    <w:jc w:val="center"/>
                    <w:rPr>
                      <w:szCs w:val="21"/>
                    </w:rPr>
                  </w:pPr>
                  <w:r>
                    <w:rPr>
                      <w:szCs w:val="21"/>
                    </w:rPr>
                    <w:t>名称</w:t>
                  </w:r>
                </w:p>
              </w:tc>
              <w:tc>
                <w:tcPr>
                  <w:tcW w:w="2910" w:type="dxa"/>
                  <w:tcBorders>
                    <w:top w:val="single" w:color="auto" w:sz="4" w:space="0"/>
                    <w:left w:val="single" w:color="auto" w:sz="4" w:space="0"/>
                    <w:bottom w:val="single" w:color="auto" w:sz="4" w:space="0"/>
                    <w:right w:val="single" w:color="auto" w:sz="4" w:space="0"/>
                  </w:tcBorders>
                  <w:noWrap w:val="0"/>
                  <w:vAlign w:val="center"/>
                </w:tcPr>
                <w:p w14:paraId="7BD29A51">
                  <w:pPr>
                    <w:adjustRightInd w:val="0"/>
                    <w:snapToGrid w:val="0"/>
                    <w:spacing w:line="240" w:lineRule="exact"/>
                    <w:jc w:val="center"/>
                    <w:rPr>
                      <w:rFonts w:hint="eastAsia"/>
                      <w:color w:val="000000"/>
                      <w:szCs w:val="21"/>
                      <w:u w:val="none"/>
                      <w:lang w:eastAsia="zh-CN"/>
                    </w:rPr>
                  </w:pPr>
                  <w:r>
                    <w:rPr>
                      <w:rFonts w:hint="eastAsia"/>
                      <w:color w:val="000000"/>
                      <w:szCs w:val="21"/>
                      <w:u w:val="none"/>
                    </w:rPr>
                    <w:t>进水水质</w:t>
                  </w:r>
                  <w:r>
                    <w:rPr>
                      <w:szCs w:val="21"/>
                      <w:u w:val="none"/>
                    </w:rPr>
                    <w:t>浓度限值/（mg/L）</w:t>
                  </w:r>
                </w:p>
              </w:tc>
            </w:tr>
            <w:tr w14:paraId="1BA9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426" w:type="dxa"/>
                  <w:vMerge w:val="restart"/>
                  <w:tcBorders>
                    <w:top w:val="single" w:color="auto" w:sz="4" w:space="0"/>
                    <w:left w:val="single" w:color="auto" w:sz="4" w:space="0"/>
                    <w:right w:val="single" w:color="auto" w:sz="4" w:space="0"/>
                  </w:tcBorders>
                  <w:noWrap w:val="0"/>
                  <w:vAlign w:val="center"/>
                </w:tcPr>
                <w:p w14:paraId="02BC3B9C">
                  <w:pPr>
                    <w:adjustRightInd w:val="0"/>
                    <w:snapToGrid w:val="0"/>
                    <w:spacing w:line="240" w:lineRule="exact"/>
                    <w:jc w:val="center"/>
                    <w:rPr>
                      <w:szCs w:val="21"/>
                    </w:rPr>
                  </w:pPr>
                  <w:r>
                    <w:rPr>
                      <w:szCs w:val="21"/>
                    </w:rPr>
                    <w:t>1</w:t>
                  </w:r>
                </w:p>
              </w:tc>
              <w:tc>
                <w:tcPr>
                  <w:tcW w:w="1552" w:type="dxa"/>
                  <w:vMerge w:val="restart"/>
                  <w:tcBorders>
                    <w:top w:val="single" w:color="auto" w:sz="4" w:space="0"/>
                    <w:left w:val="single" w:color="auto" w:sz="4" w:space="0"/>
                    <w:right w:val="single" w:color="auto" w:sz="4" w:space="0"/>
                  </w:tcBorders>
                  <w:noWrap w:val="0"/>
                  <w:vAlign w:val="center"/>
                </w:tcPr>
                <w:p w14:paraId="605A797D">
                  <w:pPr>
                    <w:jc w:val="center"/>
                    <w:rPr>
                      <w:rFonts w:hint="eastAsia"/>
                      <w:color w:val="auto"/>
                    </w:rPr>
                  </w:pPr>
                  <w:r>
                    <w:rPr>
                      <w:rFonts w:hint="eastAsia"/>
                      <w:color w:val="auto"/>
                    </w:rPr>
                    <w:t>108.632744</w:t>
                  </w:r>
                  <w:r>
                    <w:rPr>
                      <w:rFonts w:hint="eastAsia"/>
                      <w:color w:val="auto"/>
                      <w:lang w:val="en-US" w:eastAsia="zh-CN"/>
                    </w:rPr>
                    <w:t>°</w:t>
                  </w:r>
                  <w:r>
                    <w:rPr>
                      <w:rFonts w:hint="eastAsia"/>
                      <w:color w:val="auto"/>
                    </w:rPr>
                    <w:t>E</w:t>
                  </w:r>
                </w:p>
                <w:p w14:paraId="0F9355B5">
                  <w:pPr>
                    <w:jc w:val="center"/>
                    <w:rPr>
                      <w:color w:val="auto"/>
                    </w:rPr>
                  </w:pPr>
                  <w:r>
                    <w:rPr>
                      <w:rFonts w:hint="eastAsia"/>
                      <w:color w:val="auto"/>
                    </w:rPr>
                    <w:t>21.744572</w:t>
                  </w:r>
                  <w:r>
                    <w:rPr>
                      <w:rFonts w:hint="eastAsia"/>
                      <w:color w:val="auto"/>
                      <w:lang w:val="en-US" w:eastAsia="zh-CN"/>
                    </w:rPr>
                    <w:t>°</w:t>
                  </w:r>
                  <w:r>
                    <w:rPr>
                      <w:rFonts w:hint="eastAsia"/>
                      <w:color w:val="auto"/>
                    </w:rPr>
                    <w:t>N</w:t>
                  </w:r>
                </w:p>
              </w:tc>
              <w:tc>
                <w:tcPr>
                  <w:tcW w:w="910" w:type="dxa"/>
                  <w:vMerge w:val="restart"/>
                  <w:tcBorders>
                    <w:top w:val="single" w:color="auto" w:sz="4" w:space="0"/>
                    <w:left w:val="single" w:color="auto" w:sz="4" w:space="0"/>
                    <w:right w:val="single" w:color="auto" w:sz="4" w:space="0"/>
                  </w:tcBorders>
                  <w:noWrap w:val="0"/>
                  <w:vAlign w:val="center"/>
                </w:tcPr>
                <w:p w14:paraId="0C70477E">
                  <w:pPr>
                    <w:adjustRightInd w:val="0"/>
                    <w:snapToGrid w:val="0"/>
                    <w:spacing w:line="240" w:lineRule="exact"/>
                    <w:jc w:val="center"/>
                    <w:rPr>
                      <w:rFonts w:hint="eastAsia" w:eastAsia="宋体"/>
                      <w:color w:val="auto"/>
                      <w:szCs w:val="21"/>
                      <w:lang w:eastAsia="zh-CN"/>
                    </w:rPr>
                  </w:pPr>
                  <w:r>
                    <w:rPr>
                      <w:rFonts w:hint="eastAsia"/>
                      <w:color w:val="auto"/>
                      <w:szCs w:val="21"/>
                    </w:rPr>
                    <w:t>DW00</w:t>
                  </w:r>
                  <w:r>
                    <w:rPr>
                      <w:rFonts w:hint="eastAsia"/>
                      <w:color w:val="auto"/>
                      <w:szCs w:val="21"/>
                      <w:lang w:val="en-US" w:eastAsia="zh-CN"/>
                    </w:rPr>
                    <w:t>2</w:t>
                  </w:r>
                </w:p>
              </w:tc>
              <w:tc>
                <w:tcPr>
                  <w:tcW w:w="1282" w:type="dxa"/>
                  <w:tcBorders>
                    <w:top w:val="single" w:color="auto" w:sz="4" w:space="0"/>
                    <w:left w:val="single" w:color="auto" w:sz="4" w:space="0"/>
                    <w:bottom w:val="single" w:color="auto" w:sz="4" w:space="0"/>
                    <w:right w:val="single" w:color="auto" w:sz="4" w:space="0"/>
                  </w:tcBorders>
                  <w:noWrap w:val="0"/>
                  <w:vAlign w:val="center"/>
                </w:tcPr>
                <w:p w14:paraId="44A0597D">
                  <w:pPr>
                    <w:adjustRightInd w:val="0"/>
                    <w:snapToGrid w:val="0"/>
                    <w:spacing w:line="240" w:lineRule="exact"/>
                    <w:jc w:val="center"/>
                    <w:rPr>
                      <w:rFonts w:hint="eastAsia"/>
                      <w:color w:val="auto"/>
                      <w:szCs w:val="21"/>
                    </w:rPr>
                  </w:pPr>
                  <w:r>
                    <w:rPr>
                      <w:rFonts w:hint="eastAsia"/>
                      <w:color w:val="auto"/>
                      <w:szCs w:val="21"/>
                    </w:rPr>
                    <w:t>pH值</w:t>
                  </w:r>
                </w:p>
              </w:tc>
              <w:tc>
                <w:tcPr>
                  <w:tcW w:w="1477" w:type="dxa"/>
                  <w:vMerge w:val="restart"/>
                  <w:tcBorders>
                    <w:top w:val="single" w:color="auto" w:sz="4" w:space="0"/>
                    <w:left w:val="single" w:color="auto" w:sz="4" w:space="0"/>
                    <w:right w:val="single" w:color="auto" w:sz="4" w:space="0"/>
                  </w:tcBorders>
                  <w:noWrap w:val="0"/>
                  <w:vAlign w:val="center"/>
                </w:tcPr>
                <w:p w14:paraId="5F09BB25">
                  <w:pPr>
                    <w:adjustRightInd w:val="0"/>
                    <w:snapToGrid w:val="0"/>
                    <w:spacing w:line="240" w:lineRule="exact"/>
                    <w:jc w:val="center"/>
                    <w:rPr>
                      <w:rFonts w:hint="eastAsia" w:eastAsia="宋体"/>
                      <w:color w:val="000000"/>
                      <w:szCs w:val="21"/>
                      <w:lang w:eastAsia="zh-CN"/>
                    </w:rPr>
                  </w:pPr>
                  <w:r>
                    <w:rPr>
                      <w:rFonts w:hint="eastAsia"/>
                      <w:color w:val="000000"/>
                      <w:szCs w:val="21"/>
                      <w:lang w:eastAsia="zh-CN"/>
                    </w:rPr>
                    <w:t>钦州港工业污水集中处理厂</w:t>
                  </w:r>
                  <w:r>
                    <w:rPr>
                      <w:rFonts w:hint="eastAsia"/>
                      <w:color w:val="000000"/>
                      <w:szCs w:val="21"/>
                      <w:lang w:val="en-US" w:eastAsia="zh-CN"/>
                    </w:rPr>
                    <w:t>进水水质要求</w:t>
                  </w:r>
                </w:p>
              </w:tc>
              <w:tc>
                <w:tcPr>
                  <w:tcW w:w="2910" w:type="dxa"/>
                  <w:tcBorders>
                    <w:top w:val="single" w:color="auto" w:sz="4" w:space="0"/>
                    <w:left w:val="single" w:color="auto" w:sz="4" w:space="0"/>
                    <w:bottom w:val="single" w:color="auto" w:sz="4" w:space="0"/>
                    <w:right w:val="single" w:color="auto" w:sz="4" w:space="0"/>
                  </w:tcBorders>
                  <w:noWrap w:val="0"/>
                  <w:vAlign w:val="center"/>
                </w:tcPr>
                <w:p w14:paraId="6E9BE958">
                  <w:pPr>
                    <w:adjustRightInd w:val="0"/>
                    <w:snapToGrid w:val="0"/>
                    <w:spacing w:line="240" w:lineRule="exact"/>
                    <w:jc w:val="center"/>
                    <w:rPr>
                      <w:color w:val="000000"/>
                      <w:szCs w:val="21"/>
                    </w:rPr>
                  </w:pPr>
                  <w:r>
                    <w:rPr>
                      <w:color w:val="000000"/>
                      <w:szCs w:val="21"/>
                    </w:rPr>
                    <w:t>6</w:t>
                  </w:r>
                  <w:r>
                    <w:rPr>
                      <w:rFonts w:hint="eastAsia"/>
                      <w:color w:val="000000"/>
                      <w:szCs w:val="21"/>
                      <w:lang w:eastAsia="zh-CN"/>
                    </w:rPr>
                    <w:t>~</w:t>
                  </w:r>
                  <w:r>
                    <w:rPr>
                      <w:color w:val="000000"/>
                      <w:szCs w:val="21"/>
                    </w:rPr>
                    <w:t>9</w:t>
                  </w:r>
                </w:p>
              </w:tc>
            </w:tr>
            <w:tr w14:paraId="3087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426" w:type="dxa"/>
                  <w:vMerge w:val="continue"/>
                  <w:tcBorders>
                    <w:left w:val="single" w:color="auto" w:sz="4" w:space="0"/>
                    <w:right w:val="single" w:color="auto" w:sz="4" w:space="0"/>
                  </w:tcBorders>
                  <w:noWrap w:val="0"/>
                  <w:vAlign w:val="center"/>
                </w:tcPr>
                <w:p w14:paraId="085F34F3">
                  <w:pPr>
                    <w:adjustRightInd w:val="0"/>
                    <w:snapToGrid w:val="0"/>
                    <w:spacing w:line="240" w:lineRule="exact"/>
                    <w:jc w:val="center"/>
                    <w:rPr>
                      <w:szCs w:val="21"/>
                    </w:rPr>
                  </w:pPr>
                </w:p>
              </w:tc>
              <w:tc>
                <w:tcPr>
                  <w:tcW w:w="1552" w:type="dxa"/>
                  <w:vMerge w:val="continue"/>
                  <w:tcBorders>
                    <w:left w:val="single" w:color="auto" w:sz="4" w:space="0"/>
                    <w:right w:val="single" w:color="auto" w:sz="4" w:space="0"/>
                  </w:tcBorders>
                  <w:noWrap w:val="0"/>
                  <w:vAlign w:val="center"/>
                </w:tcPr>
                <w:p w14:paraId="61B33F97">
                  <w:pPr>
                    <w:adjustRightInd w:val="0"/>
                    <w:snapToGrid w:val="0"/>
                    <w:spacing w:line="240" w:lineRule="exact"/>
                    <w:jc w:val="center"/>
                    <w:rPr>
                      <w:color w:val="auto"/>
                      <w:szCs w:val="21"/>
                    </w:rPr>
                  </w:pPr>
                </w:p>
              </w:tc>
              <w:tc>
                <w:tcPr>
                  <w:tcW w:w="910" w:type="dxa"/>
                  <w:vMerge w:val="continue"/>
                  <w:tcBorders>
                    <w:left w:val="single" w:color="auto" w:sz="4" w:space="0"/>
                    <w:right w:val="single" w:color="auto" w:sz="4" w:space="0"/>
                  </w:tcBorders>
                  <w:noWrap w:val="0"/>
                  <w:vAlign w:val="center"/>
                </w:tcPr>
                <w:p w14:paraId="77498765">
                  <w:pPr>
                    <w:adjustRightInd w:val="0"/>
                    <w:snapToGrid w:val="0"/>
                    <w:spacing w:line="240" w:lineRule="exact"/>
                    <w:jc w:val="center"/>
                    <w:rPr>
                      <w:color w:val="auto"/>
                      <w:szCs w:val="21"/>
                    </w:rPr>
                  </w:pPr>
                </w:p>
              </w:tc>
              <w:tc>
                <w:tcPr>
                  <w:tcW w:w="1282" w:type="dxa"/>
                  <w:tcBorders>
                    <w:top w:val="single" w:color="auto" w:sz="4" w:space="0"/>
                    <w:left w:val="single" w:color="auto" w:sz="4" w:space="0"/>
                    <w:bottom w:val="single" w:color="auto" w:sz="4" w:space="0"/>
                    <w:right w:val="single" w:color="auto" w:sz="4" w:space="0"/>
                  </w:tcBorders>
                  <w:noWrap w:val="0"/>
                  <w:vAlign w:val="center"/>
                </w:tcPr>
                <w:p w14:paraId="689AB7FC">
                  <w:pPr>
                    <w:adjustRightInd w:val="0"/>
                    <w:snapToGrid w:val="0"/>
                    <w:spacing w:line="240" w:lineRule="exact"/>
                    <w:jc w:val="center"/>
                    <w:rPr>
                      <w:color w:val="auto"/>
                      <w:szCs w:val="21"/>
                    </w:rPr>
                  </w:pPr>
                  <w:r>
                    <w:rPr>
                      <w:color w:val="auto"/>
                      <w:szCs w:val="21"/>
                    </w:rPr>
                    <w:t>COD</w:t>
                  </w:r>
                </w:p>
              </w:tc>
              <w:tc>
                <w:tcPr>
                  <w:tcW w:w="1477" w:type="dxa"/>
                  <w:vMerge w:val="continue"/>
                  <w:tcBorders>
                    <w:left w:val="single" w:color="auto" w:sz="4" w:space="0"/>
                    <w:right w:val="single" w:color="auto" w:sz="4" w:space="0"/>
                  </w:tcBorders>
                  <w:noWrap w:val="0"/>
                  <w:vAlign w:val="center"/>
                </w:tcPr>
                <w:p w14:paraId="30D2793B">
                  <w:pPr>
                    <w:adjustRightInd w:val="0"/>
                    <w:snapToGrid w:val="0"/>
                    <w:spacing w:line="240" w:lineRule="exact"/>
                    <w:jc w:val="center"/>
                    <w:rPr>
                      <w:color w:val="000000"/>
                      <w:szCs w:val="21"/>
                    </w:rPr>
                  </w:pPr>
                </w:p>
              </w:tc>
              <w:tc>
                <w:tcPr>
                  <w:tcW w:w="2910" w:type="dxa"/>
                  <w:tcBorders>
                    <w:top w:val="single" w:color="auto" w:sz="4" w:space="0"/>
                    <w:left w:val="single" w:color="auto" w:sz="4" w:space="0"/>
                    <w:bottom w:val="single" w:color="auto" w:sz="4" w:space="0"/>
                    <w:right w:val="single" w:color="auto" w:sz="4" w:space="0"/>
                  </w:tcBorders>
                  <w:noWrap w:val="0"/>
                  <w:vAlign w:val="center"/>
                </w:tcPr>
                <w:p w14:paraId="50A0D42D">
                  <w:pPr>
                    <w:adjustRightInd w:val="0"/>
                    <w:snapToGrid w:val="0"/>
                    <w:spacing w:line="240" w:lineRule="exact"/>
                    <w:jc w:val="center"/>
                    <w:rPr>
                      <w:rFonts w:hint="default" w:eastAsia="宋体"/>
                      <w:color w:val="000000"/>
                      <w:szCs w:val="21"/>
                      <w:lang w:val="en-US" w:eastAsia="zh-CN"/>
                    </w:rPr>
                  </w:pPr>
                  <w:r>
                    <w:rPr>
                      <w:rFonts w:hint="eastAsia"/>
                      <w:color w:val="000000"/>
                      <w:szCs w:val="21"/>
                      <w:lang w:val="en-US" w:eastAsia="zh-CN"/>
                    </w:rPr>
                    <w:t>1000</w:t>
                  </w:r>
                </w:p>
              </w:tc>
            </w:tr>
            <w:tr w14:paraId="0365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426" w:type="dxa"/>
                  <w:vMerge w:val="continue"/>
                  <w:tcBorders>
                    <w:left w:val="single" w:color="auto" w:sz="4" w:space="0"/>
                    <w:right w:val="single" w:color="auto" w:sz="4" w:space="0"/>
                  </w:tcBorders>
                  <w:noWrap w:val="0"/>
                  <w:vAlign w:val="center"/>
                </w:tcPr>
                <w:p w14:paraId="1CAEA68B">
                  <w:pPr>
                    <w:adjustRightInd w:val="0"/>
                    <w:snapToGrid w:val="0"/>
                    <w:spacing w:line="240" w:lineRule="exact"/>
                    <w:jc w:val="center"/>
                    <w:rPr>
                      <w:szCs w:val="21"/>
                    </w:rPr>
                  </w:pPr>
                </w:p>
              </w:tc>
              <w:tc>
                <w:tcPr>
                  <w:tcW w:w="1552" w:type="dxa"/>
                  <w:vMerge w:val="continue"/>
                  <w:tcBorders>
                    <w:left w:val="single" w:color="auto" w:sz="4" w:space="0"/>
                    <w:right w:val="single" w:color="auto" w:sz="4" w:space="0"/>
                  </w:tcBorders>
                  <w:noWrap w:val="0"/>
                  <w:vAlign w:val="center"/>
                </w:tcPr>
                <w:p w14:paraId="0D16F997">
                  <w:pPr>
                    <w:adjustRightInd w:val="0"/>
                    <w:snapToGrid w:val="0"/>
                    <w:spacing w:line="240" w:lineRule="exact"/>
                    <w:jc w:val="center"/>
                    <w:rPr>
                      <w:szCs w:val="21"/>
                    </w:rPr>
                  </w:pPr>
                </w:p>
              </w:tc>
              <w:tc>
                <w:tcPr>
                  <w:tcW w:w="910" w:type="dxa"/>
                  <w:vMerge w:val="continue"/>
                  <w:tcBorders>
                    <w:left w:val="single" w:color="auto" w:sz="4" w:space="0"/>
                    <w:right w:val="single" w:color="auto" w:sz="4" w:space="0"/>
                  </w:tcBorders>
                  <w:noWrap w:val="0"/>
                  <w:vAlign w:val="center"/>
                </w:tcPr>
                <w:p w14:paraId="339C189B">
                  <w:pPr>
                    <w:adjustRightInd w:val="0"/>
                    <w:snapToGrid w:val="0"/>
                    <w:spacing w:line="240" w:lineRule="exact"/>
                    <w:jc w:val="center"/>
                    <w:rPr>
                      <w:szCs w:val="21"/>
                    </w:rPr>
                  </w:pPr>
                </w:p>
              </w:tc>
              <w:tc>
                <w:tcPr>
                  <w:tcW w:w="1282" w:type="dxa"/>
                  <w:tcBorders>
                    <w:top w:val="single" w:color="auto" w:sz="4" w:space="0"/>
                    <w:left w:val="single" w:color="auto" w:sz="4" w:space="0"/>
                    <w:bottom w:val="single" w:color="auto" w:sz="4" w:space="0"/>
                    <w:right w:val="single" w:color="auto" w:sz="4" w:space="0"/>
                  </w:tcBorders>
                  <w:noWrap w:val="0"/>
                  <w:vAlign w:val="center"/>
                </w:tcPr>
                <w:p w14:paraId="4A08BE89">
                  <w:pPr>
                    <w:adjustRightInd w:val="0"/>
                    <w:snapToGrid w:val="0"/>
                    <w:spacing w:line="240" w:lineRule="exact"/>
                    <w:jc w:val="center"/>
                    <w:rPr>
                      <w:rFonts w:hint="eastAsia" w:eastAsia="宋体"/>
                      <w:szCs w:val="21"/>
                      <w:lang w:eastAsia="zh-CN"/>
                    </w:rPr>
                  </w:pPr>
                  <w:r>
                    <w:rPr>
                      <w:rFonts w:hint="eastAsia"/>
                      <w:szCs w:val="21"/>
                      <w:lang w:val="en-US" w:eastAsia="zh-CN"/>
                    </w:rPr>
                    <w:t>SS</w:t>
                  </w:r>
                </w:p>
              </w:tc>
              <w:tc>
                <w:tcPr>
                  <w:tcW w:w="1477" w:type="dxa"/>
                  <w:vMerge w:val="continue"/>
                  <w:tcBorders>
                    <w:left w:val="single" w:color="auto" w:sz="4" w:space="0"/>
                    <w:right w:val="single" w:color="auto" w:sz="4" w:space="0"/>
                  </w:tcBorders>
                  <w:noWrap w:val="0"/>
                  <w:vAlign w:val="center"/>
                </w:tcPr>
                <w:p w14:paraId="28BD9972">
                  <w:pPr>
                    <w:adjustRightInd w:val="0"/>
                    <w:snapToGrid w:val="0"/>
                    <w:spacing w:line="240" w:lineRule="exact"/>
                    <w:jc w:val="center"/>
                    <w:rPr>
                      <w:szCs w:val="21"/>
                    </w:rPr>
                  </w:pPr>
                </w:p>
              </w:tc>
              <w:tc>
                <w:tcPr>
                  <w:tcW w:w="2910" w:type="dxa"/>
                  <w:tcBorders>
                    <w:top w:val="single" w:color="auto" w:sz="4" w:space="0"/>
                    <w:left w:val="single" w:color="auto" w:sz="4" w:space="0"/>
                    <w:bottom w:val="single" w:color="auto" w:sz="4" w:space="0"/>
                    <w:right w:val="single" w:color="auto" w:sz="4" w:space="0"/>
                  </w:tcBorders>
                  <w:noWrap w:val="0"/>
                  <w:vAlign w:val="center"/>
                </w:tcPr>
                <w:p w14:paraId="7D45371C">
                  <w:pPr>
                    <w:adjustRightInd w:val="0"/>
                    <w:snapToGrid w:val="0"/>
                    <w:spacing w:line="240" w:lineRule="exact"/>
                    <w:jc w:val="center"/>
                    <w:rPr>
                      <w:rFonts w:hint="default"/>
                      <w:szCs w:val="21"/>
                      <w:lang w:val="en-US" w:eastAsia="zh-CN"/>
                    </w:rPr>
                  </w:pPr>
                  <w:r>
                    <w:rPr>
                      <w:rFonts w:hint="eastAsia"/>
                      <w:szCs w:val="21"/>
                      <w:lang w:val="en-US" w:eastAsia="zh-CN"/>
                    </w:rPr>
                    <w:t>250</w:t>
                  </w:r>
                </w:p>
              </w:tc>
            </w:tr>
            <w:tr w14:paraId="493B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557" w:type="dxa"/>
                  <w:gridSpan w:val="6"/>
                  <w:tcBorders>
                    <w:top w:val="single" w:color="auto" w:sz="4" w:space="0"/>
                    <w:left w:val="single" w:color="auto" w:sz="4" w:space="0"/>
                    <w:bottom w:val="single" w:color="auto" w:sz="4" w:space="0"/>
                    <w:right w:val="single" w:color="auto" w:sz="4" w:space="0"/>
                  </w:tcBorders>
                  <w:noWrap w:val="0"/>
                  <w:vAlign w:val="center"/>
                </w:tcPr>
                <w:p w14:paraId="2E00E8FF">
                  <w:pPr>
                    <w:adjustRightInd w:val="0"/>
                    <w:snapToGrid w:val="0"/>
                    <w:spacing w:line="240" w:lineRule="exact"/>
                    <w:rPr>
                      <w:szCs w:val="21"/>
                    </w:rPr>
                  </w:pPr>
                  <w:r>
                    <w:rPr>
                      <w:szCs w:val="21"/>
                    </w:rPr>
                    <w:t>a 指对应排放口须执行的国家或地方污染物排放标准以及其他按规定商定建设项目水污染物排放控制要求的协议，据此确定的排放浓度限值。</w:t>
                  </w:r>
                </w:p>
              </w:tc>
            </w:tr>
          </w:tbl>
          <w:p w14:paraId="17AD654C">
            <w:pPr>
              <w:pStyle w:val="6"/>
              <w:spacing w:line="500" w:lineRule="exact"/>
              <w:ind w:firstLine="0" w:firstLineChars="0"/>
              <w:rPr>
                <w:rFonts w:hint="eastAsia"/>
                <w:b/>
                <w:bCs/>
                <w:sz w:val="24"/>
              </w:rPr>
            </w:pPr>
            <w:r>
              <w:rPr>
                <w:rFonts w:hint="eastAsia"/>
                <w:b/>
                <w:bCs/>
                <w:sz w:val="24"/>
              </w:rPr>
              <w:t>2</w:t>
            </w:r>
            <w:r>
              <w:rPr>
                <w:b/>
                <w:bCs/>
                <w:sz w:val="24"/>
              </w:rPr>
              <w:t>.</w:t>
            </w:r>
            <w:r>
              <w:rPr>
                <w:rFonts w:hint="eastAsia"/>
                <w:b/>
                <w:bCs/>
                <w:sz w:val="24"/>
              </w:rPr>
              <w:t>5自行监测</w:t>
            </w:r>
          </w:p>
          <w:p w14:paraId="405F2D35">
            <w:pPr>
              <w:pStyle w:val="6"/>
              <w:spacing w:line="500" w:lineRule="exact"/>
              <w:ind w:firstLine="480"/>
              <w:rPr>
                <w:color w:val="000000"/>
                <w:sz w:val="24"/>
              </w:rPr>
            </w:pPr>
            <w:r>
              <w:rPr>
                <w:rFonts w:hint="eastAsia"/>
                <w:color w:val="000000"/>
                <w:sz w:val="24"/>
              </w:rPr>
              <w:t>根据</w:t>
            </w:r>
            <w:r>
              <w:rPr>
                <w:rFonts w:hint="eastAsia"/>
                <w:color w:val="000000"/>
                <w:kern w:val="0"/>
                <w:sz w:val="24"/>
              </w:rPr>
              <w:t xml:space="preserve">《排污许可证申请与核发技术规范 </w:t>
            </w:r>
            <w:r>
              <w:rPr>
                <w:rFonts w:hint="eastAsia"/>
                <w:color w:val="000000"/>
                <w:kern w:val="0"/>
                <w:sz w:val="24"/>
                <w:lang w:eastAsia="zh-CN"/>
              </w:rPr>
              <w:t>总则</w:t>
            </w:r>
            <w:r>
              <w:rPr>
                <w:rFonts w:hint="eastAsia"/>
                <w:color w:val="000000"/>
                <w:kern w:val="0"/>
                <w:sz w:val="24"/>
              </w:rPr>
              <w:t>》（HJ</w:t>
            </w:r>
            <w:r>
              <w:rPr>
                <w:rFonts w:hint="eastAsia"/>
                <w:color w:val="000000"/>
                <w:kern w:val="0"/>
                <w:sz w:val="24"/>
                <w:lang w:val="en-US" w:eastAsia="zh-CN"/>
              </w:rPr>
              <w:t>942</w:t>
            </w:r>
            <w:r>
              <w:rPr>
                <w:rFonts w:hint="eastAsia"/>
                <w:color w:val="000000"/>
                <w:kern w:val="0"/>
                <w:sz w:val="24"/>
              </w:rPr>
              <w:t>-20</w:t>
            </w:r>
            <w:r>
              <w:rPr>
                <w:rFonts w:hint="eastAsia"/>
                <w:color w:val="000000"/>
                <w:kern w:val="0"/>
                <w:sz w:val="24"/>
                <w:lang w:val="en-US" w:eastAsia="zh-CN"/>
              </w:rPr>
              <w:t>18</w:t>
            </w:r>
            <w:r>
              <w:rPr>
                <w:rFonts w:hint="eastAsia"/>
                <w:color w:val="000000"/>
                <w:kern w:val="0"/>
                <w:sz w:val="24"/>
              </w:rPr>
              <w:t>）</w:t>
            </w:r>
            <w:r>
              <w:rPr>
                <w:rFonts w:hint="eastAsia"/>
                <w:color w:val="000000"/>
                <w:sz w:val="24"/>
                <w:lang w:eastAsia="zh-CN"/>
              </w:rPr>
              <w:t>，</w:t>
            </w:r>
            <w:r>
              <w:rPr>
                <w:rFonts w:hint="eastAsia"/>
                <w:color w:val="000000"/>
                <w:kern w:val="0"/>
                <w:sz w:val="24"/>
              </w:rPr>
              <w:t>HJ</w:t>
            </w:r>
            <w:r>
              <w:rPr>
                <w:rFonts w:hint="eastAsia"/>
                <w:color w:val="000000"/>
                <w:kern w:val="0"/>
                <w:sz w:val="24"/>
                <w:lang w:val="en-US" w:eastAsia="zh-CN"/>
              </w:rPr>
              <w:t>942</w:t>
            </w:r>
            <w:r>
              <w:rPr>
                <w:rFonts w:hint="eastAsia"/>
                <w:color w:val="000000"/>
                <w:kern w:val="0"/>
                <w:sz w:val="24"/>
              </w:rPr>
              <w:t>-20</w:t>
            </w:r>
            <w:r>
              <w:rPr>
                <w:rFonts w:hint="eastAsia"/>
                <w:color w:val="000000"/>
                <w:kern w:val="0"/>
                <w:sz w:val="24"/>
                <w:lang w:val="en-US" w:eastAsia="zh-CN"/>
              </w:rPr>
              <w:t>18未对初期雨水做监测计划要求，故</w:t>
            </w:r>
            <w:r>
              <w:rPr>
                <w:rFonts w:hint="eastAsia"/>
                <w:color w:val="000000"/>
                <w:sz w:val="24"/>
              </w:rPr>
              <w:t>本环评不再制定废水自行监测计划。</w:t>
            </w:r>
          </w:p>
          <w:p w14:paraId="4C98D344">
            <w:pPr>
              <w:pStyle w:val="6"/>
              <w:spacing w:line="500" w:lineRule="exact"/>
              <w:ind w:firstLine="0" w:firstLineChars="0"/>
              <w:rPr>
                <w:b/>
                <w:bCs/>
                <w:sz w:val="24"/>
              </w:rPr>
            </w:pPr>
            <w:r>
              <w:rPr>
                <w:b/>
                <w:bCs/>
                <w:sz w:val="24"/>
              </w:rPr>
              <w:t>3.噪声（N）</w:t>
            </w:r>
          </w:p>
          <w:p w14:paraId="2446C437">
            <w:pPr>
              <w:pStyle w:val="6"/>
              <w:spacing w:line="500" w:lineRule="exact"/>
              <w:ind w:firstLine="0" w:firstLineChars="0"/>
              <w:rPr>
                <w:b/>
                <w:bCs/>
                <w:sz w:val="24"/>
              </w:rPr>
            </w:pPr>
            <w:r>
              <w:rPr>
                <w:b/>
                <w:bCs/>
                <w:sz w:val="24"/>
              </w:rPr>
              <w:t>3.1噪声源强及降噪措施</w:t>
            </w:r>
          </w:p>
          <w:p w14:paraId="42C3180F">
            <w:pPr>
              <w:pStyle w:val="6"/>
              <w:spacing w:line="500" w:lineRule="exact"/>
              <w:ind w:firstLine="480"/>
              <w:rPr>
                <w:rFonts w:hint="default" w:eastAsia="宋体"/>
                <w:b/>
                <w:bCs/>
                <w:color w:val="000000"/>
                <w:kern w:val="0"/>
                <w:sz w:val="24"/>
                <w:lang w:val="en-US" w:eastAsia="zh-CN"/>
              </w:rPr>
            </w:pPr>
            <w:r>
              <w:rPr>
                <w:rFonts w:hint="eastAsia"/>
                <w:color w:val="000000"/>
                <w:kern w:val="0"/>
                <w:sz w:val="24"/>
                <w:u w:val="none"/>
                <w:lang w:val="en-US" w:eastAsia="zh-CN"/>
              </w:rPr>
              <w:t>项目运营期</w:t>
            </w:r>
            <w:r>
              <w:rPr>
                <w:rFonts w:hint="eastAsia"/>
                <w:color w:val="000000"/>
                <w:kern w:val="0"/>
                <w:sz w:val="24"/>
                <w:u w:val="none"/>
              </w:rPr>
              <w:t>主要噪声源为</w:t>
            </w:r>
            <w:r>
              <w:rPr>
                <w:rFonts w:hint="eastAsia"/>
                <w:color w:val="000000"/>
                <w:kern w:val="0"/>
                <w:sz w:val="24"/>
                <w:u w:val="none"/>
                <w:lang w:val="en-US" w:eastAsia="zh-CN"/>
              </w:rPr>
              <w:t>厂内吊车、堆高机、叉车</w:t>
            </w:r>
            <w:r>
              <w:rPr>
                <w:rFonts w:hint="eastAsia"/>
                <w:color w:val="000000"/>
                <w:kern w:val="0"/>
                <w:sz w:val="24"/>
                <w:u w:val="none"/>
              </w:rPr>
              <w:t>、</w:t>
            </w:r>
            <w:r>
              <w:rPr>
                <w:rFonts w:hint="eastAsia"/>
                <w:color w:val="000000"/>
                <w:kern w:val="0"/>
                <w:sz w:val="24"/>
                <w:u w:val="none"/>
                <w:lang w:val="en-US" w:eastAsia="zh-CN"/>
              </w:rPr>
              <w:t>来往运输</w:t>
            </w:r>
            <w:r>
              <w:rPr>
                <w:rFonts w:hint="eastAsia"/>
                <w:color w:val="000000"/>
                <w:kern w:val="0"/>
                <w:sz w:val="24"/>
                <w:u w:val="none"/>
              </w:rPr>
              <w:t>车辆的噪声。车辆噪声在70~75dB（A）之间</w:t>
            </w:r>
            <w:bookmarkEnd w:id="21"/>
            <w:r>
              <w:rPr>
                <w:rFonts w:hint="eastAsia"/>
                <w:color w:val="000000"/>
                <w:kern w:val="0"/>
                <w:sz w:val="24"/>
                <w:u w:val="none"/>
                <w:lang w:eastAsia="zh-CN"/>
              </w:rPr>
              <w:t>，</w:t>
            </w:r>
            <w:r>
              <w:rPr>
                <w:rFonts w:hint="eastAsia"/>
                <w:color w:val="000000"/>
                <w:kern w:val="0"/>
                <w:sz w:val="24"/>
                <w:u w:val="none"/>
                <w:lang w:val="en-US" w:eastAsia="zh-CN"/>
              </w:rPr>
              <w:t>风机噪声75~80</w:t>
            </w:r>
            <w:r>
              <w:rPr>
                <w:rFonts w:hint="eastAsia"/>
                <w:color w:val="000000"/>
                <w:kern w:val="0"/>
                <w:sz w:val="24"/>
                <w:u w:val="none"/>
              </w:rPr>
              <w:t>dB（A）</w:t>
            </w:r>
            <w:r>
              <w:rPr>
                <w:rFonts w:hint="eastAsia"/>
                <w:color w:val="000000"/>
                <w:kern w:val="0"/>
                <w:sz w:val="24"/>
                <w:u w:val="none"/>
                <w:lang w:val="en-US" w:eastAsia="zh-CN"/>
              </w:rPr>
              <w:t>之间</w:t>
            </w:r>
            <w:r>
              <w:rPr>
                <w:color w:val="000000"/>
                <w:kern w:val="0"/>
                <w:sz w:val="24"/>
              </w:rPr>
              <w:t>。</w:t>
            </w:r>
          </w:p>
          <w:p w14:paraId="7F9BD17F">
            <w:pPr>
              <w:spacing w:line="500" w:lineRule="exact"/>
              <w:jc w:val="center"/>
              <w:rPr>
                <w:rFonts w:hint="eastAsia"/>
                <w:b/>
                <w:sz w:val="24"/>
              </w:rPr>
            </w:pPr>
            <w:r>
              <w:rPr>
                <w:rFonts w:hint="eastAsia"/>
                <w:b/>
                <w:sz w:val="24"/>
              </w:rPr>
              <w:t>表4-</w:t>
            </w:r>
            <w:r>
              <w:rPr>
                <w:rFonts w:hint="eastAsia"/>
                <w:b/>
                <w:sz w:val="24"/>
                <w:lang w:val="en-US" w:eastAsia="zh-CN"/>
              </w:rPr>
              <w:t>9</w:t>
            </w:r>
            <w:r>
              <w:rPr>
                <w:rFonts w:hint="eastAsia"/>
                <w:b/>
                <w:sz w:val="24"/>
              </w:rPr>
              <w:t xml:space="preserve"> 工业企业噪声源强调查清单 </w:t>
            </w:r>
            <w:r>
              <w:rPr>
                <w:rFonts w:hint="eastAsia"/>
                <w:b/>
                <w:sz w:val="24"/>
                <w:lang w:eastAsia="zh-CN"/>
              </w:rPr>
              <w:t>（</w:t>
            </w:r>
            <w:r>
              <w:rPr>
                <w:rFonts w:hint="eastAsia"/>
                <w:b/>
                <w:sz w:val="24"/>
              </w:rPr>
              <w:t>室外噪声</w:t>
            </w:r>
            <w:r>
              <w:rPr>
                <w:rFonts w:hint="eastAsia"/>
                <w:b/>
                <w:sz w:val="24"/>
                <w:lang w:eastAsia="zh-CN"/>
              </w:rPr>
              <w:t>）</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587"/>
              <w:gridCol w:w="432"/>
              <w:gridCol w:w="738"/>
              <w:gridCol w:w="807"/>
              <w:gridCol w:w="477"/>
              <w:gridCol w:w="1697"/>
              <w:gridCol w:w="983"/>
              <w:gridCol w:w="801"/>
              <w:gridCol w:w="753"/>
              <w:gridCol w:w="754"/>
            </w:tblGrid>
            <w:tr w14:paraId="1F55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8" w:type="dxa"/>
                  <w:vMerge w:val="restart"/>
                  <w:noWrap w:val="0"/>
                  <w:vAlign w:val="center"/>
                </w:tcPr>
                <w:p w14:paraId="13ABBCC3">
                  <w:pPr>
                    <w:adjustRightInd w:val="0"/>
                    <w:snapToGrid w:val="0"/>
                    <w:spacing w:line="240" w:lineRule="exact"/>
                    <w:jc w:val="center"/>
                    <w:rPr>
                      <w:rFonts w:hint="eastAsia"/>
                      <w:color w:val="000000"/>
                      <w:szCs w:val="21"/>
                    </w:rPr>
                  </w:pPr>
                  <w:r>
                    <w:rPr>
                      <w:rFonts w:hint="eastAsia"/>
                      <w:color w:val="000000"/>
                      <w:szCs w:val="21"/>
                    </w:rPr>
                    <w:t>序号</w:t>
                  </w:r>
                </w:p>
              </w:tc>
              <w:tc>
                <w:tcPr>
                  <w:tcW w:w="587" w:type="dxa"/>
                  <w:vMerge w:val="restart"/>
                  <w:noWrap w:val="0"/>
                  <w:vAlign w:val="center"/>
                </w:tcPr>
                <w:p w14:paraId="0BD884EF">
                  <w:pPr>
                    <w:adjustRightInd w:val="0"/>
                    <w:snapToGrid w:val="0"/>
                    <w:spacing w:line="240" w:lineRule="exact"/>
                    <w:jc w:val="center"/>
                    <w:rPr>
                      <w:rFonts w:hint="eastAsia"/>
                      <w:color w:val="000000"/>
                      <w:szCs w:val="21"/>
                    </w:rPr>
                  </w:pPr>
                  <w:r>
                    <w:rPr>
                      <w:rFonts w:hint="eastAsia"/>
                      <w:color w:val="000000"/>
                      <w:szCs w:val="21"/>
                    </w:rPr>
                    <w:t>声源设备</w:t>
                  </w:r>
                </w:p>
              </w:tc>
              <w:tc>
                <w:tcPr>
                  <w:tcW w:w="432" w:type="dxa"/>
                  <w:vMerge w:val="restart"/>
                  <w:noWrap w:val="0"/>
                  <w:vAlign w:val="center"/>
                </w:tcPr>
                <w:p w14:paraId="4B12D770">
                  <w:pPr>
                    <w:adjustRightInd w:val="0"/>
                    <w:snapToGrid w:val="0"/>
                    <w:spacing w:line="240" w:lineRule="exact"/>
                    <w:jc w:val="center"/>
                    <w:rPr>
                      <w:rFonts w:hint="eastAsia"/>
                      <w:color w:val="000000"/>
                      <w:szCs w:val="21"/>
                    </w:rPr>
                  </w:pPr>
                  <w:r>
                    <w:rPr>
                      <w:rFonts w:hint="eastAsia"/>
                      <w:color w:val="000000"/>
                      <w:szCs w:val="21"/>
                    </w:rPr>
                    <w:t>型号</w:t>
                  </w:r>
                </w:p>
              </w:tc>
              <w:tc>
                <w:tcPr>
                  <w:tcW w:w="2022" w:type="dxa"/>
                  <w:gridSpan w:val="3"/>
                  <w:noWrap w:val="0"/>
                  <w:vAlign w:val="center"/>
                </w:tcPr>
                <w:p w14:paraId="763D3552">
                  <w:pPr>
                    <w:adjustRightInd w:val="0"/>
                    <w:snapToGrid w:val="0"/>
                    <w:spacing w:line="240" w:lineRule="exact"/>
                    <w:jc w:val="center"/>
                    <w:rPr>
                      <w:rFonts w:hint="eastAsia"/>
                      <w:color w:val="000000"/>
                      <w:szCs w:val="21"/>
                    </w:rPr>
                  </w:pPr>
                  <w:r>
                    <w:rPr>
                      <w:rFonts w:hint="eastAsia"/>
                      <w:color w:val="000000"/>
                      <w:szCs w:val="21"/>
                    </w:rPr>
                    <w:t>空间相对位置/m</w:t>
                  </w:r>
                </w:p>
              </w:tc>
              <w:tc>
                <w:tcPr>
                  <w:tcW w:w="2680" w:type="dxa"/>
                  <w:gridSpan w:val="2"/>
                  <w:noWrap w:val="0"/>
                  <w:vAlign w:val="center"/>
                </w:tcPr>
                <w:p w14:paraId="6820E66E">
                  <w:pPr>
                    <w:adjustRightInd w:val="0"/>
                    <w:snapToGrid w:val="0"/>
                    <w:spacing w:line="240" w:lineRule="exact"/>
                    <w:jc w:val="center"/>
                    <w:rPr>
                      <w:rFonts w:hint="eastAsia"/>
                      <w:color w:val="000000"/>
                      <w:szCs w:val="21"/>
                    </w:rPr>
                  </w:pPr>
                  <w:r>
                    <w:rPr>
                      <w:rFonts w:hint="eastAsia"/>
                      <w:color w:val="000000"/>
                      <w:szCs w:val="21"/>
                    </w:rPr>
                    <w:t>声</w:t>
                  </w:r>
                  <w:r>
                    <w:rPr>
                      <w:rFonts w:hint="eastAsia"/>
                      <w:color w:val="000000"/>
                      <w:szCs w:val="21"/>
                      <w:highlight w:val="none"/>
                    </w:rPr>
                    <w:t>源源</w:t>
                  </w:r>
                  <w:r>
                    <w:rPr>
                      <w:rFonts w:hint="eastAsia"/>
                      <w:color w:val="000000"/>
                      <w:szCs w:val="21"/>
                    </w:rPr>
                    <w:t>强</w:t>
                  </w:r>
                </w:p>
              </w:tc>
              <w:tc>
                <w:tcPr>
                  <w:tcW w:w="801" w:type="dxa"/>
                  <w:vMerge w:val="restart"/>
                  <w:noWrap w:val="0"/>
                  <w:vAlign w:val="center"/>
                </w:tcPr>
                <w:p w14:paraId="159AB4B6">
                  <w:pPr>
                    <w:adjustRightInd w:val="0"/>
                    <w:snapToGrid w:val="0"/>
                    <w:spacing w:line="240" w:lineRule="exact"/>
                    <w:jc w:val="center"/>
                    <w:rPr>
                      <w:rFonts w:hint="eastAsia"/>
                      <w:color w:val="000000"/>
                      <w:szCs w:val="21"/>
                    </w:rPr>
                  </w:pPr>
                  <w:r>
                    <w:rPr>
                      <w:rFonts w:hint="eastAsia"/>
                      <w:color w:val="000000"/>
                      <w:szCs w:val="21"/>
                    </w:rPr>
                    <w:t>声源控制措施</w:t>
                  </w:r>
                </w:p>
              </w:tc>
              <w:tc>
                <w:tcPr>
                  <w:tcW w:w="753" w:type="dxa"/>
                  <w:vMerge w:val="restart"/>
                  <w:noWrap w:val="0"/>
                  <w:vAlign w:val="center"/>
                </w:tcPr>
                <w:p w14:paraId="4D30C75D">
                  <w:pPr>
                    <w:adjustRightInd w:val="0"/>
                    <w:snapToGrid w:val="0"/>
                    <w:spacing w:line="240" w:lineRule="exact"/>
                    <w:jc w:val="center"/>
                    <w:rPr>
                      <w:rFonts w:hint="eastAsia"/>
                      <w:color w:val="000000"/>
                      <w:szCs w:val="21"/>
                    </w:rPr>
                  </w:pPr>
                  <w:r>
                    <w:rPr>
                      <w:rFonts w:hint="eastAsia"/>
                      <w:color w:val="000000"/>
                      <w:szCs w:val="21"/>
                    </w:rPr>
                    <w:t>运行时段</w:t>
                  </w:r>
                </w:p>
              </w:tc>
              <w:tc>
                <w:tcPr>
                  <w:tcW w:w="754" w:type="dxa"/>
                  <w:vMerge w:val="restart"/>
                  <w:noWrap w:val="0"/>
                  <w:vAlign w:val="center"/>
                </w:tcPr>
                <w:p w14:paraId="5943E90F">
                  <w:pPr>
                    <w:adjustRightInd w:val="0"/>
                    <w:snapToGrid w:val="0"/>
                    <w:spacing w:line="240" w:lineRule="exact"/>
                    <w:jc w:val="center"/>
                    <w:rPr>
                      <w:rFonts w:hint="eastAsia"/>
                      <w:color w:val="000000"/>
                      <w:szCs w:val="21"/>
                    </w:rPr>
                  </w:pPr>
                  <w:r>
                    <w:rPr>
                      <w:rFonts w:hint="eastAsia"/>
                      <w:color w:val="000000"/>
                      <w:szCs w:val="21"/>
                    </w:rPr>
                    <w:t>台数</w:t>
                  </w:r>
                </w:p>
              </w:tc>
            </w:tr>
            <w:tr w14:paraId="4D56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8" w:type="dxa"/>
                  <w:vMerge w:val="continue"/>
                  <w:noWrap w:val="0"/>
                  <w:vAlign w:val="center"/>
                </w:tcPr>
                <w:p w14:paraId="3DAF3886">
                  <w:pPr>
                    <w:adjustRightInd w:val="0"/>
                    <w:snapToGrid w:val="0"/>
                    <w:spacing w:line="240" w:lineRule="exact"/>
                    <w:jc w:val="center"/>
                    <w:rPr>
                      <w:rFonts w:hint="eastAsia"/>
                      <w:color w:val="000000"/>
                      <w:szCs w:val="21"/>
                    </w:rPr>
                  </w:pPr>
                </w:p>
              </w:tc>
              <w:tc>
                <w:tcPr>
                  <w:tcW w:w="587" w:type="dxa"/>
                  <w:vMerge w:val="continue"/>
                  <w:noWrap w:val="0"/>
                  <w:vAlign w:val="center"/>
                </w:tcPr>
                <w:p w14:paraId="11104F5C">
                  <w:pPr>
                    <w:adjustRightInd w:val="0"/>
                    <w:snapToGrid w:val="0"/>
                    <w:spacing w:line="240" w:lineRule="exact"/>
                    <w:jc w:val="center"/>
                    <w:rPr>
                      <w:rFonts w:hint="eastAsia"/>
                      <w:color w:val="000000"/>
                      <w:szCs w:val="21"/>
                    </w:rPr>
                  </w:pPr>
                </w:p>
              </w:tc>
              <w:tc>
                <w:tcPr>
                  <w:tcW w:w="432" w:type="dxa"/>
                  <w:vMerge w:val="continue"/>
                  <w:noWrap w:val="0"/>
                  <w:vAlign w:val="center"/>
                </w:tcPr>
                <w:p w14:paraId="6E88141D">
                  <w:pPr>
                    <w:adjustRightInd w:val="0"/>
                    <w:snapToGrid w:val="0"/>
                    <w:spacing w:line="240" w:lineRule="exact"/>
                    <w:jc w:val="center"/>
                    <w:rPr>
                      <w:rFonts w:hint="eastAsia"/>
                      <w:color w:val="000000"/>
                      <w:szCs w:val="21"/>
                    </w:rPr>
                  </w:pPr>
                </w:p>
              </w:tc>
              <w:tc>
                <w:tcPr>
                  <w:tcW w:w="738" w:type="dxa"/>
                  <w:noWrap w:val="0"/>
                  <w:vAlign w:val="center"/>
                </w:tcPr>
                <w:p w14:paraId="744DC3BE">
                  <w:pPr>
                    <w:adjustRightInd w:val="0"/>
                    <w:snapToGrid w:val="0"/>
                    <w:spacing w:line="240" w:lineRule="exact"/>
                    <w:jc w:val="center"/>
                    <w:rPr>
                      <w:rFonts w:hint="eastAsia"/>
                      <w:color w:val="000000"/>
                      <w:szCs w:val="21"/>
                    </w:rPr>
                  </w:pPr>
                  <w:r>
                    <w:rPr>
                      <w:rFonts w:hint="eastAsia"/>
                      <w:color w:val="000000"/>
                      <w:szCs w:val="21"/>
                    </w:rPr>
                    <w:t>X</w:t>
                  </w:r>
                </w:p>
              </w:tc>
              <w:tc>
                <w:tcPr>
                  <w:tcW w:w="807" w:type="dxa"/>
                  <w:noWrap w:val="0"/>
                  <w:vAlign w:val="center"/>
                </w:tcPr>
                <w:p w14:paraId="2F6E3C2D">
                  <w:pPr>
                    <w:adjustRightInd w:val="0"/>
                    <w:snapToGrid w:val="0"/>
                    <w:spacing w:line="240" w:lineRule="exact"/>
                    <w:jc w:val="center"/>
                    <w:rPr>
                      <w:rFonts w:hint="eastAsia"/>
                      <w:color w:val="000000"/>
                      <w:szCs w:val="21"/>
                    </w:rPr>
                  </w:pPr>
                  <w:r>
                    <w:rPr>
                      <w:rFonts w:hint="eastAsia"/>
                      <w:color w:val="000000"/>
                      <w:szCs w:val="21"/>
                    </w:rPr>
                    <w:t>Y</w:t>
                  </w:r>
                </w:p>
              </w:tc>
              <w:tc>
                <w:tcPr>
                  <w:tcW w:w="477" w:type="dxa"/>
                  <w:noWrap w:val="0"/>
                  <w:vAlign w:val="center"/>
                </w:tcPr>
                <w:p w14:paraId="6028B15C">
                  <w:pPr>
                    <w:adjustRightInd w:val="0"/>
                    <w:snapToGrid w:val="0"/>
                    <w:spacing w:line="240" w:lineRule="exact"/>
                    <w:jc w:val="center"/>
                    <w:rPr>
                      <w:rFonts w:hint="eastAsia"/>
                      <w:color w:val="000000"/>
                      <w:szCs w:val="21"/>
                    </w:rPr>
                  </w:pPr>
                  <w:r>
                    <w:rPr>
                      <w:rFonts w:hint="eastAsia"/>
                      <w:color w:val="000000"/>
                      <w:szCs w:val="21"/>
                    </w:rPr>
                    <w:t>Z</w:t>
                  </w:r>
                </w:p>
              </w:tc>
              <w:tc>
                <w:tcPr>
                  <w:tcW w:w="1697" w:type="dxa"/>
                  <w:noWrap w:val="0"/>
                  <w:vAlign w:val="center"/>
                </w:tcPr>
                <w:p w14:paraId="764C1E8C">
                  <w:pPr>
                    <w:adjustRightInd w:val="0"/>
                    <w:snapToGrid w:val="0"/>
                    <w:spacing w:line="240" w:lineRule="exact"/>
                    <w:jc w:val="center"/>
                    <w:rPr>
                      <w:rFonts w:hint="eastAsia"/>
                      <w:color w:val="000000"/>
                      <w:szCs w:val="21"/>
                    </w:rPr>
                  </w:pPr>
                  <w:r>
                    <w:rPr>
                      <w:rFonts w:hint="eastAsia"/>
                      <w:color w:val="000000"/>
                      <w:szCs w:val="21"/>
                    </w:rPr>
                    <w:t>（声压级/距声源距离）/（dBA/m）</w:t>
                  </w:r>
                </w:p>
              </w:tc>
              <w:tc>
                <w:tcPr>
                  <w:tcW w:w="983" w:type="dxa"/>
                  <w:noWrap w:val="0"/>
                  <w:vAlign w:val="center"/>
                </w:tcPr>
                <w:p w14:paraId="409E65AD">
                  <w:pPr>
                    <w:adjustRightInd w:val="0"/>
                    <w:snapToGrid w:val="0"/>
                    <w:spacing w:line="240" w:lineRule="exact"/>
                    <w:jc w:val="center"/>
                    <w:rPr>
                      <w:rFonts w:hint="eastAsia"/>
                      <w:color w:val="000000"/>
                      <w:szCs w:val="21"/>
                    </w:rPr>
                  </w:pPr>
                  <w:r>
                    <w:rPr>
                      <w:rFonts w:hint="eastAsia"/>
                      <w:color w:val="000000"/>
                      <w:szCs w:val="21"/>
                    </w:rPr>
                    <w:t>声功率级/dB(A)</w:t>
                  </w:r>
                </w:p>
              </w:tc>
              <w:tc>
                <w:tcPr>
                  <w:tcW w:w="801" w:type="dxa"/>
                  <w:vMerge w:val="continue"/>
                  <w:noWrap w:val="0"/>
                  <w:vAlign w:val="center"/>
                </w:tcPr>
                <w:p w14:paraId="058DA3E8">
                  <w:pPr>
                    <w:adjustRightInd w:val="0"/>
                    <w:snapToGrid w:val="0"/>
                    <w:spacing w:line="240" w:lineRule="exact"/>
                    <w:jc w:val="center"/>
                    <w:rPr>
                      <w:rFonts w:hint="eastAsia"/>
                      <w:color w:val="000000"/>
                      <w:szCs w:val="21"/>
                    </w:rPr>
                  </w:pPr>
                </w:p>
              </w:tc>
              <w:tc>
                <w:tcPr>
                  <w:tcW w:w="753" w:type="dxa"/>
                  <w:vMerge w:val="continue"/>
                  <w:noWrap w:val="0"/>
                  <w:vAlign w:val="center"/>
                </w:tcPr>
                <w:p w14:paraId="454E35DA">
                  <w:pPr>
                    <w:adjustRightInd w:val="0"/>
                    <w:snapToGrid w:val="0"/>
                    <w:spacing w:line="240" w:lineRule="exact"/>
                    <w:jc w:val="center"/>
                    <w:rPr>
                      <w:rFonts w:hint="eastAsia"/>
                      <w:color w:val="000000"/>
                      <w:szCs w:val="21"/>
                    </w:rPr>
                  </w:pPr>
                </w:p>
              </w:tc>
              <w:tc>
                <w:tcPr>
                  <w:tcW w:w="754" w:type="dxa"/>
                  <w:vMerge w:val="continue"/>
                  <w:noWrap w:val="0"/>
                  <w:vAlign w:val="center"/>
                </w:tcPr>
                <w:p w14:paraId="10C25A4B">
                  <w:pPr>
                    <w:adjustRightInd w:val="0"/>
                    <w:snapToGrid w:val="0"/>
                    <w:spacing w:line="240" w:lineRule="exact"/>
                    <w:jc w:val="center"/>
                    <w:rPr>
                      <w:rFonts w:hint="eastAsia"/>
                      <w:color w:val="000000"/>
                      <w:szCs w:val="21"/>
                    </w:rPr>
                  </w:pPr>
                </w:p>
              </w:tc>
            </w:tr>
            <w:tr w14:paraId="0280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8" w:type="dxa"/>
                  <w:noWrap w:val="0"/>
                  <w:vAlign w:val="center"/>
                </w:tcPr>
                <w:p w14:paraId="13CF6B6C">
                  <w:pPr>
                    <w:adjustRightInd w:val="0"/>
                    <w:snapToGrid w:val="0"/>
                    <w:spacing w:line="240" w:lineRule="exact"/>
                    <w:jc w:val="center"/>
                    <w:rPr>
                      <w:rFonts w:hint="eastAsia"/>
                      <w:color w:val="000000"/>
                      <w:szCs w:val="21"/>
                    </w:rPr>
                  </w:pPr>
                  <w:r>
                    <w:rPr>
                      <w:rFonts w:hint="eastAsia"/>
                      <w:color w:val="000000"/>
                      <w:szCs w:val="21"/>
                    </w:rPr>
                    <w:t>1</w:t>
                  </w:r>
                </w:p>
              </w:tc>
              <w:tc>
                <w:tcPr>
                  <w:tcW w:w="587" w:type="dxa"/>
                  <w:noWrap w:val="0"/>
                  <w:vAlign w:val="center"/>
                </w:tcPr>
                <w:p w14:paraId="76C30104">
                  <w:pPr>
                    <w:jc w:val="center"/>
                    <w:rPr>
                      <w:rFonts w:hint="eastAsia"/>
                      <w:color w:val="000000"/>
                      <w:szCs w:val="21"/>
                    </w:rPr>
                  </w:pPr>
                  <w:r>
                    <w:rPr>
                      <w:szCs w:val="21"/>
                    </w:rPr>
                    <w:t>车辆</w:t>
                  </w:r>
                </w:p>
              </w:tc>
              <w:tc>
                <w:tcPr>
                  <w:tcW w:w="432" w:type="dxa"/>
                  <w:noWrap w:val="0"/>
                  <w:vAlign w:val="center"/>
                </w:tcPr>
                <w:p w14:paraId="043FA22E">
                  <w:pPr>
                    <w:adjustRightInd w:val="0"/>
                    <w:snapToGrid w:val="0"/>
                    <w:spacing w:line="240" w:lineRule="exact"/>
                    <w:jc w:val="center"/>
                    <w:rPr>
                      <w:rFonts w:hint="eastAsia"/>
                      <w:color w:val="000000"/>
                      <w:szCs w:val="21"/>
                    </w:rPr>
                  </w:pPr>
                  <w:r>
                    <w:rPr>
                      <w:rFonts w:hint="eastAsia"/>
                      <w:color w:val="000000"/>
                      <w:szCs w:val="21"/>
                    </w:rPr>
                    <w:t>—</w:t>
                  </w:r>
                </w:p>
              </w:tc>
              <w:tc>
                <w:tcPr>
                  <w:tcW w:w="738" w:type="dxa"/>
                  <w:noWrap w:val="0"/>
                  <w:vAlign w:val="center"/>
                </w:tcPr>
                <w:p w14:paraId="59675039">
                  <w:pPr>
                    <w:adjustRightInd w:val="0"/>
                    <w:snapToGrid w:val="0"/>
                    <w:spacing w:line="240" w:lineRule="exact"/>
                    <w:jc w:val="center"/>
                    <w:rPr>
                      <w:color w:val="000000"/>
                      <w:szCs w:val="21"/>
                    </w:rPr>
                  </w:pPr>
                  <w:r>
                    <w:rPr>
                      <w:rFonts w:hint="eastAsia"/>
                      <w:color w:val="000000"/>
                      <w:szCs w:val="21"/>
                    </w:rPr>
                    <w:t>—</w:t>
                  </w:r>
                </w:p>
              </w:tc>
              <w:tc>
                <w:tcPr>
                  <w:tcW w:w="807" w:type="dxa"/>
                  <w:noWrap w:val="0"/>
                  <w:vAlign w:val="center"/>
                </w:tcPr>
                <w:p w14:paraId="657A50CB">
                  <w:pPr>
                    <w:adjustRightInd w:val="0"/>
                    <w:snapToGrid w:val="0"/>
                    <w:spacing w:line="240" w:lineRule="exact"/>
                    <w:jc w:val="center"/>
                    <w:rPr>
                      <w:color w:val="000000"/>
                      <w:szCs w:val="21"/>
                    </w:rPr>
                  </w:pPr>
                  <w:r>
                    <w:rPr>
                      <w:rFonts w:hint="eastAsia"/>
                      <w:color w:val="000000"/>
                      <w:szCs w:val="21"/>
                    </w:rPr>
                    <w:t>—</w:t>
                  </w:r>
                </w:p>
              </w:tc>
              <w:tc>
                <w:tcPr>
                  <w:tcW w:w="477" w:type="dxa"/>
                  <w:noWrap w:val="0"/>
                  <w:vAlign w:val="center"/>
                </w:tcPr>
                <w:p w14:paraId="75C3472A">
                  <w:pPr>
                    <w:adjustRightInd w:val="0"/>
                    <w:snapToGrid w:val="0"/>
                    <w:spacing w:line="240" w:lineRule="exact"/>
                    <w:jc w:val="center"/>
                    <w:rPr>
                      <w:rFonts w:hint="eastAsia"/>
                      <w:color w:val="000000"/>
                      <w:szCs w:val="21"/>
                    </w:rPr>
                  </w:pPr>
                  <w:r>
                    <w:rPr>
                      <w:rFonts w:hint="eastAsia"/>
                      <w:color w:val="000000"/>
                      <w:szCs w:val="21"/>
                    </w:rPr>
                    <w:t>1</w:t>
                  </w:r>
                </w:p>
              </w:tc>
              <w:tc>
                <w:tcPr>
                  <w:tcW w:w="1697" w:type="dxa"/>
                  <w:noWrap w:val="0"/>
                  <w:vAlign w:val="center"/>
                </w:tcPr>
                <w:p w14:paraId="6A44BACC">
                  <w:pPr>
                    <w:adjustRightInd w:val="0"/>
                    <w:snapToGrid w:val="0"/>
                    <w:spacing w:line="240" w:lineRule="exact"/>
                    <w:jc w:val="center"/>
                    <w:rPr>
                      <w:rFonts w:hint="eastAsia"/>
                      <w:color w:val="000000"/>
                      <w:szCs w:val="21"/>
                    </w:rPr>
                  </w:pPr>
                  <w:r>
                    <w:rPr>
                      <w:rFonts w:hint="eastAsia"/>
                      <w:color w:val="000000"/>
                      <w:szCs w:val="21"/>
                    </w:rPr>
                    <w:t>75/0</w:t>
                  </w:r>
                </w:p>
              </w:tc>
              <w:tc>
                <w:tcPr>
                  <w:tcW w:w="983" w:type="dxa"/>
                  <w:noWrap w:val="0"/>
                  <w:vAlign w:val="center"/>
                </w:tcPr>
                <w:p w14:paraId="79D9A412">
                  <w:pPr>
                    <w:adjustRightInd w:val="0"/>
                    <w:snapToGrid w:val="0"/>
                    <w:spacing w:line="240" w:lineRule="exact"/>
                    <w:jc w:val="center"/>
                    <w:rPr>
                      <w:rFonts w:hint="eastAsia"/>
                      <w:color w:val="000000"/>
                      <w:szCs w:val="21"/>
                    </w:rPr>
                  </w:pPr>
                  <w:r>
                    <w:rPr>
                      <w:rFonts w:hint="eastAsia"/>
                      <w:color w:val="000000"/>
                      <w:szCs w:val="21"/>
                    </w:rPr>
                    <w:t>—</w:t>
                  </w:r>
                </w:p>
              </w:tc>
              <w:tc>
                <w:tcPr>
                  <w:tcW w:w="801" w:type="dxa"/>
                  <w:noWrap w:val="0"/>
                  <w:vAlign w:val="center"/>
                </w:tcPr>
                <w:p w14:paraId="03815667">
                  <w:pPr>
                    <w:adjustRightInd w:val="0"/>
                    <w:snapToGrid w:val="0"/>
                    <w:spacing w:line="240" w:lineRule="exact"/>
                    <w:jc w:val="center"/>
                    <w:rPr>
                      <w:color w:val="000000"/>
                      <w:szCs w:val="21"/>
                    </w:rPr>
                  </w:pPr>
                  <w:r>
                    <w:rPr>
                      <w:rFonts w:hint="eastAsia"/>
                      <w:color w:val="000000"/>
                      <w:szCs w:val="21"/>
                    </w:rPr>
                    <w:t>隔声</w:t>
                  </w:r>
                </w:p>
              </w:tc>
              <w:tc>
                <w:tcPr>
                  <w:tcW w:w="753" w:type="dxa"/>
                  <w:noWrap w:val="0"/>
                  <w:vAlign w:val="center"/>
                </w:tcPr>
                <w:p w14:paraId="308812D8">
                  <w:pPr>
                    <w:adjustRightInd w:val="0"/>
                    <w:snapToGrid w:val="0"/>
                    <w:spacing w:line="240" w:lineRule="exact"/>
                    <w:jc w:val="center"/>
                    <w:rPr>
                      <w:rFonts w:hint="eastAsia"/>
                      <w:color w:val="000000"/>
                      <w:szCs w:val="21"/>
                    </w:rPr>
                  </w:pPr>
                  <w:r>
                    <w:rPr>
                      <w:rFonts w:hint="eastAsia"/>
                      <w:color w:val="000000"/>
                      <w:szCs w:val="21"/>
                    </w:rPr>
                    <w:t>间断</w:t>
                  </w:r>
                </w:p>
              </w:tc>
              <w:tc>
                <w:tcPr>
                  <w:tcW w:w="754" w:type="dxa"/>
                  <w:noWrap w:val="0"/>
                  <w:vAlign w:val="center"/>
                </w:tcPr>
                <w:p w14:paraId="448CABAD">
                  <w:pPr>
                    <w:adjustRightInd w:val="0"/>
                    <w:snapToGrid w:val="0"/>
                    <w:spacing w:line="240" w:lineRule="exact"/>
                    <w:jc w:val="center"/>
                    <w:rPr>
                      <w:rFonts w:hint="eastAsia"/>
                      <w:color w:val="000000"/>
                      <w:szCs w:val="21"/>
                    </w:rPr>
                  </w:pPr>
                  <w:r>
                    <w:rPr>
                      <w:rFonts w:hint="eastAsia"/>
                      <w:color w:val="000000"/>
                      <w:szCs w:val="21"/>
                    </w:rPr>
                    <w:t>—</w:t>
                  </w:r>
                </w:p>
              </w:tc>
            </w:tr>
          </w:tbl>
          <w:p w14:paraId="4004CCD5">
            <w:pPr>
              <w:spacing w:line="500" w:lineRule="exact"/>
              <w:jc w:val="center"/>
              <w:rPr>
                <w:rFonts w:hint="eastAsia" w:ascii="Times New Roman" w:hAnsi="Times New Roman" w:eastAsia="宋体" w:cs="Times New Roman"/>
                <w:b/>
                <w:sz w:val="24"/>
                <w:lang w:val="en-GB"/>
              </w:rPr>
            </w:pPr>
            <w:r>
              <w:rPr>
                <w:rFonts w:hint="eastAsia" w:ascii="Times New Roman" w:hAnsi="Times New Roman" w:eastAsia="宋体" w:cs="Times New Roman"/>
                <w:b/>
                <w:sz w:val="24"/>
                <w:lang w:val="en-US" w:eastAsia="zh-CN"/>
              </w:rPr>
              <w:t>表4-1</w:t>
            </w:r>
            <w:r>
              <w:rPr>
                <w:rFonts w:hint="eastAsia" w:cs="Times New Roman"/>
                <w:b/>
                <w:sz w:val="24"/>
                <w:lang w:val="en-US" w:eastAsia="zh-CN"/>
              </w:rPr>
              <w:t>0</w:t>
            </w:r>
            <w:r>
              <w:rPr>
                <w:rFonts w:hint="eastAsia" w:ascii="Times New Roman" w:hAnsi="Times New Roman" w:eastAsia="宋体" w:cs="Times New Roman"/>
                <w:b/>
                <w:sz w:val="24"/>
                <w:lang w:val="en-GB"/>
              </w:rPr>
              <w:t xml:space="preserve">工业企业噪声源强调查清单 </w:t>
            </w:r>
            <w:r>
              <w:rPr>
                <w:rFonts w:hint="eastAsia" w:cs="Times New Roman"/>
                <w:b/>
                <w:sz w:val="24"/>
                <w:lang w:val="en-GB" w:eastAsia="zh-CN"/>
              </w:rPr>
              <w:t>（</w:t>
            </w:r>
            <w:r>
              <w:rPr>
                <w:rFonts w:hint="eastAsia" w:ascii="Times New Roman" w:hAnsi="Times New Roman" w:eastAsia="宋体" w:cs="Times New Roman"/>
                <w:b/>
                <w:sz w:val="24"/>
                <w:lang w:val="en-GB"/>
              </w:rPr>
              <w:t>室内噪声</w:t>
            </w:r>
            <w:r>
              <w:rPr>
                <w:rFonts w:hint="eastAsia" w:cs="Times New Roman"/>
                <w:b/>
                <w:sz w:val="24"/>
                <w:lang w:val="en-GB" w:eastAsia="zh-CN"/>
              </w:rPr>
              <w:t>）</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
              <w:gridCol w:w="386"/>
              <w:gridCol w:w="386"/>
              <w:gridCol w:w="386"/>
              <w:gridCol w:w="1041"/>
              <w:gridCol w:w="702"/>
              <w:gridCol w:w="386"/>
              <w:gridCol w:w="354"/>
              <w:gridCol w:w="354"/>
              <w:gridCol w:w="354"/>
              <w:gridCol w:w="394"/>
              <w:gridCol w:w="702"/>
              <w:gridCol w:w="470"/>
              <w:gridCol w:w="702"/>
              <w:gridCol w:w="702"/>
              <w:gridCol w:w="424"/>
              <w:gridCol w:w="386"/>
            </w:tblGrid>
            <w:tr w14:paraId="24CD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5" w:type="dxa"/>
                  <w:vMerge w:val="restart"/>
                  <w:noWrap w:val="0"/>
                  <w:vAlign w:val="center"/>
                </w:tcPr>
                <w:p w14:paraId="3D47DEC9">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序号</w:t>
                  </w:r>
                </w:p>
              </w:tc>
              <w:tc>
                <w:tcPr>
                  <w:tcW w:w="365" w:type="dxa"/>
                  <w:vMerge w:val="restart"/>
                  <w:noWrap w:val="0"/>
                  <w:vAlign w:val="center"/>
                </w:tcPr>
                <w:p w14:paraId="3D27D296">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建筑物名称</w:t>
                  </w:r>
                </w:p>
              </w:tc>
              <w:tc>
                <w:tcPr>
                  <w:tcW w:w="365" w:type="dxa"/>
                  <w:vMerge w:val="restart"/>
                  <w:noWrap w:val="0"/>
                  <w:vAlign w:val="center"/>
                </w:tcPr>
                <w:p w14:paraId="2B727679">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声源名称</w:t>
                  </w:r>
                </w:p>
              </w:tc>
              <w:tc>
                <w:tcPr>
                  <w:tcW w:w="365" w:type="dxa"/>
                  <w:vMerge w:val="restart"/>
                  <w:noWrap w:val="0"/>
                  <w:vAlign w:val="center"/>
                </w:tcPr>
                <w:p w14:paraId="28C92767">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型号</w:t>
                  </w:r>
                </w:p>
              </w:tc>
              <w:tc>
                <w:tcPr>
                  <w:tcW w:w="1695" w:type="dxa"/>
                  <w:gridSpan w:val="2"/>
                  <w:noWrap w:val="0"/>
                  <w:vAlign w:val="center"/>
                </w:tcPr>
                <w:p w14:paraId="4CCCF626">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声源源强</w:t>
                  </w:r>
                </w:p>
              </w:tc>
              <w:tc>
                <w:tcPr>
                  <w:tcW w:w="365" w:type="dxa"/>
                  <w:vMerge w:val="restart"/>
                  <w:noWrap w:val="0"/>
                  <w:vAlign w:val="center"/>
                </w:tcPr>
                <w:p w14:paraId="59CA7DE4">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声源控制措施</w:t>
                  </w:r>
                </w:p>
              </w:tc>
              <w:tc>
                <w:tcPr>
                  <w:tcW w:w="1498" w:type="dxa"/>
                  <w:gridSpan w:val="3"/>
                  <w:noWrap w:val="0"/>
                  <w:vAlign w:val="center"/>
                </w:tcPr>
                <w:p w14:paraId="73804F0B">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空间相对位置/m</w:t>
                  </w:r>
                </w:p>
              </w:tc>
              <w:tc>
                <w:tcPr>
                  <w:tcW w:w="372" w:type="dxa"/>
                  <w:vMerge w:val="restart"/>
                  <w:noWrap w:val="0"/>
                  <w:vAlign w:val="center"/>
                </w:tcPr>
                <w:p w14:paraId="2F857714">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距室内边界距离/m</w:t>
                  </w:r>
                </w:p>
              </w:tc>
              <w:tc>
                <w:tcPr>
                  <w:tcW w:w="644" w:type="dxa"/>
                  <w:vMerge w:val="restart"/>
                  <w:noWrap w:val="0"/>
                  <w:vAlign w:val="center"/>
                </w:tcPr>
                <w:p w14:paraId="06D52AA5">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室内边界声级/dB(A)</w:t>
                  </w:r>
                </w:p>
              </w:tc>
              <w:tc>
                <w:tcPr>
                  <w:tcW w:w="440" w:type="dxa"/>
                  <w:vMerge w:val="restart"/>
                  <w:noWrap w:val="0"/>
                  <w:vAlign w:val="center"/>
                </w:tcPr>
                <w:p w14:paraId="2F27F8CB">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运行时段</w:t>
                  </w:r>
                </w:p>
              </w:tc>
              <w:tc>
                <w:tcPr>
                  <w:tcW w:w="644" w:type="dxa"/>
                  <w:vMerge w:val="restart"/>
                  <w:noWrap w:val="0"/>
                  <w:vAlign w:val="center"/>
                </w:tcPr>
                <w:p w14:paraId="0E4B5D9A">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建筑物插入损失/dB(A)</w:t>
                  </w:r>
                </w:p>
              </w:tc>
              <w:tc>
                <w:tcPr>
                  <w:tcW w:w="1045" w:type="dxa"/>
                  <w:gridSpan w:val="2"/>
                  <w:noWrap w:val="0"/>
                  <w:vAlign w:val="center"/>
                </w:tcPr>
                <w:p w14:paraId="36104387">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建筑物外噪声</w:t>
                  </w:r>
                </w:p>
              </w:tc>
              <w:tc>
                <w:tcPr>
                  <w:tcW w:w="366" w:type="dxa"/>
                  <w:vMerge w:val="restart"/>
                  <w:noWrap w:val="0"/>
                  <w:vAlign w:val="center"/>
                </w:tcPr>
                <w:p w14:paraId="08AF8FE3">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台数</w:t>
                  </w:r>
                </w:p>
              </w:tc>
            </w:tr>
            <w:tr w14:paraId="5247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5" w:type="dxa"/>
                  <w:vMerge w:val="continue"/>
                  <w:noWrap w:val="0"/>
                  <w:vAlign w:val="center"/>
                </w:tcPr>
                <w:p w14:paraId="5017341D">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p>
              </w:tc>
              <w:tc>
                <w:tcPr>
                  <w:tcW w:w="365" w:type="dxa"/>
                  <w:vMerge w:val="continue"/>
                  <w:noWrap w:val="0"/>
                  <w:vAlign w:val="center"/>
                </w:tcPr>
                <w:p w14:paraId="7CAA0820">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p>
              </w:tc>
              <w:tc>
                <w:tcPr>
                  <w:tcW w:w="365" w:type="dxa"/>
                  <w:vMerge w:val="continue"/>
                  <w:noWrap w:val="0"/>
                  <w:vAlign w:val="center"/>
                </w:tcPr>
                <w:p w14:paraId="2BEBC575">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p>
              </w:tc>
              <w:tc>
                <w:tcPr>
                  <w:tcW w:w="365" w:type="dxa"/>
                  <w:vMerge w:val="continue"/>
                  <w:noWrap w:val="0"/>
                  <w:vAlign w:val="center"/>
                </w:tcPr>
                <w:p w14:paraId="20084957">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p>
              </w:tc>
              <w:tc>
                <w:tcPr>
                  <w:tcW w:w="1051" w:type="dxa"/>
                  <w:noWrap w:val="0"/>
                  <w:vAlign w:val="center"/>
                </w:tcPr>
                <w:p w14:paraId="65A12094">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（声压级/距声源距离）/（dBA/m）</w:t>
                  </w:r>
                </w:p>
              </w:tc>
              <w:tc>
                <w:tcPr>
                  <w:tcW w:w="644" w:type="dxa"/>
                  <w:noWrap w:val="0"/>
                  <w:vAlign w:val="center"/>
                </w:tcPr>
                <w:p w14:paraId="12EB33DD">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声功率级/dB(A)</w:t>
                  </w:r>
                </w:p>
              </w:tc>
              <w:tc>
                <w:tcPr>
                  <w:tcW w:w="365" w:type="dxa"/>
                  <w:vMerge w:val="continue"/>
                  <w:noWrap w:val="0"/>
                  <w:vAlign w:val="center"/>
                </w:tcPr>
                <w:p w14:paraId="51C92F61">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p>
              </w:tc>
              <w:tc>
                <w:tcPr>
                  <w:tcW w:w="559" w:type="dxa"/>
                  <w:noWrap w:val="0"/>
                  <w:vAlign w:val="center"/>
                </w:tcPr>
                <w:p w14:paraId="45357F2E">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X</w:t>
                  </w:r>
                </w:p>
              </w:tc>
              <w:tc>
                <w:tcPr>
                  <w:tcW w:w="532" w:type="dxa"/>
                  <w:noWrap w:val="0"/>
                  <w:vAlign w:val="center"/>
                </w:tcPr>
                <w:p w14:paraId="2F35152E">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Y</w:t>
                  </w:r>
                </w:p>
              </w:tc>
              <w:tc>
                <w:tcPr>
                  <w:tcW w:w="407" w:type="dxa"/>
                  <w:noWrap w:val="0"/>
                  <w:vAlign w:val="center"/>
                </w:tcPr>
                <w:p w14:paraId="59A83CCC">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Z</w:t>
                  </w:r>
                </w:p>
              </w:tc>
              <w:tc>
                <w:tcPr>
                  <w:tcW w:w="372" w:type="dxa"/>
                  <w:vMerge w:val="continue"/>
                  <w:noWrap w:val="0"/>
                  <w:vAlign w:val="center"/>
                </w:tcPr>
                <w:p w14:paraId="4083026E">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p>
              </w:tc>
              <w:tc>
                <w:tcPr>
                  <w:tcW w:w="644" w:type="dxa"/>
                  <w:vMerge w:val="continue"/>
                  <w:noWrap w:val="0"/>
                  <w:vAlign w:val="center"/>
                </w:tcPr>
                <w:p w14:paraId="7E1C6DF8">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p>
              </w:tc>
              <w:tc>
                <w:tcPr>
                  <w:tcW w:w="440" w:type="dxa"/>
                  <w:vMerge w:val="continue"/>
                  <w:noWrap w:val="0"/>
                  <w:vAlign w:val="center"/>
                </w:tcPr>
                <w:p w14:paraId="69A69761">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p>
              </w:tc>
              <w:tc>
                <w:tcPr>
                  <w:tcW w:w="644" w:type="dxa"/>
                  <w:vMerge w:val="continue"/>
                  <w:noWrap w:val="0"/>
                  <w:vAlign w:val="center"/>
                </w:tcPr>
                <w:p w14:paraId="327730E9">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p>
              </w:tc>
              <w:tc>
                <w:tcPr>
                  <w:tcW w:w="644" w:type="dxa"/>
                  <w:noWrap w:val="0"/>
                  <w:vAlign w:val="center"/>
                </w:tcPr>
                <w:p w14:paraId="20D109AD">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声压级/dB(A)</w:t>
                  </w:r>
                </w:p>
              </w:tc>
              <w:tc>
                <w:tcPr>
                  <w:tcW w:w="401" w:type="dxa"/>
                  <w:noWrap w:val="0"/>
                  <w:vAlign w:val="center"/>
                </w:tcPr>
                <w:p w14:paraId="6DEC3FF5">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建筑物外距离</w:t>
                  </w:r>
                </w:p>
              </w:tc>
              <w:tc>
                <w:tcPr>
                  <w:tcW w:w="366" w:type="dxa"/>
                  <w:vMerge w:val="continue"/>
                  <w:noWrap w:val="0"/>
                  <w:vAlign w:val="center"/>
                </w:tcPr>
                <w:p w14:paraId="6EE5B36C">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p>
              </w:tc>
            </w:tr>
            <w:tr w14:paraId="6AA6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5" w:type="dxa"/>
                  <w:noWrap w:val="0"/>
                  <w:vAlign w:val="center"/>
                </w:tcPr>
                <w:p w14:paraId="46172552">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1</w:t>
                  </w:r>
                </w:p>
              </w:tc>
              <w:tc>
                <w:tcPr>
                  <w:tcW w:w="365" w:type="dxa"/>
                  <w:noWrap w:val="0"/>
                  <w:vAlign w:val="center"/>
                </w:tcPr>
                <w:p w14:paraId="1A103508">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ascii="Times New Roman" w:hAnsi="Times New Roman" w:eastAsia="宋体" w:cs="Times New Roman"/>
                      <w:color w:val="000000"/>
                      <w:spacing w:val="24"/>
                      <w:kern w:val="0"/>
                      <w:sz w:val="21"/>
                      <w:szCs w:val="21"/>
                      <w:lang w:val="en-US" w:eastAsia="zh-CN"/>
                    </w:rPr>
                    <w:t>2号仓库</w:t>
                  </w:r>
                </w:p>
              </w:tc>
              <w:tc>
                <w:tcPr>
                  <w:tcW w:w="365" w:type="dxa"/>
                  <w:noWrap w:val="0"/>
                  <w:vAlign w:val="center"/>
                </w:tcPr>
                <w:p w14:paraId="5E04132E">
                  <w:pPr>
                    <w:overflowPunct w:val="0"/>
                    <w:autoSpaceDE w:val="0"/>
                    <w:autoSpaceDN w:val="0"/>
                    <w:adjustRightInd w:val="0"/>
                    <w:snapToGrid w:val="0"/>
                    <w:jc w:val="center"/>
                    <w:textAlignment w:val="bottom"/>
                    <w:rPr>
                      <w:rFonts w:hint="eastAsia" w:ascii="Times New Roman" w:hAnsi="Times New Roman" w:eastAsia="宋体" w:cs="Times New Roman"/>
                      <w:color w:val="000000"/>
                      <w:spacing w:val="24"/>
                      <w:kern w:val="0"/>
                      <w:sz w:val="21"/>
                      <w:szCs w:val="21"/>
                      <w:lang w:val="en-US" w:eastAsia="zh-CN"/>
                    </w:rPr>
                  </w:pPr>
                  <w:r>
                    <w:rPr>
                      <w:rFonts w:hint="eastAsia" w:ascii="Times New Roman" w:hAnsi="Times New Roman" w:eastAsia="宋体" w:cs="Times New Roman"/>
                      <w:color w:val="000000"/>
                      <w:spacing w:val="24"/>
                      <w:kern w:val="0"/>
                      <w:sz w:val="21"/>
                      <w:szCs w:val="21"/>
                      <w:lang w:val="en-US" w:eastAsia="zh-CN"/>
                    </w:rPr>
                    <w:t>风机</w:t>
                  </w:r>
                </w:p>
              </w:tc>
              <w:tc>
                <w:tcPr>
                  <w:tcW w:w="365" w:type="dxa"/>
                  <w:noWrap w:val="0"/>
                  <w:vAlign w:val="center"/>
                </w:tcPr>
                <w:p w14:paraId="64B42E2C">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color w:val="000000"/>
                      <w:szCs w:val="21"/>
                    </w:rPr>
                    <w:t>—</w:t>
                  </w:r>
                </w:p>
              </w:tc>
              <w:tc>
                <w:tcPr>
                  <w:tcW w:w="1051" w:type="dxa"/>
                  <w:noWrap w:val="0"/>
                  <w:vAlign w:val="center"/>
                </w:tcPr>
                <w:p w14:paraId="385416DC">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ascii="Times New Roman" w:hAnsi="Times New Roman" w:eastAsia="宋体" w:cs="Times New Roman"/>
                      <w:color w:val="000000"/>
                      <w:spacing w:val="24"/>
                      <w:kern w:val="0"/>
                      <w:sz w:val="21"/>
                      <w:szCs w:val="21"/>
                      <w:lang w:val="en-US" w:eastAsia="zh-CN"/>
                    </w:rPr>
                    <w:t>7</w:t>
                  </w:r>
                  <w:r>
                    <w:rPr>
                      <w:rFonts w:hint="default" w:ascii="Times New Roman" w:hAnsi="Times New Roman" w:eastAsia="宋体" w:cs="Times New Roman"/>
                      <w:color w:val="000000"/>
                      <w:spacing w:val="24"/>
                      <w:kern w:val="0"/>
                      <w:sz w:val="21"/>
                      <w:szCs w:val="21"/>
                    </w:rPr>
                    <w:t>0/0</w:t>
                  </w:r>
                </w:p>
              </w:tc>
              <w:tc>
                <w:tcPr>
                  <w:tcW w:w="644" w:type="dxa"/>
                  <w:noWrap w:val="0"/>
                  <w:vAlign w:val="center"/>
                </w:tcPr>
                <w:p w14:paraId="5A6E5400">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w:t>
                  </w:r>
                </w:p>
              </w:tc>
              <w:tc>
                <w:tcPr>
                  <w:tcW w:w="365" w:type="dxa"/>
                  <w:noWrap w:val="0"/>
                  <w:vAlign w:val="center"/>
                </w:tcPr>
                <w:p w14:paraId="1D1CE4CE">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隔声</w:t>
                  </w:r>
                </w:p>
              </w:tc>
              <w:tc>
                <w:tcPr>
                  <w:tcW w:w="559" w:type="dxa"/>
                  <w:noWrap w:val="0"/>
                  <w:vAlign w:val="center"/>
                </w:tcPr>
                <w:p w14:paraId="6DF1798D">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color w:val="000000"/>
                      <w:szCs w:val="21"/>
                    </w:rPr>
                    <w:t>—</w:t>
                  </w:r>
                </w:p>
              </w:tc>
              <w:tc>
                <w:tcPr>
                  <w:tcW w:w="532" w:type="dxa"/>
                  <w:noWrap w:val="0"/>
                  <w:vAlign w:val="center"/>
                </w:tcPr>
                <w:p w14:paraId="28264732">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color w:val="000000"/>
                      <w:szCs w:val="21"/>
                    </w:rPr>
                    <w:t>—</w:t>
                  </w:r>
                </w:p>
              </w:tc>
              <w:tc>
                <w:tcPr>
                  <w:tcW w:w="407" w:type="dxa"/>
                  <w:noWrap w:val="0"/>
                  <w:vAlign w:val="center"/>
                </w:tcPr>
                <w:p w14:paraId="771C5BDC">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color w:val="000000"/>
                      <w:szCs w:val="21"/>
                    </w:rPr>
                    <w:t>—</w:t>
                  </w:r>
                </w:p>
              </w:tc>
              <w:tc>
                <w:tcPr>
                  <w:tcW w:w="372" w:type="dxa"/>
                  <w:noWrap w:val="0"/>
                  <w:vAlign w:val="center"/>
                </w:tcPr>
                <w:p w14:paraId="68FE8542">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0</w:t>
                  </w:r>
                </w:p>
              </w:tc>
              <w:tc>
                <w:tcPr>
                  <w:tcW w:w="644" w:type="dxa"/>
                  <w:noWrap w:val="0"/>
                  <w:vAlign w:val="center"/>
                </w:tcPr>
                <w:p w14:paraId="51EB2BD8">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ascii="Times New Roman" w:hAnsi="Times New Roman" w:eastAsia="宋体" w:cs="Times New Roman"/>
                      <w:color w:val="000000"/>
                      <w:spacing w:val="24"/>
                      <w:kern w:val="0"/>
                      <w:sz w:val="21"/>
                      <w:szCs w:val="21"/>
                      <w:lang w:val="en-US" w:eastAsia="zh-CN"/>
                    </w:rPr>
                    <w:t>7</w:t>
                  </w:r>
                  <w:r>
                    <w:rPr>
                      <w:rFonts w:hint="default" w:ascii="Times New Roman" w:hAnsi="Times New Roman" w:eastAsia="宋体" w:cs="Times New Roman"/>
                      <w:color w:val="000000"/>
                      <w:spacing w:val="24"/>
                      <w:kern w:val="0"/>
                      <w:sz w:val="21"/>
                      <w:szCs w:val="21"/>
                    </w:rPr>
                    <w:t>0</w:t>
                  </w:r>
                </w:p>
              </w:tc>
              <w:tc>
                <w:tcPr>
                  <w:tcW w:w="440" w:type="dxa"/>
                  <w:noWrap w:val="0"/>
                  <w:vAlign w:val="center"/>
                </w:tcPr>
                <w:p w14:paraId="230B6EC3">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24h</w:t>
                  </w:r>
                </w:p>
              </w:tc>
              <w:tc>
                <w:tcPr>
                  <w:tcW w:w="644" w:type="dxa"/>
                  <w:noWrap w:val="0"/>
                  <w:vAlign w:val="center"/>
                </w:tcPr>
                <w:p w14:paraId="616FDDB3">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lang w:val="en-US" w:eastAsia="zh-CN"/>
                    </w:rPr>
                  </w:pPr>
                  <w:r>
                    <w:rPr>
                      <w:rFonts w:hint="eastAsia" w:ascii="Times New Roman" w:hAnsi="Times New Roman" w:eastAsia="宋体" w:cs="Times New Roman"/>
                      <w:color w:val="000000"/>
                      <w:spacing w:val="24"/>
                      <w:kern w:val="0"/>
                      <w:sz w:val="21"/>
                      <w:szCs w:val="21"/>
                      <w:lang w:val="en-US" w:eastAsia="zh-CN"/>
                    </w:rPr>
                    <w:t>10</w:t>
                  </w:r>
                </w:p>
              </w:tc>
              <w:tc>
                <w:tcPr>
                  <w:tcW w:w="644" w:type="dxa"/>
                  <w:noWrap w:val="0"/>
                  <w:vAlign w:val="center"/>
                </w:tcPr>
                <w:p w14:paraId="388DC93D">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60</w:t>
                  </w:r>
                </w:p>
              </w:tc>
              <w:tc>
                <w:tcPr>
                  <w:tcW w:w="401" w:type="dxa"/>
                  <w:noWrap w:val="0"/>
                  <w:vAlign w:val="center"/>
                </w:tcPr>
                <w:p w14:paraId="21BC6575">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0m</w:t>
                  </w:r>
                </w:p>
              </w:tc>
              <w:tc>
                <w:tcPr>
                  <w:tcW w:w="366" w:type="dxa"/>
                  <w:noWrap w:val="0"/>
                  <w:vAlign w:val="center"/>
                </w:tcPr>
                <w:p w14:paraId="15396EBA">
                  <w:pPr>
                    <w:overflowPunct w:val="0"/>
                    <w:autoSpaceDE w:val="0"/>
                    <w:autoSpaceDN w:val="0"/>
                    <w:adjustRightInd w:val="0"/>
                    <w:snapToGrid w:val="0"/>
                    <w:jc w:val="center"/>
                    <w:textAlignment w:val="bottom"/>
                    <w:rPr>
                      <w:rFonts w:hint="eastAsia" w:ascii="Times New Roman" w:hAnsi="Times New Roman" w:eastAsia="宋体" w:cs="Times New Roman"/>
                      <w:color w:val="000000"/>
                      <w:spacing w:val="24"/>
                      <w:kern w:val="0"/>
                      <w:sz w:val="21"/>
                      <w:szCs w:val="21"/>
                      <w:lang w:eastAsia="zh-CN"/>
                    </w:rPr>
                  </w:pPr>
                  <w:r>
                    <w:rPr>
                      <w:rFonts w:hint="eastAsia" w:ascii="Times New Roman" w:hAnsi="Times New Roman" w:eastAsia="宋体" w:cs="Times New Roman"/>
                      <w:color w:val="000000"/>
                      <w:spacing w:val="24"/>
                      <w:kern w:val="0"/>
                      <w:sz w:val="21"/>
                      <w:szCs w:val="21"/>
                      <w:lang w:val="en-US" w:eastAsia="zh-CN"/>
                    </w:rPr>
                    <w:t>5</w:t>
                  </w:r>
                </w:p>
              </w:tc>
            </w:tr>
            <w:tr w14:paraId="653D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5" w:type="dxa"/>
                  <w:noWrap w:val="0"/>
                  <w:vAlign w:val="center"/>
                </w:tcPr>
                <w:p w14:paraId="22EE1C7A">
                  <w:pPr>
                    <w:overflowPunct w:val="0"/>
                    <w:autoSpaceDE w:val="0"/>
                    <w:autoSpaceDN w:val="0"/>
                    <w:adjustRightInd w:val="0"/>
                    <w:snapToGrid w:val="0"/>
                    <w:jc w:val="center"/>
                    <w:textAlignment w:val="bottom"/>
                    <w:rPr>
                      <w:rFonts w:hint="eastAsia" w:ascii="Times New Roman" w:hAnsi="Times New Roman" w:eastAsia="宋体" w:cs="Times New Roman"/>
                      <w:color w:val="000000"/>
                      <w:spacing w:val="24"/>
                      <w:kern w:val="0"/>
                      <w:sz w:val="21"/>
                      <w:szCs w:val="21"/>
                      <w:lang w:eastAsia="zh-CN"/>
                    </w:rPr>
                  </w:pPr>
                  <w:r>
                    <w:rPr>
                      <w:rFonts w:hint="eastAsia" w:ascii="Times New Roman" w:hAnsi="Times New Roman" w:eastAsia="宋体" w:cs="Times New Roman"/>
                      <w:color w:val="000000"/>
                      <w:spacing w:val="24"/>
                      <w:kern w:val="0"/>
                      <w:sz w:val="21"/>
                      <w:szCs w:val="21"/>
                      <w:lang w:val="en-US" w:eastAsia="zh-CN"/>
                    </w:rPr>
                    <w:t>2</w:t>
                  </w:r>
                </w:p>
              </w:tc>
              <w:tc>
                <w:tcPr>
                  <w:tcW w:w="365" w:type="dxa"/>
                  <w:noWrap w:val="0"/>
                  <w:vAlign w:val="center"/>
                </w:tcPr>
                <w:p w14:paraId="7535CC36">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ascii="Times New Roman" w:hAnsi="Times New Roman" w:eastAsia="宋体" w:cs="Times New Roman"/>
                      <w:color w:val="000000"/>
                      <w:spacing w:val="24"/>
                      <w:kern w:val="0"/>
                      <w:sz w:val="21"/>
                      <w:szCs w:val="21"/>
                      <w:lang w:val="en-US" w:eastAsia="zh-CN"/>
                    </w:rPr>
                    <w:t>4号仓库</w:t>
                  </w:r>
                </w:p>
              </w:tc>
              <w:tc>
                <w:tcPr>
                  <w:tcW w:w="365" w:type="dxa"/>
                  <w:noWrap w:val="0"/>
                  <w:vAlign w:val="center"/>
                </w:tcPr>
                <w:p w14:paraId="52618BCD">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ascii="Times New Roman" w:hAnsi="Times New Roman" w:eastAsia="宋体" w:cs="Times New Roman"/>
                      <w:color w:val="000000"/>
                      <w:spacing w:val="24"/>
                      <w:kern w:val="0"/>
                      <w:sz w:val="21"/>
                      <w:szCs w:val="21"/>
                      <w:lang w:val="en-US" w:eastAsia="zh-CN"/>
                    </w:rPr>
                    <w:t>风机</w:t>
                  </w:r>
                </w:p>
              </w:tc>
              <w:tc>
                <w:tcPr>
                  <w:tcW w:w="365" w:type="dxa"/>
                  <w:noWrap w:val="0"/>
                  <w:vAlign w:val="center"/>
                </w:tcPr>
                <w:p w14:paraId="10496BF0">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color w:val="000000"/>
                      <w:szCs w:val="21"/>
                    </w:rPr>
                    <w:t>—</w:t>
                  </w:r>
                </w:p>
              </w:tc>
              <w:tc>
                <w:tcPr>
                  <w:tcW w:w="1051" w:type="dxa"/>
                  <w:noWrap w:val="0"/>
                  <w:vAlign w:val="center"/>
                </w:tcPr>
                <w:p w14:paraId="0710975B">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ascii="Times New Roman" w:hAnsi="Times New Roman" w:eastAsia="宋体" w:cs="Times New Roman"/>
                      <w:color w:val="000000"/>
                      <w:spacing w:val="24"/>
                      <w:kern w:val="0"/>
                      <w:sz w:val="21"/>
                      <w:szCs w:val="21"/>
                      <w:lang w:val="en-US" w:eastAsia="zh-CN"/>
                    </w:rPr>
                    <w:t>7</w:t>
                  </w:r>
                  <w:r>
                    <w:rPr>
                      <w:rFonts w:hint="default" w:ascii="Times New Roman" w:hAnsi="Times New Roman" w:eastAsia="宋体" w:cs="Times New Roman"/>
                      <w:color w:val="000000"/>
                      <w:spacing w:val="24"/>
                      <w:kern w:val="0"/>
                      <w:sz w:val="21"/>
                      <w:szCs w:val="21"/>
                    </w:rPr>
                    <w:t>0/0</w:t>
                  </w:r>
                </w:p>
              </w:tc>
              <w:tc>
                <w:tcPr>
                  <w:tcW w:w="644" w:type="dxa"/>
                  <w:noWrap w:val="0"/>
                  <w:vAlign w:val="center"/>
                </w:tcPr>
                <w:p w14:paraId="001EA8F4">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w:t>
                  </w:r>
                </w:p>
              </w:tc>
              <w:tc>
                <w:tcPr>
                  <w:tcW w:w="365" w:type="dxa"/>
                  <w:noWrap w:val="0"/>
                  <w:vAlign w:val="center"/>
                </w:tcPr>
                <w:p w14:paraId="56E8B7DD">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隔声</w:t>
                  </w:r>
                </w:p>
              </w:tc>
              <w:tc>
                <w:tcPr>
                  <w:tcW w:w="559" w:type="dxa"/>
                  <w:noWrap w:val="0"/>
                  <w:vAlign w:val="center"/>
                </w:tcPr>
                <w:p w14:paraId="2FBC3656">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color w:val="000000"/>
                      <w:szCs w:val="21"/>
                    </w:rPr>
                    <w:t>—</w:t>
                  </w:r>
                </w:p>
              </w:tc>
              <w:tc>
                <w:tcPr>
                  <w:tcW w:w="532" w:type="dxa"/>
                  <w:noWrap w:val="0"/>
                  <w:vAlign w:val="center"/>
                </w:tcPr>
                <w:p w14:paraId="645336C3">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color w:val="000000"/>
                      <w:szCs w:val="21"/>
                    </w:rPr>
                    <w:t>—</w:t>
                  </w:r>
                </w:p>
              </w:tc>
              <w:tc>
                <w:tcPr>
                  <w:tcW w:w="407" w:type="dxa"/>
                  <w:noWrap w:val="0"/>
                  <w:vAlign w:val="center"/>
                </w:tcPr>
                <w:p w14:paraId="625B57DE">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color w:val="000000"/>
                      <w:szCs w:val="21"/>
                    </w:rPr>
                    <w:t>—</w:t>
                  </w:r>
                </w:p>
              </w:tc>
              <w:tc>
                <w:tcPr>
                  <w:tcW w:w="372" w:type="dxa"/>
                  <w:noWrap w:val="0"/>
                  <w:vAlign w:val="center"/>
                </w:tcPr>
                <w:p w14:paraId="3E0E4FB9">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0</w:t>
                  </w:r>
                </w:p>
              </w:tc>
              <w:tc>
                <w:tcPr>
                  <w:tcW w:w="644" w:type="dxa"/>
                  <w:noWrap w:val="0"/>
                  <w:vAlign w:val="center"/>
                </w:tcPr>
                <w:p w14:paraId="7C5C8B1E">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ascii="Times New Roman" w:hAnsi="Times New Roman" w:eastAsia="宋体" w:cs="Times New Roman"/>
                      <w:color w:val="000000"/>
                      <w:spacing w:val="24"/>
                      <w:kern w:val="0"/>
                      <w:sz w:val="21"/>
                      <w:szCs w:val="21"/>
                      <w:lang w:val="en-US" w:eastAsia="zh-CN"/>
                    </w:rPr>
                    <w:t>7</w:t>
                  </w:r>
                  <w:r>
                    <w:rPr>
                      <w:rFonts w:hint="default" w:ascii="Times New Roman" w:hAnsi="Times New Roman" w:eastAsia="宋体" w:cs="Times New Roman"/>
                      <w:color w:val="000000"/>
                      <w:spacing w:val="24"/>
                      <w:kern w:val="0"/>
                      <w:sz w:val="21"/>
                      <w:szCs w:val="21"/>
                    </w:rPr>
                    <w:t>0</w:t>
                  </w:r>
                </w:p>
              </w:tc>
              <w:tc>
                <w:tcPr>
                  <w:tcW w:w="440" w:type="dxa"/>
                  <w:noWrap w:val="0"/>
                  <w:vAlign w:val="center"/>
                </w:tcPr>
                <w:p w14:paraId="76C6151E">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24h</w:t>
                  </w:r>
                </w:p>
              </w:tc>
              <w:tc>
                <w:tcPr>
                  <w:tcW w:w="644" w:type="dxa"/>
                  <w:noWrap w:val="0"/>
                  <w:vAlign w:val="center"/>
                </w:tcPr>
                <w:p w14:paraId="05BAC8C0">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lang w:val="en-US" w:eastAsia="zh-CN"/>
                    </w:rPr>
                  </w:pPr>
                  <w:r>
                    <w:rPr>
                      <w:rFonts w:hint="eastAsia" w:ascii="Times New Roman" w:hAnsi="Times New Roman" w:eastAsia="宋体" w:cs="Times New Roman"/>
                      <w:color w:val="000000"/>
                      <w:spacing w:val="24"/>
                      <w:kern w:val="0"/>
                      <w:sz w:val="21"/>
                      <w:szCs w:val="21"/>
                      <w:lang w:val="en-US" w:eastAsia="zh-CN"/>
                    </w:rPr>
                    <w:t>10</w:t>
                  </w:r>
                </w:p>
              </w:tc>
              <w:tc>
                <w:tcPr>
                  <w:tcW w:w="644" w:type="dxa"/>
                  <w:noWrap w:val="0"/>
                  <w:vAlign w:val="center"/>
                </w:tcPr>
                <w:p w14:paraId="34B6CC06">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60</w:t>
                  </w:r>
                </w:p>
              </w:tc>
              <w:tc>
                <w:tcPr>
                  <w:tcW w:w="401" w:type="dxa"/>
                  <w:noWrap w:val="0"/>
                  <w:vAlign w:val="center"/>
                </w:tcPr>
                <w:p w14:paraId="5CB46869">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0m</w:t>
                  </w:r>
                </w:p>
              </w:tc>
              <w:tc>
                <w:tcPr>
                  <w:tcW w:w="366" w:type="dxa"/>
                  <w:noWrap w:val="0"/>
                  <w:vAlign w:val="center"/>
                </w:tcPr>
                <w:p w14:paraId="60ACA111">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1</w:t>
                  </w:r>
                </w:p>
              </w:tc>
            </w:tr>
            <w:tr w14:paraId="54D8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5" w:type="dxa"/>
                  <w:noWrap w:val="0"/>
                  <w:vAlign w:val="center"/>
                </w:tcPr>
                <w:p w14:paraId="589185D9">
                  <w:pPr>
                    <w:overflowPunct w:val="0"/>
                    <w:autoSpaceDE w:val="0"/>
                    <w:autoSpaceDN w:val="0"/>
                    <w:adjustRightInd w:val="0"/>
                    <w:snapToGrid w:val="0"/>
                    <w:jc w:val="center"/>
                    <w:textAlignment w:val="bottom"/>
                    <w:rPr>
                      <w:rFonts w:hint="eastAsia" w:ascii="Times New Roman" w:hAnsi="Times New Roman" w:eastAsia="宋体" w:cs="Times New Roman"/>
                      <w:color w:val="000000"/>
                      <w:spacing w:val="24"/>
                      <w:kern w:val="0"/>
                      <w:sz w:val="21"/>
                      <w:szCs w:val="21"/>
                      <w:lang w:val="en-US" w:eastAsia="zh-CN"/>
                    </w:rPr>
                  </w:pPr>
                  <w:r>
                    <w:rPr>
                      <w:rFonts w:hint="eastAsia" w:ascii="Times New Roman" w:hAnsi="Times New Roman" w:eastAsia="宋体" w:cs="Times New Roman"/>
                      <w:color w:val="000000"/>
                      <w:spacing w:val="24"/>
                      <w:kern w:val="0"/>
                      <w:sz w:val="21"/>
                      <w:szCs w:val="21"/>
                      <w:lang w:val="en-US" w:eastAsia="zh-CN"/>
                    </w:rPr>
                    <w:t>3</w:t>
                  </w:r>
                </w:p>
              </w:tc>
              <w:tc>
                <w:tcPr>
                  <w:tcW w:w="365" w:type="dxa"/>
                  <w:noWrap w:val="0"/>
                  <w:vAlign w:val="center"/>
                </w:tcPr>
                <w:p w14:paraId="0DA5F48E">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ascii="Times New Roman" w:hAnsi="Times New Roman" w:eastAsia="宋体" w:cs="Times New Roman"/>
                      <w:color w:val="000000"/>
                      <w:spacing w:val="24"/>
                      <w:kern w:val="0"/>
                      <w:sz w:val="21"/>
                      <w:szCs w:val="21"/>
                      <w:lang w:val="en-US" w:eastAsia="zh-CN"/>
                    </w:rPr>
                    <w:t>5号仓库</w:t>
                  </w:r>
                </w:p>
              </w:tc>
              <w:tc>
                <w:tcPr>
                  <w:tcW w:w="365" w:type="dxa"/>
                  <w:noWrap w:val="0"/>
                  <w:vAlign w:val="center"/>
                </w:tcPr>
                <w:p w14:paraId="4404DA5F">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ascii="Times New Roman" w:hAnsi="Times New Roman" w:eastAsia="宋体" w:cs="Times New Roman"/>
                      <w:color w:val="000000"/>
                      <w:spacing w:val="24"/>
                      <w:kern w:val="0"/>
                      <w:sz w:val="21"/>
                      <w:szCs w:val="21"/>
                      <w:lang w:val="en-US" w:eastAsia="zh-CN"/>
                    </w:rPr>
                    <w:t>风机</w:t>
                  </w:r>
                </w:p>
              </w:tc>
              <w:tc>
                <w:tcPr>
                  <w:tcW w:w="365" w:type="dxa"/>
                  <w:noWrap w:val="0"/>
                  <w:vAlign w:val="center"/>
                </w:tcPr>
                <w:p w14:paraId="4819F3AD">
                  <w:pPr>
                    <w:overflowPunct w:val="0"/>
                    <w:autoSpaceDE w:val="0"/>
                    <w:autoSpaceDN w:val="0"/>
                    <w:adjustRightInd w:val="0"/>
                    <w:snapToGrid w:val="0"/>
                    <w:jc w:val="center"/>
                    <w:textAlignment w:val="bottom"/>
                    <w:rPr>
                      <w:rFonts w:hint="eastAsia" w:ascii="Times New Roman" w:hAnsi="Times New Roman" w:eastAsia="宋体" w:cs="Times New Roman"/>
                      <w:color w:val="000000"/>
                      <w:spacing w:val="24"/>
                      <w:kern w:val="0"/>
                      <w:sz w:val="21"/>
                      <w:szCs w:val="21"/>
                      <w:lang w:val="en-US" w:eastAsia="zh-CN"/>
                    </w:rPr>
                  </w:pPr>
                  <w:r>
                    <w:rPr>
                      <w:rFonts w:hint="eastAsia"/>
                      <w:color w:val="000000"/>
                      <w:szCs w:val="21"/>
                    </w:rPr>
                    <w:t>—</w:t>
                  </w:r>
                </w:p>
              </w:tc>
              <w:tc>
                <w:tcPr>
                  <w:tcW w:w="1051" w:type="dxa"/>
                  <w:noWrap w:val="0"/>
                  <w:vAlign w:val="center"/>
                </w:tcPr>
                <w:p w14:paraId="4BAF1CA3">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ascii="Times New Roman" w:hAnsi="Times New Roman" w:eastAsia="宋体" w:cs="Times New Roman"/>
                      <w:color w:val="000000"/>
                      <w:spacing w:val="24"/>
                      <w:kern w:val="0"/>
                      <w:sz w:val="21"/>
                      <w:szCs w:val="21"/>
                      <w:lang w:val="en-US" w:eastAsia="zh-CN"/>
                    </w:rPr>
                    <w:t>7</w:t>
                  </w:r>
                  <w:r>
                    <w:rPr>
                      <w:rFonts w:hint="default" w:ascii="Times New Roman" w:hAnsi="Times New Roman" w:eastAsia="宋体" w:cs="Times New Roman"/>
                      <w:color w:val="000000"/>
                      <w:spacing w:val="24"/>
                      <w:kern w:val="0"/>
                      <w:sz w:val="21"/>
                      <w:szCs w:val="21"/>
                    </w:rPr>
                    <w:t>0/0</w:t>
                  </w:r>
                </w:p>
              </w:tc>
              <w:tc>
                <w:tcPr>
                  <w:tcW w:w="644" w:type="dxa"/>
                  <w:noWrap w:val="0"/>
                  <w:vAlign w:val="center"/>
                </w:tcPr>
                <w:p w14:paraId="4338D740">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w:t>
                  </w:r>
                </w:p>
              </w:tc>
              <w:tc>
                <w:tcPr>
                  <w:tcW w:w="365" w:type="dxa"/>
                  <w:noWrap w:val="0"/>
                  <w:vAlign w:val="center"/>
                </w:tcPr>
                <w:p w14:paraId="4D172067">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隔声</w:t>
                  </w:r>
                </w:p>
              </w:tc>
              <w:tc>
                <w:tcPr>
                  <w:tcW w:w="559" w:type="dxa"/>
                  <w:noWrap w:val="0"/>
                  <w:vAlign w:val="center"/>
                </w:tcPr>
                <w:p w14:paraId="7FF806F0">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color w:val="000000"/>
                      <w:szCs w:val="21"/>
                    </w:rPr>
                    <w:t>—</w:t>
                  </w:r>
                </w:p>
              </w:tc>
              <w:tc>
                <w:tcPr>
                  <w:tcW w:w="532" w:type="dxa"/>
                  <w:noWrap w:val="0"/>
                  <w:vAlign w:val="center"/>
                </w:tcPr>
                <w:p w14:paraId="18EB19AF">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color w:val="000000"/>
                      <w:szCs w:val="21"/>
                    </w:rPr>
                    <w:t>—</w:t>
                  </w:r>
                </w:p>
              </w:tc>
              <w:tc>
                <w:tcPr>
                  <w:tcW w:w="407" w:type="dxa"/>
                  <w:noWrap w:val="0"/>
                  <w:vAlign w:val="center"/>
                </w:tcPr>
                <w:p w14:paraId="6A04BA17">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color w:val="000000"/>
                      <w:szCs w:val="21"/>
                    </w:rPr>
                    <w:t>—</w:t>
                  </w:r>
                </w:p>
              </w:tc>
              <w:tc>
                <w:tcPr>
                  <w:tcW w:w="372" w:type="dxa"/>
                  <w:noWrap w:val="0"/>
                  <w:vAlign w:val="center"/>
                </w:tcPr>
                <w:p w14:paraId="54B4B022">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0</w:t>
                  </w:r>
                </w:p>
              </w:tc>
              <w:tc>
                <w:tcPr>
                  <w:tcW w:w="644" w:type="dxa"/>
                  <w:noWrap w:val="0"/>
                  <w:vAlign w:val="center"/>
                </w:tcPr>
                <w:p w14:paraId="012F94CC">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ascii="Times New Roman" w:hAnsi="Times New Roman" w:eastAsia="宋体" w:cs="Times New Roman"/>
                      <w:color w:val="000000"/>
                      <w:spacing w:val="24"/>
                      <w:kern w:val="0"/>
                      <w:sz w:val="21"/>
                      <w:szCs w:val="21"/>
                      <w:lang w:val="en-US" w:eastAsia="zh-CN"/>
                    </w:rPr>
                    <w:t>7</w:t>
                  </w:r>
                  <w:r>
                    <w:rPr>
                      <w:rFonts w:hint="default" w:ascii="Times New Roman" w:hAnsi="Times New Roman" w:eastAsia="宋体" w:cs="Times New Roman"/>
                      <w:color w:val="000000"/>
                      <w:spacing w:val="24"/>
                      <w:kern w:val="0"/>
                      <w:sz w:val="21"/>
                      <w:szCs w:val="21"/>
                    </w:rPr>
                    <w:t>0</w:t>
                  </w:r>
                </w:p>
              </w:tc>
              <w:tc>
                <w:tcPr>
                  <w:tcW w:w="440" w:type="dxa"/>
                  <w:noWrap w:val="0"/>
                  <w:vAlign w:val="center"/>
                </w:tcPr>
                <w:p w14:paraId="62BE8F4B">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24h</w:t>
                  </w:r>
                </w:p>
              </w:tc>
              <w:tc>
                <w:tcPr>
                  <w:tcW w:w="644" w:type="dxa"/>
                  <w:noWrap w:val="0"/>
                  <w:vAlign w:val="center"/>
                </w:tcPr>
                <w:p w14:paraId="61134CBB">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lang w:val="en-US" w:eastAsia="zh-CN"/>
                    </w:rPr>
                  </w:pPr>
                  <w:r>
                    <w:rPr>
                      <w:rFonts w:hint="eastAsia" w:ascii="Times New Roman" w:hAnsi="Times New Roman" w:eastAsia="宋体" w:cs="Times New Roman"/>
                      <w:color w:val="000000"/>
                      <w:spacing w:val="24"/>
                      <w:kern w:val="0"/>
                      <w:sz w:val="21"/>
                      <w:szCs w:val="21"/>
                      <w:lang w:val="en-US" w:eastAsia="zh-CN"/>
                    </w:rPr>
                    <w:t>10</w:t>
                  </w:r>
                </w:p>
              </w:tc>
              <w:tc>
                <w:tcPr>
                  <w:tcW w:w="644" w:type="dxa"/>
                  <w:noWrap w:val="0"/>
                  <w:vAlign w:val="center"/>
                </w:tcPr>
                <w:p w14:paraId="3EDF2A0E">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60</w:t>
                  </w:r>
                </w:p>
              </w:tc>
              <w:tc>
                <w:tcPr>
                  <w:tcW w:w="401" w:type="dxa"/>
                  <w:noWrap w:val="0"/>
                  <w:vAlign w:val="center"/>
                </w:tcPr>
                <w:p w14:paraId="640E547D">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default" w:ascii="Times New Roman" w:hAnsi="Times New Roman" w:eastAsia="宋体" w:cs="Times New Roman"/>
                      <w:color w:val="000000"/>
                      <w:spacing w:val="24"/>
                      <w:kern w:val="0"/>
                      <w:sz w:val="21"/>
                      <w:szCs w:val="21"/>
                    </w:rPr>
                    <w:t>0m</w:t>
                  </w:r>
                </w:p>
              </w:tc>
              <w:tc>
                <w:tcPr>
                  <w:tcW w:w="366" w:type="dxa"/>
                  <w:noWrap w:val="0"/>
                  <w:vAlign w:val="center"/>
                </w:tcPr>
                <w:p w14:paraId="40E58989">
                  <w:pPr>
                    <w:overflowPunct w:val="0"/>
                    <w:autoSpaceDE w:val="0"/>
                    <w:autoSpaceDN w:val="0"/>
                    <w:adjustRightInd w:val="0"/>
                    <w:snapToGrid w:val="0"/>
                    <w:jc w:val="center"/>
                    <w:textAlignment w:val="bottom"/>
                    <w:rPr>
                      <w:rFonts w:hint="default" w:ascii="Times New Roman" w:hAnsi="Times New Roman" w:eastAsia="宋体" w:cs="Times New Roman"/>
                      <w:color w:val="000000"/>
                      <w:spacing w:val="24"/>
                      <w:kern w:val="0"/>
                      <w:sz w:val="21"/>
                      <w:szCs w:val="21"/>
                    </w:rPr>
                  </w:pPr>
                  <w:r>
                    <w:rPr>
                      <w:rFonts w:hint="eastAsia" w:ascii="Times New Roman" w:hAnsi="Times New Roman" w:eastAsia="宋体" w:cs="Times New Roman"/>
                      <w:color w:val="000000"/>
                      <w:spacing w:val="24"/>
                      <w:kern w:val="0"/>
                      <w:sz w:val="21"/>
                      <w:szCs w:val="21"/>
                      <w:lang w:val="en-US" w:eastAsia="zh-CN"/>
                    </w:rPr>
                    <w:t>1</w:t>
                  </w:r>
                </w:p>
              </w:tc>
            </w:tr>
          </w:tbl>
          <w:p w14:paraId="6BCC828D">
            <w:pPr>
              <w:pStyle w:val="6"/>
              <w:spacing w:line="500" w:lineRule="exact"/>
              <w:ind w:firstLine="0" w:firstLineChars="0"/>
              <w:rPr>
                <w:b/>
                <w:bCs/>
                <w:sz w:val="24"/>
              </w:rPr>
            </w:pPr>
            <w:r>
              <w:rPr>
                <w:b/>
                <w:bCs/>
                <w:sz w:val="24"/>
              </w:rPr>
              <w:t>3.2噪声预测</w:t>
            </w:r>
          </w:p>
          <w:p w14:paraId="20CC0C48">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本评价采用《环境影响评价技术导则 声环境》（HJ2.4-2021）中推荐的噪声预测模式进行预测。</w:t>
            </w:r>
          </w:p>
          <w:p w14:paraId="6DDDFA47">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声源有室外和室内两种声源，应分别计算。</w:t>
            </w:r>
          </w:p>
          <w:p w14:paraId="3F38A1C7">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⑴单个室外的点声源在预测点产生的声级计算基本公式</w:t>
            </w:r>
          </w:p>
          <w:p w14:paraId="1A2A3BA0">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① 如已知声源的倍频带声功率级（从63Hz到8KHz标称频带中心频率的8个倍频带），预测点位置的倍频带声压级Lp</w:t>
            </w:r>
            <w:r>
              <w:rPr>
                <w:rFonts w:hint="eastAsia" w:cs="Times New Roman"/>
                <w:b w:val="0"/>
                <w:bCs w:val="0"/>
                <w:sz w:val="24"/>
                <w:lang w:eastAsia="zh-CN"/>
              </w:rPr>
              <w:t>（</w:t>
            </w:r>
            <w:r>
              <w:rPr>
                <w:rFonts w:hint="eastAsia" w:ascii="Times New Roman" w:hAnsi="Times New Roman" w:eastAsia="宋体" w:cs="Times New Roman"/>
                <w:b w:val="0"/>
                <w:bCs w:val="0"/>
                <w:sz w:val="24"/>
                <w:lang w:eastAsia="zh-CN"/>
              </w:rPr>
              <w:t>r</w:t>
            </w:r>
            <w:r>
              <w:rPr>
                <w:rFonts w:hint="eastAsia" w:cs="Times New Roman"/>
                <w:b w:val="0"/>
                <w:bCs w:val="0"/>
                <w:sz w:val="24"/>
                <w:lang w:eastAsia="zh-CN"/>
              </w:rPr>
              <w:t>）</w:t>
            </w:r>
            <w:r>
              <w:rPr>
                <w:rFonts w:hint="eastAsia" w:ascii="Times New Roman" w:hAnsi="Times New Roman" w:eastAsia="宋体" w:cs="Times New Roman"/>
                <w:b w:val="0"/>
                <w:bCs w:val="0"/>
                <w:sz w:val="24"/>
                <w:lang w:eastAsia="zh-CN"/>
              </w:rPr>
              <w:t>可按公式（A.1）计算：</w:t>
            </w:r>
          </w:p>
          <w:p w14:paraId="5A56C990">
            <w:pPr>
              <w:pStyle w:val="6"/>
              <w:spacing w:line="500" w:lineRule="exact"/>
              <w:ind w:firstLine="240" w:firstLineChars="100"/>
              <w:jc w:val="center"/>
              <w:rPr>
                <w:rFonts w:hint="eastAsia"/>
                <w:b w:val="0"/>
                <w:bCs w:val="0"/>
                <w:sz w:val="24"/>
                <w:lang w:eastAsia="zh-CN"/>
              </w:rPr>
            </w:pPr>
            <w:r>
              <w:rPr>
                <w:rFonts w:hint="eastAsia"/>
                <w:b w:val="0"/>
                <w:bCs w:val="0"/>
                <w:sz w:val="24"/>
                <w:lang w:eastAsia="zh-CN"/>
              </w:rPr>
              <w:t>Lp(r)=Lw+D</w:t>
            </w:r>
            <w:r>
              <w:rPr>
                <w:rFonts w:hint="eastAsia"/>
                <w:b w:val="0"/>
                <w:bCs w:val="0"/>
                <w:sz w:val="24"/>
                <w:vertAlign w:val="subscript"/>
                <w:lang w:eastAsia="zh-CN"/>
              </w:rPr>
              <w:t>C</w:t>
            </w:r>
            <w:r>
              <w:rPr>
                <w:rFonts w:hint="eastAsia"/>
                <w:b w:val="0"/>
                <w:bCs w:val="0"/>
                <w:sz w:val="24"/>
                <w:lang w:eastAsia="zh-CN"/>
              </w:rPr>
              <w:t>－A                     (A.1)</w:t>
            </w:r>
          </w:p>
          <w:p w14:paraId="4112C11A">
            <w:pPr>
              <w:pStyle w:val="6"/>
              <w:spacing w:line="500" w:lineRule="exact"/>
              <w:ind w:firstLine="240" w:firstLineChars="100"/>
              <w:jc w:val="center"/>
              <w:rPr>
                <w:rFonts w:hint="eastAsia"/>
                <w:b w:val="0"/>
                <w:bCs w:val="0"/>
                <w:sz w:val="24"/>
                <w:lang w:eastAsia="zh-CN"/>
              </w:rPr>
            </w:pPr>
            <w:r>
              <w:rPr>
                <w:rFonts w:hint="eastAsia"/>
                <w:b w:val="0"/>
                <w:bCs w:val="0"/>
                <w:sz w:val="24"/>
                <w:lang w:eastAsia="zh-CN"/>
              </w:rPr>
              <w:t>A=</w:t>
            </w:r>
            <w:r>
              <w:rPr>
                <w:rFonts w:hint="eastAsia"/>
                <w:b w:val="0"/>
                <w:bCs w:val="0"/>
                <w:sz w:val="24"/>
                <w:vertAlign w:val="subscript"/>
                <w:lang w:eastAsia="zh-CN"/>
              </w:rPr>
              <w:t>Adiv</w:t>
            </w:r>
            <w:r>
              <w:rPr>
                <w:rFonts w:hint="eastAsia"/>
                <w:b w:val="0"/>
                <w:bCs w:val="0"/>
                <w:sz w:val="24"/>
                <w:lang w:eastAsia="zh-CN"/>
              </w:rPr>
              <w:t>＋A</w:t>
            </w:r>
            <w:r>
              <w:rPr>
                <w:rFonts w:hint="eastAsia"/>
                <w:b w:val="0"/>
                <w:bCs w:val="0"/>
                <w:sz w:val="24"/>
                <w:vertAlign w:val="subscript"/>
                <w:lang w:eastAsia="zh-CN"/>
              </w:rPr>
              <w:t>atm</w:t>
            </w:r>
            <w:r>
              <w:rPr>
                <w:rFonts w:hint="eastAsia"/>
                <w:b w:val="0"/>
                <w:bCs w:val="0"/>
                <w:sz w:val="24"/>
                <w:lang w:eastAsia="zh-CN"/>
              </w:rPr>
              <w:t>＋A</w:t>
            </w:r>
            <w:r>
              <w:rPr>
                <w:rFonts w:hint="eastAsia"/>
                <w:b w:val="0"/>
                <w:bCs w:val="0"/>
                <w:sz w:val="24"/>
                <w:vertAlign w:val="subscript"/>
                <w:lang w:eastAsia="zh-CN"/>
              </w:rPr>
              <w:t>gr</w:t>
            </w:r>
            <w:r>
              <w:rPr>
                <w:rFonts w:hint="eastAsia"/>
                <w:b w:val="0"/>
                <w:bCs w:val="0"/>
                <w:sz w:val="24"/>
                <w:lang w:eastAsia="zh-CN"/>
              </w:rPr>
              <w:t>＋A</w:t>
            </w:r>
            <w:r>
              <w:rPr>
                <w:rFonts w:hint="eastAsia"/>
                <w:b w:val="0"/>
                <w:bCs w:val="0"/>
                <w:sz w:val="24"/>
                <w:vertAlign w:val="subscript"/>
                <w:lang w:eastAsia="zh-CN"/>
              </w:rPr>
              <w:t>bar</w:t>
            </w:r>
            <w:r>
              <w:rPr>
                <w:rFonts w:hint="eastAsia"/>
                <w:b w:val="0"/>
                <w:bCs w:val="0"/>
                <w:sz w:val="24"/>
                <w:lang w:eastAsia="zh-CN"/>
              </w:rPr>
              <w:t>＋A</w:t>
            </w:r>
            <w:r>
              <w:rPr>
                <w:rFonts w:hint="eastAsia"/>
                <w:b w:val="0"/>
                <w:bCs w:val="0"/>
                <w:sz w:val="24"/>
                <w:vertAlign w:val="subscript"/>
                <w:lang w:eastAsia="zh-CN"/>
              </w:rPr>
              <w:t>misc</w:t>
            </w:r>
          </w:p>
          <w:p w14:paraId="45D0F07A">
            <w:pPr>
              <w:pStyle w:val="6"/>
              <w:spacing w:line="500" w:lineRule="exact"/>
              <w:ind w:firstLine="240" w:firstLineChars="100"/>
              <w:rPr>
                <w:rFonts w:hint="eastAsia"/>
                <w:b w:val="0"/>
                <w:bCs w:val="0"/>
                <w:sz w:val="24"/>
                <w:lang w:eastAsia="zh-CN"/>
              </w:rPr>
            </w:pPr>
            <w:r>
              <w:rPr>
                <w:rFonts w:hint="eastAsia"/>
                <w:b w:val="0"/>
                <w:bCs w:val="0"/>
                <w:sz w:val="24"/>
                <w:lang w:eastAsia="zh-CN"/>
              </w:rPr>
              <w:t>式中：Lp(r)——预测点处声压级，dB；</w:t>
            </w:r>
          </w:p>
          <w:p w14:paraId="636BCD0E">
            <w:pPr>
              <w:pStyle w:val="6"/>
              <w:spacing w:line="500" w:lineRule="exact"/>
              <w:ind w:firstLine="960" w:firstLineChars="400"/>
              <w:rPr>
                <w:rFonts w:hint="eastAsia"/>
                <w:b w:val="0"/>
                <w:bCs w:val="0"/>
                <w:sz w:val="24"/>
                <w:lang w:eastAsia="zh-CN"/>
              </w:rPr>
            </w:pPr>
            <w:r>
              <w:rPr>
                <w:rFonts w:hint="eastAsia"/>
                <w:b w:val="0"/>
                <w:bCs w:val="0"/>
                <w:sz w:val="24"/>
                <w:lang w:eastAsia="zh-CN"/>
              </w:rPr>
              <w:t>Lw——由点声源产生的声功率级（A计权或倍频带），dB；</w:t>
            </w:r>
          </w:p>
          <w:p w14:paraId="020C891A">
            <w:pPr>
              <w:pStyle w:val="6"/>
              <w:spacing w:line="500" w:lineRule="exact"/>
              <w:ind w:firstLine="960" w:firstLineChars="400"/>
              <w:rPr>
                <w:rFonts w:hint="eastAsia"/>
                <w:b w:val="0"/>
                <w:bCs w:val="0"/>
                <w:sz w:val="24"/>
                <w:lang w:eastAsia="zh-CN"/>
              </w:rPr>
            </w:pPr>
            <w:r>
              <w:rPr>
                <w:rFonts w:hint="eastAsia"/>
                <w:b w:val="0"/>
                <w:bCs w:val="0"/>
                <w:sz w:val="24"/>
                <w:lang w:eastAsia="zh-CN"/>
              </w:rPr>
              <w:t>D</w:t>
            </w:r>
            <w:r>
              <w:rPr>
                <w:rFonts w:hint="eastAsia"/>
                <w:b w:val="0"/>
                <w:bCs w:val="0"/>
                <w:sz w:val="24"/>
                <w:vertAlign w:val="subscript"/>
                <w:lang w:eastAsia="zh-CN"/>
              </w:rPr>
              <w:t>C</w:t>
            </w:r>
            <w:r>
              <w:rPr>
                <w:rFonts w:hint="eastAsia"/>
                <w:b w:val="0"/>
                <w:bCs w:val="0"/>
                <w:sz w:val="24"/>
                <w:lang w:eastAsia="zh-CN"/>
              </w:rPr>
              <w:t>——指向性校正，它描述点声源的等效连续声压级与产生声功率级Lw的全向点声源在规定方向的声级的偏差程度，dB；</w:t>
            </w:r>
          </w:p>
          <w:p w14:paraId="5965172C">
            <w:pPr>
              <w:pStyle w:val="6"/>
              <w:spacing w:line="500" w:lineRule="exact"/>
              <w:ind w:firstLine="960" w:firstLineChars="400"/>
              <w:rPr>
                <w:rFonts w:hint="eastAsia"/>
                <w:b w:val="0"/>
                <w:bCs w:val="0"/>
                <w:sz w:val="24"/>
                <w:lang w:eastAsia="zh-CN"/>
              </w:rPr>
            </w:pPr>
            <w:r>
              <w:rPr>
                <w:rFonts w:hint="eastAsia"/>
                <w:b w:val="0"/>
                <w:bCs w:val="0"/>
                <w:sz w:val="24"/>
                <w:lang w:eastAsia="zh-CN"/>
              </w:rPr>
              <w:t>A</w:t>
            </w:r>
            <w:r>
              <w:rPr>
                <w:rFonts w:hint="eastAsia"/>
                <w:b w:val="0"/>
                <w:bCs w:val="0"/>
                <w:sz w:val="24"/>
                <w:vertAlign w:val="subscript"/>
                <w:lang w:eastAsia="zh-CN"/>
              </w:rPr>
              <w:t>div</w:t>
            </w:r>
            <w:r>
              <w:rPr>
                <w:rFonts w:hint="eastAsia"/>
                <w:b w:val="0"/>
                <w:bCs w:val="0"/>
                <w:sz w:val="24"/>
                <w:lang w:eastAsia="zh-CN"/>
              </w:rPr>
              <w:t>——几何发散引起的衰减，dB；</w:t>
            </w:r>
          </w:p>
          <w:p w14:paraId="21337A24">
            <w:pPr>
              <w:pStyle w:val="6"/>
              <w:spacing w:line="500" w:lineRule="exact"/>
              <w:ind w:firstLine="960" w:firstLineChars="400"/>
              <w:rPr>
                <w:rFonts w:hint="eastAsia"/>
                <w:b w:val="0"/>
                <w:bCs w:val="0"/>
                <w:sz w:val="24"/>
                <w:lang w:eastAsia="zh-CN"/>
              </w:rPr>
            </w:pPr>
            <w:r>
              <w:rPr>
                <w:rFonts w:hint="eastAsia"/>
                <w:b w:val="0"/>
                <w:bCs w:val="0"/>
                <w:sz w:val="24"/>
                <w:lang w:eastAsia="zh-CN"/>
              </w:rPr>
              <w:t>A</w:t>
            </w:r>
            <w:r>
              <w:rPr>
                <w:rFonts w:hint="eastAsia"/>
                <w:b w:val="0"/>
                <w:bCs w:val="0"/>
                <w:sz w:val="24"/>
                <w:vertAlign w:val="subscript"/>
                <w:lang w:eastAsia="zh-CN"/>
              </w:rPr>
              <w:t>atm</w:t>
            </w:r>
            <w:r>
              <w:rPr>
                <w:rFonts w:hint="eastAsia"/>
                <w:b w:val="0"/>
                <w:bCs w:val="0"/>
                <w:sz w:val="24"/>
                <w:lang w:eastAsia="zh-CN"/>
              </w:rPr>
              <w:t>——大气吸收引起的衰减，dB；</w:t>
            </w:r>
          </w:p>
          <w:p w14:paraId="6E124580">
            <w:pPr>
              <w:pStyle w:val="6"/>
              <w:spacing w:line="500" w:lineRule="exact"/>
              <w:ind w:firstLine="960" w:firstLineChars="400"/>
              <w:rPr>
                <w:rFonts w:hint="eastAsia"/>
                <w:b w:val="0"/>
                <w:bCs w:val="0"/>
                <w:sz w:val="24"/>
                <w:lang w:eastAsia="zh-CN"/>
              </w:rPr>
            </w:pPr>
            <w:r>
              <w:rPr>
                <w:rFonts w:hint="eastAsia"/>
                <w:b w:val="0"/>
                <w:bCs w:val="0"/>
                <w:sz w:val="24"/>
                <w:lang w:eastAsia="zh-CN"/>
              </w:rPr>
              <w:t>A</w:t>
            </w:r>
            <w:r>
              <w:rPr>
                <w:rFonts w:hint="eastAsia"/>
                <w:b w:val="0"/>
                <w:bCs w:val="0"/>
                <w:sz w:val="24"/>
                <w:vertAlign w:val="subscript"/>
                <w:lang w:eastAsia="zh-CN"/>
              </w:rPr>
              <w:t>gr</w:t>
            </w:r>
            <w:r>
              <w:rPr>
                <w:rFonts w:hint="eastAsia"/>
                <w:b w:val="0"/>
                <w:bCs w:val="0"/>
                <w:sz w:val="24"/>
                <w:lang w:eastAsia="zh-CN"/>
              </w:rPr>
              <w:t>——地面效应引起的衰减，dB；</w:t>
            </w:r>
          </w:p>
          <w:p w14:paraId="6DDD05CE">
            <w:pPr>
              <w:pStyle w:val="6"/>
              <w:spacing w:line="500" w:lineRule="exact"/>
              <w:ind w:firstLine="960" w:firstLineChars="400"/>
              <w:rPr>
                <w:rFonts w:hint="eastAsia"/>
                <w:b w:val="0"/>
                <w:bCs w:val="0"/>
                <w:sz w:val="24"/>
                <w:lang w:eastAsia="zh-CN"/>
              </w:rPr>
            </w:pPr>
            <w:r>
              <w:rPr>
                <w:rFonts w:hint="eastAsia"/>
                <w:b w:val="0"/>
                <w:bCs w:val="0"/>
                <w:sz w:val="24"/>
                <w:lang w:eastAsia="zh-CN"/>
              </w:rPr>
              <w:t>A</w:t>
            </w:r>
            <w:r>
              <w:rPr>
                <w:rFonts w:hint="eastAsia"/>
                <w:b w:val="0"/>
                <w:bCs w:val="0"/>
                <w:sz w:val="24"/>
                <w:vertAlign w:val="subscript"/>
                <w:lang w:eastAsia="zh-CN"/>
              </w:rPr>
              <w:t>bar</w:t>
            </w:r>
            <w:r>
              <w:rPr>
                <w:rFonts w:hint="eastAsia"/>
                <w:b w:val="0"/>
                <w:bCs w:val="0"/>
                <w:sz w:val="24"/>
                <w:lang w:eastAsia="zh-CN"/>
              </w:rPr>
              <w:t>——障碍物屏蔽引起的衰减，dB；</w:t>
            </w:r>
          </w:p>
          <w:p w14:paraId="2FA7F0EA">
            <w:pPr>
              <w:pStyle w:val="6"/>
              <w:spacing w:line="500" w:lineRule="exact"/>
              <w:ind w:firstLine="960" w:firstLineChars="400"/>
              <w:rPr>
                <w:rFonts w:hint="eastAsia"/>
                <w:b w:val="0"/>
                <w:bCs w:val="0"/>
                <w:sz w:val="24"/>
                <w:lang w:eastAsia="zh-CN"/>
              </w:rPr>
            </w:pPr>
            <w:r>
              <w:rPr>
                <w:rFonts w:hint="eastAsia"/>
                <w:b w:val="0"/>
                <w:bCs w:val="0"/>
                <w:sz w:val="24"/>
                <w:lang w:eastAsia="zh-CN"/>
              </w:rPr>
              <w:t>A</w:t>
            </w:r>
            <w:r>
              <w:rPr>
                <w:rFonts w:hint="eastAsia"/>
                <w:b w:val="0"/>
                <w:bCs w:val="0"/>
                <w:sz w:val="24"/>
                <w:vertAlign w:val="subscript"/>
                <w:lang w:eastAsia="zh-CN"/>
              </w:rPr>
              <w:t>misc</w:t>
            </w:r>
            <w:r>
              <w:rPr>
                <w:rFonts w:hint="eastAsia"/>
                <w:b w:val="0"/>
                <w:bCs w:val="0"/>
                <w:sz w:val="24"/>
                <w:lang w:eastAsia="zh-CN"/>
              </w:rPr>
              <w:t>——其他多方面效应引起的衰减，dB。</w:t>
            </w:r>
          </w:p>
          <w:p w14:paraId="1A167F19">
            <w:pPr>
              <w:pStyle w:val="6"/>
              <w:spacing w:line="500" w:lineRule="exact"/>
              <w:ind w:firstLine="240" w:firstLineChars="100"/>
              <w:rPr>
                <w:rFonts w:hint="eastAsia"/>
                <w:b w:val="0"/>
                <w:bCs w:val="0"/>
                <w:sz w:val="24"/>
                <w:lang w:eastAsia="zh-CN"/>
              </w:rPr>
            </w:pPr>
            <w:r>
              <w:rPr>
                <w:rFonts w:hint="eastAsia"/>
                <w:b w:val="0"/>
                <w:bCs w:val="0"/>
                <w:sz w:val="24"/>
                <w:lang w:eastAsia="zh-CN"/>
              </w:rPr>
              <w:t>② 如已知靠近声源处某点的倍频带声压级Lp（r</w:t>
            </w:r>
            <w:r>
              <w:rPr>
                <w:rFonts w:hint="eastAsia"/>
                <w:b w:val="0"/>
                <w:bCs w:val="0"/>
                <w:sz w:val="24"/>
                <w:vertAlign w:val="subscript"/>
                <w:lang w:eastAsia="zh-CN"/>
              </w:rPr>
              <w:t>0）</w:t>
            </w:r>
            <w:r>
              <w:rPr>
                <w:rFonts w:hint="eastAsia"/>
                <w:b w:val="0"/>
                <w:bCs w:val="0"/>
                <w:sz w:val="24"/>
                <w:lang w:eastAsia="zh-CN"/>
              </w:rPr>
              <w:t>时，相同方向预测点位置的倍频带声压级Lp（r）可按公式（A.2）计算：</w:t>
            </w:r>
          </w:p>
          <w:p w14:paraId="2CBFA48E">
            <w:pPr>
              <w:pStyle w:val="6"/>
              <w:spacing w:line="500" w:lineRule="exact"/>
              <w:ind w:firstLine="240" w:firstLineChars="100"/>
              <w:jc w:val="center"/>
              <w:rPr>
                <w:rFonts w:hint="eastAsia"/>
                <w:b w:val="0"/>
                <w:bCs w:val="0"/>
                <w:sz w:val="24"/>
                <w:szCs w:val="24"/>
                <w:lang w:eastAsia="zh-CN"/>
              </w:rPr>
            </w:pPr>
            <w:r>
              <w:rPr>
                <w:rFonts w:hint="eastAsia"/>
                <w:color w:val="auto"/>
                <w:sz w:val="24"/>
                <w:szCs w:val="24"/>
                <w:u w:val="none"/>
                <w:lang w:val="en-US" w:eastAsia="zh-CN"/>
              </w:rPr>
              <w:t xml:space="preserve">            </w:t>
            </w:r>
            <w:r>
              <w:rPr>
                <w:rFonts w:hint="eastAsia"/>
                <w:color w:val="auto"/>
                <w:sz w:val="24"/>
                <w:szCs w:val="24"/>
                <w:u w:val="none"/>
              </w:rPr>
              <w:t>L</w:t>
            </w:r>
            <w:r>
              <w:rPr>
                <w:rFonts w:hint="eastAsia"/>
                <w:color w:val="auto"/>
                <w:sz w:val="24"/>
                <w:szCs w:val="24"/>
                <w:u w:val="none"/>
                <w:vertAlign w:val="subscript"/>
              </w:rPr>
              <w:t>p</w:t>
            </w:r>
            <w:r>
              <w:rPr>
                <w:rFonts w:hint="eastAsia"/>
                <w:color w:val="auto"/>
                <w:sz w:val="24"/>
                <w:szCs w:val="24"/>
                <w:u w:val="none"/>
              </w:rPr>
              <w:t>(r)=L</w:t>
            </w:r>
            <w:r>
              <w:rPr>
                <w:rFonts w:hint="eastAsia"/>
                <w:color w:val="auto"/>
                <w:sz w:val="24"/>
                <w:szCs w:val="24"/>
                <w:u w:val="none"/>
                <w:vertAlign w:val="subscript"/>
              </w:rPr>
              <w:t>p</w:t>
            </w:r>
            <w:r>
              <w:rPr>
                <w:rFonts w:hint="eastAsia"/>
                <w:color w:val="auto"/>
                <w:sz w:val="24"/>
                <w:szCs w:val="24"/>
                <w:u w:val="none"/>
              </w:rPr>
              <w:t>(r</w:t>
            </w:r>
            <w:r>
              <w:rPr>
                <w:rFonts w:hint="eastAsia"/>
                <w:color w:val="auto"/>
                <w:sz w:val="24"/>
                <w:szCs w:val="24"/>
                <w:u w:val="none"/>
                <w:vertAlign w:val="subscript"/>
              </w:rPr>
              <w:t>0</w:t>
            </w:r>
            <w:r>
              <w:rPr>
                <w:rFonts w:hint="eastAsia"/>
                <w:color w:val="auto"/>
                <w:sz w:val="24"/>
                <w:szCs w:val="24"/>
                <w:u w:val="none"/>
              </w:rPr>
              <w:t xml:space="preserve">)－A                  </w:t>
            </w:r>
            <w:r>
              <w:rPr>
                <w:rFonts w:hint="eastAsia"/>
                <w:color w:val="auto"/>
                <w:sz w:val="24"/>
                <w:szCs w:val="24"/>
                <w:u w:val="none"/>
                <w:lang w:eastAsia="zh-CN"/>
              </w:rPr>
              <w:t>(</w:t>
            </w:r>
            <w:r>
              <w:rPr>
                <w:rFonts w:hint="eastAsia"/>
                <w:color w:val="auto"/>
                <w:sz w:val="24"/>
                <w:szCs w:val="24"/>
                <w:u w:val="none"/>
              </w:rPr>
              <w:t>A.2</w:t>
            </w:r>
            <w:r>
              <w:rPr>
                <w:rFonts w:hint="eastAsia"/>
                <w:color w:val="auto"/>
                <w:sz w:val="24"/>
                <w:szCs w:val="24"/>
                <w:u w:val="none"/>
                <w:lang w:eastAsia="zh-CN"/>
              </w:rPr>
              <w:t>)</w:t>
            </w:r>
          </w:p>
          <w:p w14:paraId="7D70D627">
            <w:pPr>
              <w:pStyle w:val="6"/>
              <w:spacing w:line="500" w:lineRule="exact"/>
              <w:ind w:firstLine="240" w:firstLineChars="100"/>
              <w:rPr>
                <w:rFonts w:hint="eastAsia"/>
                <w:b w:val="0"/>
                <w:bCs w:val="0"/>
                <w:sz w:val="24"/>
                <w:lang w:eastAsia="zh-CN"/>
              </w:rPr>
            </w:pPr>
            <w:r>
              <w:rPr>
                <w:rFonts w:hint="eastAsia"/>
                <w:b w:val="0"/>
                <w:bCs w:val="0"/>
                <w:sz w:val="24"/>
                <w:lang w:eastAsia="zh-CN"/>
              </w:rPr>
              <w:t>预测点的A声级Lp(r)，可利用8个倍频带的声压级按公式（A.3）计算：</w:t>
            </w:r>
          </w:p>
          <w:p w14:paraId="5B62989B">
            <w:pPr>
              <w:widowControl/>
              <w:ind w:firstLine="2160" w:firstLineChars="900"/>
              <w:rPr>
                <w:color w:val="auto"/>
                <w:u w:val="none"/>
              </w:rPr>
            </w:pPr>
            <w:r>
              <w:rPr>
                <w:rFonts w:ascii="宋体" w:hAnsi="宋体" w:cs="宋体"/>
                <w:color w:val="auto"/>
                <w:kern w:val="0"/>
                <w:sz w:val="24"/>
                <w:szCs w:val="24"/>
                <w:u w:val="none"/>
                <w:lang w:bidi="ar"/>
              </w:rPr>
              <w:fldChar w:fldCharType="begin"/>
            </w:r>
            <w:r>
              <w:rPr>
                <w:color w:val="auto"/>
                <w:u w:val="none"/>
              </w:rPr>
              <w:instrText xml:space="preserve"> INCLUDEPICTURE "D:\\Documents\\WeChat Files\\wxid_oeak2d7dkzw422\\FileStorage\\Administrator\\AppData\\Roaming\\Tencent\\Users\\849768552\\QQ\\WinTemp\\RichOle\\R9CPJ2~%5d7%60ZNOJ$XHA3PEPB.png" \* MERGEFORMAT \d </w:instrText>
            </w:r>
            <w:r>
              <w:rPr>
                <w:rFonts w:ascii="宋体" w:hAnsi="宋体" w:cs="宋体"/>
                <w:color w:val="auto"/>
                <w:kern w:val="0"/>
                <w:sz w:val="24"/>
                <w:szCs w:val="24"/>
                <w:u w:val="none"/>
                <w:lang w:bidi="ar"/>
              </w:rPr>
              <w:fldChar w:fldCharType="separate"/>
            </w:r>
            <w:r>
              <w:rPr>
                <w:rFonts w:ascii="宋体" w:hAnsi="宋体" w:cs="宋体"/>
                <w:color w:val="auto"/>
                <w:kern w:val="0"/>
                <w:sz w:val="24"/>
                <w:szCs w:val="24"/>
                <w:u w:val="none"/>
                <w:lang w:bidi="ar"/>
              </w:rPr>
              <w:drawing>
                <wp:inline distT="0" distB="0" distL="114300" distR="114300">
                  <wp:extent cx="2714625" cy="733425"/>
                  <wp:effectExtent l="0" t="0" r="9525" b="9525"/>
                  <wp:docPr id="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56"/>
                          <pic:cNvPicPr>
                            <a:picLocks noChangeAspect="1"/>
                          </pic:cNvPicPr>
                        </pic:nvPicPr>
                        <pic:blipFill>
                          <a:blip r:embed="rId17"/>
                          <a:stretch>
                            <a:fillRect/>
                          </a:stretch>
                        </pic:blipFill>
                        <pic:spPr>
                          <a:xfrm>
                            <a:off x="0" y="0"/>
                            <a:ext cx="2714625" cy="733425"/>
                          </a:xfrm>
                          <a:prstGeom prst="rect">
                            <a:avLst/>
                          </a:prstGeom>
                          <a:noFill/>
                          <a:ln>
                            <a:noFill/>
                          </a:ln>
                        </pic:spPr>
                      </pic:pic>
                    </a:graphicData>
                  </a:graphic>
                </wp:inline>
              </w:drawing>
            </w:r>
            <w:r>
              <w:rPr>
                <w:rFonts w:ascii="宋体" w:hAnsi="宋体" w:cs="宋体"/>
                <w:color w:val="auto"/>
                <w:kern w:val="0"/>
                <w:sz w:val="24"/>
                <w:szCs w:val="24"/>
                <w:u w:val="none"/>
                <w:lang w:bidi="ar"/>
              </w:rPr>
              <w:fldChar w:fldCharType="end"/>
            </w:r>
            <w:r>
              <w:rPr>
                <w:rFonts w:hint="eastAsia" w:ascii="Times New Roman" w:hAnsi="Times New Roman" w:eastAsia="宋体" w:cs="Times New Roman"/>
                <w:b w:val="0"/>
                <w:bCs w:val="0"/>
                <w:kern w:val="2"/>
                <w:sz w:val="24"/>
                <w:szCs w:val="24"/>
                <w:lang w:val="en-US" w:eastAsia="zh-CN" w:bidi="ar-SA"/>
              </w:rPr>
              <w:t xml:space="preserve">       </w:t>
            </w:r>
            <w:r>
              <w:rPr>
                <w:rFonts w:hint="eastAsia" w:cs="Times New Roman"/>
                <w:b w:val="0"/>
                <w:bCs w:val="0"/>
                <w:kern w:val="2"/>
                <w:sz w:val="24"/>
                <w:szCs w:val="24"/>
                <w:lang w:val="en-US" w:eastAsia="zh-CN" w:bidi="ar-SA"/>
              </w:rPr>
              <w:t>(</w:t>
            </w:r>
            <w:r>
              <w:rPr>
                <w:rFonts w:hint="eastAsia" w:ascii="Times New Roman" w:hAnsi="Times New Roman" w:eastAsia="宋体" w:cs="Times New Roman"/>
                <w:b w:val="0"/>
                <w:bCs w:val="0"/>
                <w:kern w:val="2"/>
                <w:sz w:val="24"/>
                <w:szCs w:val="24"/>
                <w:lang w:val="en-US" w:eastAsia="zh-CN" w:bidi="ar-SA"/>
              </w:rPr>
              <w:t>A.3</w:t>
            </w:r>
            <w:r>
              <w:rPr>
                <w:rFonts w:hint="eastAsia" w:cs="Times New Roman"/>
                <w:b w:val="0"/>
                <w:bCs w:val="0"/>
                <w:kern w:val="2"/>
                <w:sz w:val="24"/>
                <w:szCs w:val="24"/>
                <w:lang w:val="en-US" w:eastAsia="zh-CN" w:bidi="ar-SA"/>
              </w:rPr>
              <w:t>)</w:t>
            </w:r>
          </w:p>
          <w:p w14:paraId="247F5A11">
            <w:pPr>
              <w:pStyle w:val="6"/>
              <w:spacing w:line="500" w:lineRule="exact"/>
              <w:ind w:firstLine="240" w:firstLineChars="1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式中：LA(r) ——距声源r处的A声级，dB(A)；</w:t>
            </w:r>
          </w:p>
          <w:p w14:paraId="41ABB6C9">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Lpi(r) ——预测点（r）处，第i倍频带声压级，dB；</w:t>
            </w:r>
          </w:p>
          <w:p w14:paraId="024B33EF">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ΔLi——第i倍频带的A计权网络修正值，dB（见附录B）。</w:t>
            </w:r>
          </w:p>
          <w:p w14:paraId="2CCBE3EE">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③ 在不能取得声源倍频带声功率级或倍频带声压级，只能获得A声功率级或某点的A声级时，可按公式（A.4）和（A.5）作近似计算：</w:t>
            </w:r>
          </w:p>
          <w:p w14:paraId="6681BE6F">
            <w:pPr>
              <w:pStyle w:val="6"/>
              <w:spacing w:line="500" w:lineRule="exact"/>
              <w:ind w:firstLine="1680" w:firstLineChars="7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 xml:space="preserve">LA(r)=LAW－Dc－A                             </w:t>
            </w:r>
            <w:r>
              <w:rPr>
                <w:rFonts w:hint="eastAsia" w:cs="Times New Roman"/>
                <w:b w:val="0"/>
                <w:bCs w:val="0"/>
                <w:sz w:val="24"/>
                <w:lang w:eastAsia="zh-CN"/>
              </w:rPr>
              <w:t>(</w:t>
            </w:r>
            <w:r>
              <w:rPr>
                <w:rFonts w:hint="eastAsia" w:ascii="Times New Roman" w:hAnsi="Times New Roman" w:eastAsia="宋体" w:cs="Times New Roman"/>
                <w:b w:val="0"/>
                <w:bCs w:val="0"/>
                <w:sz w:val="24"/>
                <w:lang w:eastAsia="zh-CN"/>
              </w:rPr>
              <w:t>A.4</w:t>
            </w:r>
            <w:r>
              <w:rPr>
                <w:rFonts w:hint="eastAsia" w:cs="Times New Roman"/>
                <w:b w:val="0"/>
                <w:bCs w:val="0"/>
                <w:sz w:val="24"/>
                <w:lang w:eastAsia="zh-CN"/>
              </w:rPr>
              <w:t>)</w:t>
            </w:r>
          </w:p>
          <w:p w14:paraId="45C9ACC0">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或    LA(r)=LA(r</w:t>
            </w:r>
            <w:r>
              <w:rPr>
                <w:rFonts w:hint="eastAsia" w:ascii="Times New Roman" w:hAnsi="Times New Roman" w:eastAsia="宋体" w:cs="Times New Roman"/>
                <w:b w:val="0"/>
                <w:bCs w:val="0"/>
                <w:sz w:val="24"/>
                <w:vertAlign w:val="subscript"/>
                <w:lang w:eastAsia="zh-CN"/>
              </w:rPr>
              <w:t>0</w:t>
            </w:r>
            <w:r>
              <w:rPr>
                <w:rFonts w:hint="eastAsia" w:ascii="Times New Roman" w:hAnsi="Times New Roman" w:eastAsia="宋体" w:cs="Times New Roman"/>
                <w:b w:val="0"/>
                <w:bCs w:val="0"/>
                <w:sz w:val="24"/>
                <w:lang w:eastAsia="zh-CN"/>
              </w:rPr>
              <w:t>)－A                               （A.5）</w:t>
            </w:r>
          </w:p>
          <w:p w14:paraId="27E0AC1B">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可选择对A声级影响最大的倍频带计算，一般可选中心频率为500Hz的倍频带作估算。</w:t>
            </w:r>
          </w:p>
          <w:p w14:paraId="29F3C027">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本次评价进行保守预测，不考虑声屏障、遮挡物、空气吸收和地面效应等引起的衰减量A</w:t>
            </w:r>
            <w:r>
              <w:rPr>
                <w:rFonts w:hint="eastAsia" w:ascii="Times New Roman" w:hAnsi="Times New Roman" w:eastAsia="宋体" w:cs="Times New Roman"/>
                <w:b w:val="0"/>
                <w:bCs w:val="0"/>
                <w:sz w:val="24"/>
                <w:vertAlign w:val="subscript"/>
                <w:lang w:eastAsia="zh-CN"/>
              </w:rPr>
              <w:t>bar</w:t>
            </w:r>
            <w:r>
              <w:rPr>
                <w:rFonts w:hint="eastAsia" w:ascii="Times New Roman" w:hAnsi="Times New Roman" w:eastAsia="宋体" w:cs="Times New Roman"/>
                <w:b w:val="0"/>
                <w:bCs w:val="0"/>
                <w:sz w:val="24"/>
                <w:lang w:eastAsia="zh-CN"/>
              </w:rPr>
              <w:t>、A</w:t>
            </w:r>
            <w:r>
              <w:rPr>
                <w:rFonts w:hint="eastAsia" w:ascii="Times New Roman" w:hAnsi="Times New Roman" w:eastAsia="宋体" w:cs="Times New Roman"/>
                <w:b w:val="0"/>
                <w:bCs w:val="0"/>
                <w:sz w:val="24"/>
                <w:vertAlign w:val="subscript"/>
                <w:lang w:eastAsia="zh-CN"/>
              </w:rPr>
              <w:t>atm</w:t>
            </w:r>
            <w:r>
              <w:rPr>
                <w:rFonts w:hint="eastAsia" w:ascii="Times New Roman" w:hAnsi="Times New Roman" w:eastAsia="宋体" w:cs="Times New Roman"/>
                <w:b w:val="0"/>
                <w:bCs w:val="0"/>
                <w:sz w:val="24"/>
                <w:lang w:eastAsia="zh-CN"/>
              </w:rPr>
              <w:t>、A</w:t>
            </w:r>
            <w:r>
              <w:rPr>
                <w:rFonts w:hint="eastAsia" w:ascii="Times New Roman" w:hAnsi="Times New Roman" w:eastAsia="宋体" w:cs="Times New Roman"/>
                <w:b w:val="0"/>
                <w:bCs w:val="0"/>
                <w:sz w:val="24"/>
                <w:vertAlign w:val="subscript"/>
                <w:lang w:eastAsia="zh-CN"/>
              </w:rPr>
              <w:t>gr</w:t>
            </w:r>
            <w:r>
              <w:rPr>
                <w:rFonts w:hint="eastAsia" w:ascii="Times New Roman" w:hAnsi="Times New Roman" w:eastAsia="宋体" w:cs="Times New Roman"/>
                <w:b w:val="0"/>
                <w:bCs w:val="0"/>
                <w:sz w:val="24"/>
                <w:lang w:eastAsia="zh-CN"/>
              </w:rPr>
              <w:t>、A</w:t>
            </w:r>
            <w:r>
              <w:rPr>
                <w:rFonts w:hint="eastAsia" w:ascii="Times New Roman" w:hAnsi="Times New Roman" w:eastAsia="宋体" w:cs="Times New Roman"/>
                <w:b w:val="0"/>
                <w:bCs w:val="0"/>
                <w:sz w:val="24"/>
                <w:vertAlign w:val="subscript"/>
                <w:lang w:eastAsia="zh-CN"/>
              </w:rPr>
              <w:t>misc</w:t>
            </w:r>
            <w:r>
              <w:rPr>
                <w:rFonts w:hint="eastAsia" w:ascii="Times New Roman" w:hAnsi="Times New Roman" w:eastAsia="宋体" w:cs="Times New Roman"/>
                <w:b w:val="0"/>
                <w:bCs w:val="0"/>
                <w:sz w:val="24"/>
                <w:lang w:eastAsia="zh-CN"/>
              </w:rPr>
              <w:t>等。</w:t>
            </w:r>
          </w:p>
          <w:p w14:paraId="2D4BE055">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⑵室内声源等效室外声源声功率级计算方法</w:t>
            </w:r>
          </w:p>
          <w:p w14:paraId="05629DFB">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如图</w:t>
            </w:r>
            <w:r>
              <w:rPr>
                <w:rFonts w:hint="eastAsia" w:ascii="Times New Roman" w:hAnsi="Times New Roman" w:eastAsia="宋体" w:cs="Times New Roman"/>
                <w:b w:val="0"/>
                <w:bCs w:val="0"/>
                <w:sz w:val="24"/>
                <w:lang w:val="en-US" w:eastAsia="zh-CN"/>
              </w:rPr>
              <w:t>4-2</w:t>
            </w:r>
            <w:r>
              <w:rPr>
                <w:rFonts w:hint="eastAsia" w:ascii="Times New Roman" w:hAnsi="Times New Roman" w:eastAsia="宋体" w:cs="Times New Roman"/>
                <w:b w:val="0"/>
                <w:bCs w:val="0"/>
                <w:sz w:val="24"/>
                <w:lang w:eastAsia="zh-CN"/>
              </w:rPr>
              <w:t>所示，声源位于室内，室内声源可采用等效室外声源声功率级法进行计算。设靠近开口处（或窗户）室内、室外某倍频带的声压级分别为Lp1和Lp2。</w:t>
            </w:r>
          </w:p>
          <w:p w14:paraId="40304EC4">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① 若声源所在室内声场为近似扩散声场，则室外的倍频带声压级可按公式（A.6）近似求出：</w:t>
            </w:r>
          </w:p>
          <w:p w14:paraId="1B4AC8FF">
            <w:pPr>
              <w:widowControl/>
              <w:jc w:val="center"/>
              <w:rPr>
                <w:color w:val="auto"/>
                <w:u w:val="none"/>
              </w:rPr>
            </w:pPr>
            <w:r>
              <w:rPr>
                <w:rFonts w:ascii="宋体" w:hAnsi="宋体" w:cs="宋体"/>
                <w:color w:val="auto"/>
                <w:kern w:val="0"/>
                <w:sz w:val="24"/>
                <w:szCs w:val="24"/>
                <w:u w:val="none"/>
                <w:lang w:bidi="ar"/>
              </w:rPr>
              <w:fldChar w:fldCharType="begin"/>
            </w:r>
            <w:r>
              <w:rPr>
                <w:color w:val="auto"/>
                <w:u w:val="none"/>
              </w:rPr>
              <w:instrText xml:space="preserve"> INCLUDEPICTURE "D:\\Documents\\WeChat Files\\wxid_oeak2d7dkzw422\\FileStorage\\Administrator\\AppData\\Roaming\\Tencent\\Users\\849768552\\QQ\\WinTemp\\RichOle\\1X7XCK454UF_%25%5bC@9NM2LLA.png" \* MERGEFORMAT \d </w:instrText>
            </w:r>
            <w:r>
              <w:rPr>
                <w:rFonts w:ascii="宋体" w:hAnsi="宋体" w:cs="宋体"/>
                <w:color w:val="auto"/>
                <w:kern w:val="0"/>
                <w:sz w:val="24"/>
                <w:szCs w:val="24"/>
                <w:u w:val="none"/>
                <w:lang w:bidi="ar"/>
              </w:rPr>
              <w:fldChar w:fldCharType="separate"/>
            </w:r>
            <w:r>
              <w:rPr>
                <w:rFonts w:ascii="宋体" w:hAnsi="宋体" w:cs="宋体"/>
                <w:color w:val="auto"/>
                <w:kern w:val="0"/>
                <w:sz w:val="24"/>
                <w:szCs w:val="24"/>
                <w:u w:val="none"/>
                <w:lang w:bidi="ar"/>
              </w:rPr>
              <w:drawing>
                <wp:inline distT="0" distB="0" distL="114300" distR="114300">
                  <wp:extent cx="1838960" cy="334010"/>
                  <wp:effectExtent l="0" t="0" r="8890" b="8890"/>
                  <wp:docPr id="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56"/>
                          <pic:cNvPicPr>
                            <a:picLocks noChangeAspect="1"/>
                          </pic:cNvPicPr>
                        </pic:nvPicPr>
                        <pic:blipFill>
                          <a:blip r:embed="rId18"/>
                          <a:stretch>
                            <a:fillRect/>
                          </a:stretch>
                        </pic:blipFill>
                        <pic:spPr>
                          <a:xfrm>
                            <a:off x="0" y="0"/>
                            <a:ext cx="1838960" cy="334010"/>
                          </a:xfrm>
                          <a:prstGeom prst="rect">
                            <a:avLst/>
                          </a:prstGeom>
                          <a:noFill/>
                          <a:ln>
                            <a:noFill/>
                          </a:ln>
                        </pic:spPr>
                      </pic:pic>
                    </a:graphicData>
                  </a:graphic>
                </wp:inline>
              </w:drawing>
            </w:r>
            <w:r>
              <w:rPr>
                <w:rFonts w:ascii="宋体" w:hAnsi="宋体" w:cs="宋体"/>
                <w:color w:val="auto"/>
                <w:kern w:val="0"/>
                <w:sz w:val="24"/>
                <w:szCs w:val="24"/>
                <w:u w:val="none"/>
                <w:lang w:bidi="ar"/>
              </w:rPr>
              <w:fldChar w:fldCharType="end"/>
            </w:r>
            <w:r>
              <w:rPr>
                <w:rFonts w:hint="eastAsia" w:ascii="Times New Roman" w:hAnsi="Times New Roman" w:eastAsia="宋体" w:cs="Times New Roman"/>
                <w:b w:val="0"/>
                <w:bCs w:val="0"/>
                <w:sz w:val="24"/>
                <w:lang w:eastAsia="zh-CN"/>
              </w:rPr>
              <w:t xml:space="preserve">          </w:t>
            </w:r>
            <w:r>
              <w:rPr>
                <w:rFonts w:hint="eastAsia" w:ascii="Times New Roman" w:hAnsi="Times New Roman" w:eastAsia="宋体" w:cs="Times New Roman"/>
                <w:b w:val="0"/>
                <w:bCs w:val="0"/>
                <w:sz w:val="24"/>
                <w:lang w:val="en-US" w:eastAsia="zh-CN"/>
              </w:rPr>
              <w:t xml:space="preserve">      </w:t>
            </w:r>
            <w:r>
              <w:rPr>
                <w:rFonts w:hint="eastAsia" w:ascii="Times New Roman" w:hAnsi="Times New Roman" w:eastAsia="宋体" w:cs="Times New Roman"/>
                <w:b w:val="0"/>
                <w:bCs w:val="0"/>
                <w:sz w:val="24"/>
                <w:lang w:eastAsia="zh-CN"/>
              </w:rPr>
              <w:t xml:space="preserve">   </w:t>
            </w:r>
            <w:r>
              <w:rPr>
                <w:rFonts w:hint="eastAsia" w:cs="Times New Roman"/>
                <w:b w:val="0"/>
                <w:bCs w:val="0"/>
                <w:sz w:val="24"/>
                <w:lang w:eastAsia="zh-CN"/>
              </w:rPr>
              <w:t>(</w:t>
            </w:r>
            <w:r>
              <w:rPr>
                <w:rFonts w:hint="eastAsia" w:ascii="Times New Roman" w:hAnsi="Times New Roman" w:eastAsia="宋体" w:cs="Times New Roman"/>
                <w:b w:val="0"/>
                <w:bCs w:val="0"/>
                <w:sz w:val="24"/>
                <w:lang w:eastAsia="zh-CN"/>
              </w:rPr>
              <w:t>A.</w:t>
            </w:r>
            <w:r>
              <w:rPr>
                <w:rFonts w:hint="eastAsia" w:ascii="Times New Roman" w:hAnsi="Times New Roman" w:eastAsia="宋体" w:cs="Times New Roman"/>
                <w:b w:val="0"/>
                <w:bCs w:val="0"/>
                <w:sz w:val="24"/>
                <w:lang w:val="en-US" w:eastAsia="zh-CN"/>
              </w:rPr>
              <w:t>6</w:t>
            </w:r>
            <w:r>
              <w:rPr>
                <w:rFonts w:hint="eastAsia" w:cs="Times New Roman"/>
                <w:b w:val="0"/>
                <w:bCs w:val="0"/>
                <w:sz w:val="24"/>
                <w:lang w:val="en-US" w:eastAsia="zh-CN"/>
              </w:rPr>
              <w:t>)</w:t>
            </w:r>
          </w:p>
          <w:p w14:paraId="60F09E85">
            <w:pPr>
              <w:widowControl/>
              <w:jc w:val="center"/>
              <w:rPr>
                <w:color w:val="auto"/>
                <w:u w:val="none"/>
              </w:rPr>
            </w:pPr>
            <w:r>
              <w:rPr>
                <w:rFonts w:ascii="宋体" w:hAnsi="宋体" w:cs="宋体"/>
                <w:color w:val="auto"/>
                <w:kern w:val="0"/>
                <w:sz w:val="24"/>
                <w:szCs w:val="24"/>
                <w:u w:val="none"/>
                <w:lang w:bidi="ar"/>
              </w:rPr>
              <w:fldChar w:fldCharType="begin"/>
            </w:r>
            <w:r>
              <w:rPr>
                <w:color w:val="auto"/>
                <w:u w:val="none"/>
              </w:rPr>
              <w:instrText xml:space="preserve"> INCLUDEPICTURE "D:\\Documents\\WeChat Files\\wxid_oeak2d7dkzw422\\FileStorage\\Administrator\\AppData\\Roaming\\Tencent\\Users\\849768552\\QQ\\WinTemp\\RichOle\\$Y5O03Y8ED%60YTNX50HP8~LK.png" \* MERGEFORMAT \d </w:instrText>
            </w:r>
            <w:r>
              <w:rPr>
                <w:rFonts w:ascii="宋体" w:hAnsi="宋体" w:cs="宋体"/>
                <w:color w:val="auto"/>
                <w:kern w:val="0"/>
                <w:sz w:val="24"/>
                <w:szCs w:val="24"/>
                <w:u w:val="none"/>
                <w:lang w:bidi="ar"/>
              </w:rPr>
              <w:fldChar w:fldCharType="separate"/>
            </w:r>
            <w:r>
              <w:rPr>
                <w:rFonts w:ascii="宋体" w:hAnsi="宋体" w:cs="宋体"/>
                <w:color w:val="auto"/>
                <w:kern w:val="0"/>
                <w:sz w:val="24"/>
                <w:szCs w:val="24"/>
                <w:u w:val="none"/>
                <w:lang w:bidi="ar"/>
              </w:rPr>
              <w:drawing>
                <wp:inline distT="0" distB="0" distL="114300" distR="114300">
                  <wp:extent cx="2553335" cy="1353185"/>
                  <wp:effectExtent l="0" t="0" r="18415" b="18415"/>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19"/>
                          <a:stretch>
                            <a:fillRect/>
                          </a:stretch>
                        </pic:blipFill>
                        <pic:spPr>
                          <a:xfrm>
                            <a:off x="0" y="0"/>
                            <a:ext cx="2553335" cy="1353185"/>
                          </a:xfrm>
                          <a:prstGeom prst="rect">
                            <a:avLst/>
                          </a:prstGeom>
                          <a:noFill/>
                          <a:ln>
                            <a:noFill/>
                          </a:ln>
                        </pic:spPr>
                      </pic:pic>
                    </a:graphicData>
                  </a:graphic>
                </wp:inline>
              </w:drawing>
            </w:r>
            <w:r>
              <w:rPr>
                <w:rFonts w:ascii="宋体" w:hAnsi="宋体" w:cs="宋体"/>
                <w:color w:val="auto"/>
                <w:kern w:val="0"/>
                <w:sz w:val="24"/>
                <w:szCs w:val="24"/>
                <w:u w:val="none"/>
                <w:lang w:bidi="ar"/>
              </w:rPr>
              <w:fldChar w:fldCharType="end"/>
            </w:r>
          </w:p>
          <w:p w14:paraId="17A31CB5">
            <w:pPr>
              <w:pStyle w:val="6"/>
              <w:spacing w:line="500" w:lineRule="exact"/>
              <w:ind w:firstLine="482" w:firstLineChars="200"/>
              <w:jc w:val="center"/>
              <w:rPr>
                <w:b/>
                <w:bCs/>
                <w:snapToGrid w:val="0"/>
                <w:color w:val="auto"/>
                <w:sz w:val="24"/>
                <w:szCs w:val="24"/>
                <w:u w:val="none"/>
              </w:rPr>
            </w:pPr>
            <w:r>
              <w:rPr>
                <w:rFonts w:hint="eastAsia"/>
                <w:b/>
                <w:bCs/>
                <w:snapToGrid w:val="0"/>
                <w:color w:val="auto"/>
                <w:sz w:val="24"/>
                <w:szCs w:val="24"/>
                <w:u w:val="none"/>
              </w:rPr>
              <w:t>图4-</w:t>
            </w:r>
            <w:r>
              <w:rPr>
                <w:rFonts w:hint="eastAsia"/>
                <w:b/>
                <w:bCs/>
                <w:snapToGrid w:val="0"/>
                <w:color w:val="auto"/>
                <w:sz w:val="24"/>
                <w:szCs w:val="24"/>
                <w:u w:val="none"/>
                <w:lang w:val="en-US" w:eastAsia="zh-CN"/>
              </w:rPr>
              <w:t>2</w:t>
            </w:r>
            <w:r>
              <w:rPr>
                <w:rFonts w:hint="eastAsia"/>
                <w:b/>
                <w:bCs/>
                <w:snapToGrid w:val="0"/>
                <w:color w:val="auto"/>
                <w:sz w:val="24"/>
                <w:szCs w:val="24"/>
                <w:u w:val="none"/>
              </w:rPr>
              <w:t xml:space="preserve"> 室内声源等效为室外声源图例</w:t>
            </w:r>
          </w:p>
          <w:p w14:paraId="0E587623">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②也可按公式（A.7）计算某一室内声源靠近围护结构处产生的倍频带声压级：</w:t>
            </w:r>
          </w:p>
          <w:p w14:paraId="7F2D3432">
            <w:pPr>
              <w:pStyle w:val="6"/>
              <w:spacing w:line="240" w:lineRule="auto"/>
              <w:ind w:firstLine="960" w:firstLineChars="400"/>
              <w:jc w:val="center"/>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drawing>
                <wp:inline distT="0" distB="0" distL="114300" distR="114300">
                  <wp:extent cx="2286000" cy="628650"/>
                  <wp:effectExtent l="0" t="0" r="0" b="0"/>
                  <wp:docPr id="24"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图片1"/>
                          <pic:cNvPicPr>
                            <a:picLocks noChangeAspect="1"/>
                          </pic:cNvPicPr>
                        </pic:nvPicPr>
                        <pic:blipFill>
                          <a:blip r:embed="rId20"/>
                          <a:stretch>
                            <a:fillRect/>
                          </a:stretch>
                        </pic:blipFill>
                        <pic:spPr>
                          <a:xfrm>
                            <a:off x="0" y="0"/>
                            <a:ext cx="2286000" cy="628650"/>
                          </a:xfrm>
                          <a:prstGeom prst="rect">
                            <a:avLst/>
                          </a:prstGeom>
                          <a:noFill/>
                          <a:ln>
                            <a:noFill/>
                          </a:ln>
                        </pic:spPr>
                      </pic:pic>
                    </a:graphicData>
                  </a:graphic>
                </wp:inline>
              </w:drawing>
            </w:r>
            <w:r>
              <w:rPr>
                <w:rFonts w:hint="eastAsia" w:ascii="Times New Roman" w:hAnsi="Times New Roman" w:eastAsia="宋体" w:cs="Times New Roman"/>
                <w:b w:val="0"/>
                <w:bCs w:val="0"/>
                <w:sz w:val="24"/>
                <w:lang w:eastAsia="zh-CN"/>
              </w:rPr>
              <w:t xml:space="preserve">              </w:t>
            </w:r>
            <w:r>
              <w:rPr>
                <w:rFonts w:hint="eastAsia" w:cs="Times New Roman"/>
                <w:b w:val="0"/>
                <w:bCs w:val="0"/>
                <w:sz w:val="24"/>
                <w:lang w:eastAsia="zh-CN"/>
              </w:rPr>
              <w:t>(</w:t>
            </w:r>
            <w:r>
              <w:rPr>
                <w:rFonts w:hint="eastAsia" w:ascii="Times New Roman" w:hAnsi="Times New Roman" w:eastAsia="宋体" w:cs="Times New Roman"/>
                <w:b w:val="0"/>
                <w:bCs w:val="0"/>
                <w:sz w:val="24"/>
                <w:lang w:eastAsia="zh-CN"/>
              </w:rPr>
              <w:t>A.7</w:t>
            </w:r>
            <w:r>
              <w:rPr>
                <w:rFonts w:hint="eastAsia" w:cs="Times New Roman"/>
                <w:b w:val="0"/>
                <w:bCs w:val="0"/>
                <w:sz w:val="24"/>
                <w:lang w:eastAsia="zh-CN"/>
              </w:rPr>
              <w:t>)</w:t>
            </w:r>
          </w:p>
          <w:p w14:paraId="77FF84F9">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式中：L</w:t>
            </w:r>
            <w:r>
              <w:rPr>
                <w:rFonts w:hint="eastAsia" w:ascii="Times New Roman" w:hAnsi="Times New Roman" w:eastAsia="宋体" w:cs="Times New Roman"/>
                <w:b w:val="0"/>
                <w:bCs w:val="0"/>
                <w:sz w:val="24"/>
                <w:vertAlign w:val="subscript"/>
                <w:lang w:eastAsia="zh-CN"/>
              </w:rPr>
              <w:t>p1</w:t>
            </w:r>
            <w:r>
              <w:rPr>
                <w:rFonts w:hint="eastAsia" w:ascii="Times New Roman" w:hAnsi="Times New Roman" w:eastAsia="宋体" w:cs="Times New Roman"/>
                <w:b w:val="0"/>
                <w:bCs w:val="0"/>
                <w:sz w:val="24"/>
                <w:lang w:eastAsia="zh-CN"/>
              </w:rPr>
              <w:t>——靠近开口处（或窗户）室内某倍频带的声压级或A声级，dB；</w:t>
            </w:r>
          </w:p>
          <w:p w14:paraId="54946251">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L</w:t>
            </w:r>
            <w:r>
              <w:rPr>
                <w:rFonts w:hint="eastAsia" w:ascii="Times New Roman" w:hAnsi="Times New Roman" w:eastAsia="宋体" w:cs="Times New Roman"/>
                <w:b w:val="0"/>
                <w:bCs w:val="0"/>
                <w:sz w:val="24"/>
                <w:vertAlign w:val="subscript"/>
                <w:lang w:eastAsia="zh-CN"/>
              </w:rPr>
              <w:t>w</w:t>
            </w:r>
            <w:r>
              <w:rPr>
                <w:rFonts w:hint="eastAsia" w:ascii="Times New Roman" w:hAnsi="Times New Roman" w:eastAsia="宋体" w:cs="Times New Roman"/>
                <w:b w:val="0"/>
                <w:bCs w:val="0"/>
                <w:sz w:val="24"/>
                <w:lang w:eastAsia="zh-CN"/>
              </w:rPr>
              <w:t>——点声源声功率级（A计权或倍频带），dB；</w:t>
            </w:r>
          </w:p>
          <w:p w14:paraId="6C33FA96">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Q——指向性因数；通常对无指向性声源，当声源放在房间中心时，Q=1；当放在一面墙的中心时，Q=2；当放在两面墙夹角处时，Q=4；当放在三面墙夹角处时，Q=8；</w:t>
            </w:r>
          </w:p>
          <w:p w14:paraId="5BD33F22">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R——房间常数；R=Sα/(1-α)，S为房间内表面面积，m2；α为平均吸声系数；</w:t>
            </w:r>
          </w:p>
          <w:p w14:paraId="13569ED7">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r——声源到靠近围护结构某点处的距离，m。</w:t>
            </w:r>
          </w:p>
          <w:p w14:paraId="5476CB9E">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然后按公式（A.8）计算出所有室内声源在围护结构处产生的i倍频带叠加声压级：</w:t>
            </w:r>
          </w:p>
          <w:p w14:paraId="5013FF90">
            <w:pPr>
              <w:pStyle w:val="6"/>
              <w:spacing w:line="240" w:lineRule="auto"/>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drawing>
                <wp:inline distT="0" distB="0" distL="114300" distR="114300">
                  <wp:extent cx="2266950" cy="695325"/>
                  <wp:effectExtent l="0" t="0" r="0" b="9525"/>
                  <wp:docPr id="15"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图片2"/>
                          <pic:cNvPicPr>
                            <a:picLocks noChangeAspect="1"/>
                          </pic:cNvPicPr>
                        </pic:nvPicPr>
                        <pic:blipFill>
                          <a:blip r:embed="rId21"/>
                          <a:stretch>
                            <a:fillRect/>
                          </a:stretch>
                        </pic:blipFill>
                        <pic:spPr>
                          <a:xfrm>
                            <a:off x="0" y="0"/>
                            <a:ext cx="2266950" cy="695325"/>
                          </a:xfrm>
                          <a:prstGeom prst="rect">
                            <a:avLst/>
                          </a:prstGeom>
                          <a:noFill/>
                          <a:ln>
                            <a:noFill/>
                          </a:ln>
                        </pic:spPr>
                      </pic:pic>
                    </a:graphicData>
                  </a:graphic>
                </wp:inline>
              </w:drawing>
            </w:r>
            <w:r>
              <w:rPr>
                <w:rFonts w:hint="eastAsia" w:ascii="Times New Roman" w:hAnsi="Times New Roman" w:eastAsia="宋体" w:cs="Times New Roman"/>
                <w:b w:val="0"/>
                <w:bCs w:val="0"/>
                <w:sz w:val="24"/>
                <w:lang w:eastAsia="zh-CN"/>
              </w:rPr>
              <w:t xml:space="preserve">             </w:t>
            </w:r>
            <w:r>
              <w:rPr>
                <w:rFonts w:hint="eastAsia" w:cs="Times New Roman"/>
                <w:b w:val="0"/>
                <w:bCs w:val="0"/>
                <w:sz w:val="24"/>
                <w:lang w:eastAsia="zh-CN"/>
              </w:rPr>
              <w:t>(</w:t>
            </w:r>
            <w:r>
              <w:rPr>
                <w:rFonts w:hint="eastAsia" w:ascii="Times New Roman" w:hAnsi="Times New Roman" w:eastAsia="宋体" w:cs="Times New Roman"/>
                <w:b w:val="0"/>
                <w:bCs w:val="0"/>
                <w:sz w:val="24"/>
                <w:lang w:eastAsia="zh-CN"/>
              </w:rPr>
              <w:t>A.8</w:t>
            </w:r>
            <w:r>
              <w:rPr>
                <w:rFonts w:hint="eastAsia" w:cs="Times New Roman"/>
                <w:b w:val="0"/>
                <w:bCs w:val="0"/>
                <w:sz w:val="24"/>
                <w:lang w:eastAsia="zh-CN"/>
              </w:rPr>
              <w:t>)</w:t>
            </w:r>
          </w:p>
          <w:p w14:paraId="6A6443F5">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式中：L</w:t>
            </w:r>
            <w:r>
              <w:rPr>
                <w:rFonts w:hint="eastAsia" w:ascii="Times New Roman" w:hAnsi="Times New Roman" w:eastAsia="宋体" w:cs="Times New Roman"/>
                <w:b w:val="0"/>
                <w:bCs w:val="0"/>
                <w:sz w:val="24"/>
                <w:vertAlign w:val="subscript"/>
                <w:lang w:eastAsia="zh-CN"/>
              </w:rPr>
              <w:t>p1i</w:t>
            </w:r>
            <w:r>
              <w:rPr>
                <w:rFonts w:hint="eastAsia" w:ascii="Times New Roman" w:hAnsi="Times New Roman" w:eastAsia="宋体" w:cs="Times New Roman"/>
                <w:b w:val="0"/>
                <w:bCs w:val="0"/>
                <w:sz w:val="24"/>
                <w:lang w:eastAsia="zh-CN"/>
              </w:rPr>
              <w:t>（T）——靠近围护结构处室内N个声源i倍频带的叠加声压级，dB；</w:t>
            </w:r>
          </w:p>
          <w:p w14:paraId="346AD4C6">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Lp</w:t>
            </w:r>
            <w:r>
              <w:rPr>
                <w:rFonts w:hint="eastAsia" w:ascii="Times New Roman" w:hAnsi="Times New Roman" w:eastAsia="宋体" w:cs="Times New Roman"/>
                <w:b w:val="0"/>
                <w:bCs w:val="0"/>
                <w:sz w:val="24"/>
                <w:vertAlign w:val="subscript"/>
                <w:lang w:eastAsia="zh-CN"/>
              </w:rPr>
              <w:t>1ij</w:t>
            </w:r>
            <w:r>
              <w:rPr>
                <w:rFonts w:hint="eastAsia" w:ascii="Times New Roman" w:hAnsi="Times New Roman" w:eastAsia="宋体" w:cs="Times New Roman"/>
                <w:b w:val="0"/>
                <w:bCs w:val="0"/>
                <w:sz w:val="24"/>
                <w:lang w:eastAsia="zh-CN"/>
              </w:rPr>
              <w:t>——室内j声源i倍频带的声压级，dB；</w:t>
            </w:r>
          </w:p>
          <w:p w14:paraId="408CF3EF">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N——室内声源总数。</w:t>
            </w:r>
          </w:p>
          <w:p w14:paraId="27E7F7CC">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③在室内近似为扩散声场时，按公式（A.9）计算出靠近室外围护结构处的声压级：</w:t>
            </w:r>
          </w:p>
          <w:p w14:paraId="77AD8A3D">
            <w:pPr>
              <w:pStyle w:val="6"/>
              <w:spacing w:line="240" w:lineRule="auto"/>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drawing>
                <wp:inline distT="0" distB="0" distL="114300" distR="114300">
                  <wp:extent cx="3067050" cy="466725"/>
                  <wp:effectExtent l="0" t="0" r="0" b="9525"/>
                  <wp:docPr id="25"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图片3"/>
                          <pic:cNvPicPr>
                            <a:picLocks noChangeAspect="1"/>
                          </pic:cNvPicPr>
                        </pic:nvPicPr>
                        <pic:blipFill>
                          <a:blip r:embed="rId22"/>
                          <a:stretch>
                            <a:fillRect/>
                          </a:stretch>
                        </pic:blipFill>
                        <pic:spPr>
                          <a:xfrm>
                            <a:off x="0" y="0"/>
                            <a:ext cx="3067050" cy="466725"/>
                          </a:xfrm>
                          <a:prstGeom prst="rect">
                            <a:avLst/>
                          </a:prstGeom>
                          <a:noFill/>
                          <a:ln>
                            <a:noFill/>
                          </a:ln>
                        </pic:spPr>
                      </pic:pic>
                    </a:graphicData>
                  </a:graphic>
                </wp:inline>
              </w:drawing>
            </w:r>
            <w:r>
              <w:rPr>
                <w:rFonts w:hint="eastAsia" w:ascii="Times New Roman" w:hAnsi="Times New Roman" w:eastAsia="宋体" w:cs="Times New Roman"/>
                <w:b w:val="0"/>
                <w:bCs w:val="0"/>
                <w:sz w:val="24"/>
                <w:lang w:eastAsia="zh-CN"/>
              </w:rPr>
              <w:t xml:space="preserve">          </w:t>
            </w:r>
            <w:r>
              <w:rPr>
                <w:rFonts w:hint="eastAsia" w:cs="Times New Roman"/>
                <w:b w:val="0"/>
                <w:bCs w:val="0"/>
                <w:sz w:val="24"/>
                <w:lang w:eastAsia="zh-CN"/>
              </w:rPr>
              <w:t>(</w:t>
            </w:r>
            <w:r>
              <w:rPr>
                <w:rFonts w:hint="eastAsia" w:ascii="Times New Roman" w:hAnsi="Times New Roman" w:eastAsia="宋体" w:cs="Times New Roman"/>
                <w:b w:val="0"/>
                <w:bCs w:val="0"/>
                <w:sz w:val="24"/>
                <w:lang w:eastAsia="zh-CN"/>
              </w:rPr>
              <w:t>A.9</w:t>
            </w:r>
            <w:r>
              <w:rPr>
                <w:rFonts w:hint="eastAsia" w:cs="Times New Roman"/>
                <w:b w:val="0"/>
                <w:bCs w:val="0"/>
                <w:sz w:val="24"/>
                <w:lang w:eastAsia="zh-CN"/>
              </w:rPr>
              <w:t>)</w:t>
            </w:r>
          </w:p>
          <w:p w14:paraId="39DA0E14">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式中：L</w:t>
            </w:r>
            <w:r>
              <w:rPr>
                <w:rFonts w:hint="eastAsia" w:ascii="Times New Roman" w:hAnsi="Times New Roman" w:eastAsia="宋体" w:cs="Times New Roman"/>
                <w:b w:val="0"/>
                <w:bCs w:val="0"/>
                <w:sz w:val="24"/>
                <w:vertAlign w:val="subscript"/>
                <w:lang w:eastAsia="zh-CN"/>
              </w:rPr>
              <w:t>p2</w:t>
            </w:r>
            <w:r>
              <w:rPr>
                <w:rFonts w:hint="eastAsia" w:ascii="Times New Roman" w:hAnsi="Times New Roman" w:eastAsia="宋体" w:cs="Times New Roman"/>
                <w:b w:val="0"/>
                <w:bCs w:val="0"/>
                <w:sz w:val="24"/>
                <w:lang w:eastAsia="zh-CN"/>
              </w:rPr>
              <w:t>i(T)——靠近围护结构处室外N个声源i倍频带的叠加声压级，dB；</w:t>
            </w:r>
          </w:p>
          <w:p w14:paraId="468A9E85">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L</w:t>
            </w:r>
            <w:r>
              <w:rPr>
                <w:rFonts w:hint="eastAsia" w:ascii="Times New Roman" w:hAnsi="Times New Roman" w:eastAsia="宋体" w:cs="Times New Roman"/>
                <w:b w:val="0"/>
                <w:bCs w:val="0"/>
                <w:sz w:val="24"/>
                <w:vertAlign w:val="subscript"/>
                <w:lang w:eastAsia="zh-CN"/>
              </w:rPr>
              <w:t>pli</w:t>
            </w:r>
            <w:r>
              <w:rPr>
                <w:rFonts w:hint="eastAsia" w:ascii="Times New Roman" w:hAnsi="Times New Roman" w:eastAsia="宋体" w:cs="Times New Roman"/>
                <w:b w:val="0"/>
                <w:bCs w:val="0"/>
                <w:sz w:val="24"/>
                <w:lang w:eastAsia="zh-CN"/>
              </w:rPr>
              <w:t>(T)——靠近围护结构处室内N个声源i倍频带的叠加声压级，dB；</w:t>
            </w:r>
          </w:p>
          <w:p w14:paraId="0C358BD8">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TL</w:t>
            </w:r>
            <w:r>
              <w:rPr>
                <w:rFonts w:hint="eastAsia" w:ascii="Times New Roman" w:hAnsi="Times New Roman" w:eastAsia="宋体" w:cs="Times New Roman"/>
                <w:b w:val="0"/>
                <w:bCs w:val="0"/>
                <w:sz w:val="24"/>
                <w:vertAlign w:val="subscript"/>
                <w:lang w:eastAsia="zh-CN"/>
              </w:rPr>
              <w:t>i</w:t>
            </w:r>
            <w:r>
              <w:rPr>
                <w:rFonts w:hint="eastAsia" w:ascii="Times New Roman" w:hAnsi="Times New Roman" w:eastAsia="宋体" w:cs="Times New Roman"/>
                <w:b w:val="0"/>
                <w:bCs w:val="0"/>
                <w:sz w:val="24"/>
                <w:lang w:eastAsia="zh-CN"/>
              </w:rPr>
              <w:t>——围护结构i倍频带的隔声量，dB。</w:t>
            </w:r>
          </w:p>
          <w:p w14:paraId="4509F946">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然后按公式（A.10）将室外声源的声压级和透过面积换算成等效的室外声源，计算出中心位置位于透声面积（S）处的等效声源的倍频带声功率级。</w:t>
            </w:r>
          </w:p>
          <w:p w14:paraId="04DBB366">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fldChar w:fldCharType="begin"/>
            </w:r>
            <w:r>
              <w:rPr>
                <w:rFonts w:hint="eastAsia" w:ascii="Times New Roman" w:hAnsi="Times New Roman" w:eastAsia="宋体" w:cs="Times New Roman"/>
                <w:b w:val="0"/>
                <w:bCs w:val="0"/>
                <w:sz w:val="24"/>
                <w:lang w:eastAsia="zh-CN"/>
              </w:rPr>
              <w:instrText xml:space="preserve"> INCLUDEPICTURE "D:\\Documents\\WeChat Files\\wxid_oeak2d7dkzw422\\FileStorage\\Administrator\\AppData\\Roaming\\Tencent\\Users\\849768552\\QQ\\WinTemp\\RichOle\\W~LQEGAUUEXTTOVU2C00(4U.png" \* MERGEFORMAT \d </w:instrText>
            </w:r>
            <w:r>
              <w:rPr>
                <w:rFonts w:hint="eastAsia" w:ascii="Times New Roman" w:hAnsi="Times New Roman" w:eastAsia="宋体" w:cs="Times New Roman"/>
                <w:b w:val="0"/>
                <w:bCs w:val="0"/>
                <w:sz w:val="24"/>
                <w:lang w:eastAsia="zh-CN"/>
              </w:rPr>
              <w:fldChar w:fldCharType="separate"/>
            </w:r>
            <w:r>
              <w:rPr>
                <w:rFonts w:hint="eastAsia" w:ascii="Times New Roman" w:hAnsi="Times New Roman" w:eastAsia="宋体" w:cs="Times New Roman"/>
                <w:b w:val="0"/>
                <w:bCs w:val="0"/>
                <w:sz w:val="24"/>
                <w:lang w:eastAsia="zh-CN"/>
              </w:rPr>
              <w:drawing>
                <wp:inline distT="0" distB="0" distL="114300" distR="114300">
                  <wp:extent cx="1790700" cy="238125"/>
                  <wp:effectExtent l="0" t="0" r="0" b="9525"/>
                  <wp:docPr id="16"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56"/>
                          <pic:cNvPicPr>
                            <a:picLocks noChangeAspect="1"/>
                          </pic:cNvPicPr>
                        </pic:nvPicPr>
                        <pic:blipFill>
                          <a:blip r:embed="rId23"/>
                          <a:stretch>
                            <a:fillRect/>
                          </a:stretch>
                        </pic:blipFill>
                        <pic:spPr>
                          <a:xfrm>
                            <a:off x="0" y="0"/>
                            <a:ext cx="1790700" cy="238125"/>
                          </a:xfrm>
                          <a:prstGeom prst="rect">
                            <a:avLst/>
                          </a:prstGeom>
                          <a:noFill/>
                          <a:ln>
                            <a:noFill/>
                          </a:ln>
                        </pic:spPr>
                      </pic:pic>
                    </a:graphicData>
                  </a:graphic>
                </wp:inline>
              </w:drawing>
            </w:r>
            <w:r>
              <w:rPr>
                <w:rFonts w:hint="eastAsia" w:ascii="Times New Roman" w:hAnsi="Times New Roman" w:eastAsia="宋体" w:cs="Times New Roman"/>
                <w:b w:val="0"/>
                <w:bCs w:val="0"/>
                <w:sz w:val="24"/>
                <w:lang w:eastAsia="zh-CN"/>
              </w:rPr>
              <w:fldChar w:fldCharType="end"/>
            </w:r>
            <w:r>
              <w:rPr>
                <w:rFonts w:hint="eastAsia" w:ascii="Times New Roman" w:hAnsi="Times New Roman" w:eastAsia="宋体" w:cs="Times New Roman"/>
                <w:b w:val="0"/>
                <w:bCs w:val="0"/>
                <w:sz w:val="24"/>
                <w:lang w:eastAsia="zh-CN"/>
              </w:rPr>
              <w:t xml:space="preserve">              </w:t>
            </w:r>
            <w:r>
              <w:rPr>
                <w:rFonts w:hint="eastAsia" w:cs="Times New Roman"/>
                <w:b w:val="0"/>
                <w:bCs w:val="0"/>
                <w:sz w:val="24"/>
                <w:lang w:eastAsia="zh-CN"/>
              </w:rPr>
              <w:t>(</w:t>
            </w:r>
            <w:r>
              <w:rPr>
                <w:rFonts w:hint="eastAsia" w:ascii="Times New Roman" w:hAnsi="Times New Roman" w:eastAsia="宋体" w:cs="Times New Roman"/>
                <w:b w:val="0"/>
                <w:bCs w:val="0"/>
                <w:sz w:val="24"/>
                <w:lang w:eastAsia="zh-CN"/>
              </w:rPr>
              <w:t>A.10</w:t>
            </w:r>
            <w:r>
              <w:rPr>
                <w:rFonts w:hint="eastAsia" w:cs="Times New Roman"/>
                <w:b w:val="0"/>
                <w:bCs w:val="0"/>
                <w:sz w:val="24"/>
                <w:lang w:eastAsia="zh-CN"/>
              </w:rPr>
              <w:t>)</w:t>
            </w:r>
          </w:p>
          <w:p w14:paraId="0D985917">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式中：Lw——中心位置位于透声面积（S）处的等效声源的倍频带声功率级，dB；</w:t>
            </w:r>
          </w:p>
          <w:p w14:paraId="099ECD06">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L</w:t>
            </w:r>
            <w:r>
              <w:rPr>
                <w:rFonts w:hint="eastAsia" w:ascii="Times New Roman" w:hAnsi="Times New Roman" w:eastAsia="宋体" w:cs="Times New Roman"/>
                <w:b w:val="0"/>
                <w:bCs w:val="0"/>
                <w:sz w:val="24"/>
                <w:vertAlign w:val="subscript"/>
                <w:lang w:eastAsia="zh-CN"/>
              </w:rPr>
              <w:t>p2</w:t>
            </w:r>
            <w:r>
              <w:rPr>
                <w:rFonts w:hint="eastAsia" w:ascii="Times New Roman" w:hAnsi="Times New Roman" w:eastAsia="宋体" w:cs="Times New Roman"/>
                <w:b w:val="0"/>
                <w:bCs w:val="0"/>
                <w:sz w:val="24"/>
                <w:lang w:eastAsia="zh-CN"/>
              </w:rPr>
              <w:t>(T)——靠近围护结构处室外声源的声压级，dB；</w:t>
            </w:r>
          </w:p>
          <w:p w14:paraId="77D5517E">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S——透声面积，m</w:t>
            </w:r>
            <w:r>
              <w:rPr>
                <w:rFonts w:hint="eastAsia" w:ascii="Times New Roman" w:hAnsi="Times New Roman" w:eastAsia="宋体" w:cs="Times New Roman"/>
                <w:b w:val="0"/>
                <w:bCs w:val="0"/>
                <w:sz w:val="24"/>
                <w:vertAlign w:val="superscript"/>
                <w:lang w:eastAsia="zh-CN"/>
              </w:rPr>
              <w:t>2</w:t>
            </w:r>
            <w:r>
              <w:rPr>
                <w:rFonts w:hint="eastAsia" w:ascii="Times New Roman" w:hAnsi="Times New Roman" w:eastAsia="宋体" w:cs="Times New Roman"/>
                <w:b w:val="0"/>
                <w:bCs w:val="0"/>
                <w:sz w:val="24"/>
                <w:lang w:eastAsia="zh-CN"/>
              </w:rPr>
              <w:t>。</w:t>
            </w:r>
          </w:p>
          <w:p w14:paraId="623EDC1B">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然后按室外声源预测方法计算预测点处的A声级。</w:t>
            </w:r>
          </w:p>
          <w:p w14:paraId="5F1FFB15">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⑶噪声贡献值计算</w:t>
            </w:r>
          </w:p>
          <w:p w14:paraId="39DA4A99">
            <w:pPr>
              <w:pStyle w:val="6"/>
              <w:spacing w:line="500" w:lineRule="exact"/>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设第i个室外声源在预测点产生的A声级为L</w:t>
            </w:r>
            <w:r>
              <w:rPr>
                <w:rFonts w:hint="eastAsia" w:ascii="Times New Roman" w:hAnsi="Times New Roman" w:eastAsia="宋体" w:cs="Times New Roman"/>
                <w:b w:val="0"/>
                <w:bCs w:val="0"/>
                <w:sz w:val="24"/>
                <w:vertAlign w:val="subscript"/>
                <w:lang w:eastAsia="zh-CN"/>
              </w:rPr>
              <w:t>Ai</w:t>
            </w:r>
            <w:r>
              <w:rPr>
                <w:rFonts w:hint="eastAsia" w:ascii="Times New Roman" w:hAnsi="Times New Roman" w:eastAsia="宋体" w:cs="Times New Roman"/>
                <w:b w:val="0"/>
                <w:bCs w:val="0"/>
                <w:sz w:val="24"/>
                <w:lang w:eastAsia="zh-CN"/>
              </w:rPr>
              <w:t>，在T时间内该声源工作时间为ti；第j个等效室外声源在预测点产生的A声级为L</w:t>
            </w:r>
            <w:r>
              <w:rPr>
                <w:rFonts w:hint="eastAsia" w:ascii="Times New Roman" w:hAnsi="Times New Roman" w:eastAsia="宋体" w:cs="Times New Roman"/>
                <w:b w:val="0"/>
                <w:bCs w:val="0"/>
                <w:sz w:val="24"/>
                <w:vertAlign w:val="subscript"/>
                <w:lang w:eastAsia="zh-CN"/>
              </w:rPr>
              <w:t>Aj</w:t>
            </w:r>
            <w:r>
              <w:rPr>
                <w:rFonts w:hint="eastAsia" w:ascii="Times New Roman" w:hAnsi="Times New Roman" w:eastAsia="宋体" w:cs="Times New Roman"/>
                <w:b w:val="0"/>
                <w:bCs w:val="0"/>
                <w:sz w:val="24"/>
                <w:lang w:eastAsia="zh-CN"/>
              </w:rPr>
              <w:t>，在T时间内该声源工作时间为tj，</w:t>
            </w:r>
          </w:p>
          <w:p w14:paraId="4EE9B592">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则拟建工程声源对预测点产生的贡献值（Leqg）为：</w:t>
            </w:r>
          </w:p>
          <w:p w14:paraId="560CC51A">
            <w:pPr>
              <w:pStyle w:val="6"/>
              <w:spacing w:line="240" w:lineRule="auto"/>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drawing>
                <wp:inline distT="0" distB="0" distL="114300" distR="114300">
                  <wp:extent cx="3743325" cy="866775"/>
                  <wp:effectExtent l="0" t="0" r="9525" b="9525"/>
                  <wp:docPr id="17" name="图片 1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图片4"/>
                          <pic:cNvPicPr>
                            <a:picLocks noChangeAspect="1"/>
                          </pic:cNvPicPr>
                        </pic:nvPicPr>
                        <pic:blipFill>
                          <a:blip r:embed="rId24"/>
                          <a:stretch>
                            <a:fillRect/>
                          </a:stretch>
                        </pic:blipFill>
                        <pic:spPr>
                          <a:xfrm>
                            <a:off x="0" y="0"/>
                            <a:ext cx="3743325" cy="866775"/>
                          </a:xfrm>
                          <a:prstGeom prst="rect">
                            <a:avLst/>
                          </a:prstGeom>
                          <a:noFill/>
                          <a:ln>
                            <a:noFill/>
                          </a:ln>
                        </pic:spPr>
                      </pic:pic>
                    </a:graphicData>
                  </a:graphic>
                </wp:inline>
              </w:drawing>
            </w:r>
            <w:r>
              <w:rPr>
                <w:rFonts w:hint="eastAsia" w:ascii="Times New Roman" w:hAnsi="Times New Roman" w:eastAsia="宋体" w:cs="Times New Roman"/>
                <w:b w:val="0"/>
                <w:bCs w:val="0"/>
                <w:sz w:val="24"/>
                <w:lang w:eastAsia="zh-CN"/>
              </w:rPr>
              <w:t xml:space="preserve">      </w:t>
            </w:r>
            <w:r>
              <w:rPr>
                <w:rFonts w:hint="eastAsia" w:cs="Times New Roman"/>
                <w:b w:val="0"/>
                <w:bCs w:val="0"/>
                <w:sz w:val="24"/>
                <w:lang w:eastAsia="zh-CN"/>
              </w:rPr>
              <w:t>(</w:t>
            </w:r>
            <w:r>
              <w:rPr>
                <w:rFonts w:hint="eastAsia" w:ascii="Times New Roman" w:hAnsi="Times New Roman" w:eastAsia="宋体" w:cs="Times New Roman"/>
                <w:b w:val="0"/>
                <w:bCs w:val="0"/>
                <w:sz w:val="24"/>
                <w:lang w:eastAsia="zh-CN"/>
              </w:rPr>
              <w:t>A.11</w:t>
            </w:r>
            <w:r>
              <w:rPr>
                <w:rFonts w:hint="eastAsia" w:cs="Times New Roman"/>
                <w:b w:val="0"/>
                <w:bCs w:val="0"/>
                <w:sz w:val="24"/>
                <w:lang w:eastAsia="zh-CN"/>
              </w:rPr>
              <w:t>)</w:t>
            </w:r>
          </w:p>
          <w:p w14:paraId="4490A09D">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式中：</w:t>
            </w:r>
          </w:p>
          <w:p w14:paraId="47D928FA">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jt—在T时间内j声源工作时间，s；</w:t>
            </w:r>
          </w:p>
          <w:p w14:paraId="505C8A81">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it—在T时间内i声源工作时间，s；</w:t>
            </w:r>
          </w:p>
          <w:p w14:paraId="15B8FEE6">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T—用于计算等效声级的时间，s；</w:t>
            </w:r>
          </w:p>
          <w:p w14:paraId="7481A048">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N—室外声源个数；</w:t>
            </w:r>
          </w:p>
          <w:p w14:paraId="657CEF07">
            <w:pPr>
              <w:pStyle w:val="6"/>
              <w:spacing w:line="500" w:lineRule="exact"/>
              <w:ind w:firstLine="960" w:firstLineChars="400"/>
              <w:rPr>
                <w:rFonts w:hint="eastAsia" w:ascii="Times New Roman" w:hAnsi="Times New Roman" w:eastAsia="宋体" w:cs="Times New Roman"/>
                <w:b w:val="0"/>
                <w:bCs w:val="0"/>
                <w:sz w:val="24"/>
                <w:lang w:eastAsia="zh-CN"/>
              </w:rPr>
            </w:pPr>
            <w:r>
              <w:rPr>
                <w:rFonts w:hint="eastAsia" w:ascii="Times New Roman" w:hAnsi="Times New Roman" w:eastAsia="宋体" w:cs="Times New Roman"/>
                <w:b w:val="0"/>
                <w:bCs w:val="0"/>
                <w:sz w:val="24"/>
                <w:lang w:eastAsia="zh-CN"/>
              </w:rPr>
              <w:t>M—等效室外声源个数。</w:t>
            </w:r>
          </w:p>
          <w:p w14:paraId="28D23CC2">
            <w:pPr>
              <w:pStyle w:val="6"/>
              <w:spacing w:line="500" w:lineRule="exact"/>
              <w:ind w:firstLine="0" w:firstLineChars="0"/>
              <w:rPr>
                <w:b/>
                <w:bCs/>
                <w:sz w:val="24"/>
              </w:rPr>
            </w:pPr>
            <w:bookmarkStart w:id="22" w:name="_Toc96420848"/>
            <w:r>
              <w:rPr>
                <w:b/>
                <w:bCs/>
                <w:sz w:val="24"/>
              </w:rPr>
              <w:t>3.3预测结果</w:t>
            </w:r>
            <w:bookmarkEnd w:id="22"/>
          </w:p>
          <w:p w14:paraId="2618DE21">
            <w:pPr>
              <w:spacing w:line="500" w:lineRule="exact"/>
              <w:jc w:val="center"/>
              <w:rPr>
                <w:rFonts w:hint="eastAsia"/>
                <w:b/>
                <w:sz w:val="24"/>
              </w:rPr>
            </w:pPr>
            <w:bookmarkStart w:id="23" w:name="_Ref536718612"/>
            <w:bookmarkStart w:id="24" w:name="_Toc22234"/>
            <w:r>
              <w:rPr>
                <w:rFonts w:hint="eastAsia"/>
                <w:b/>
                <w:sz w:val="24"/>
              </w:rPr>
              <w:t>表4-1</w:t>
            </w:r>
            <w:r>
              <w:rPr>
                <w:rFonts w:hint="eastAsia"/>
                <w:b/>
                <w:sz w:val="24"/>
                <w:lang w:val="en-US" w:eastAsia="zh-CN"/>
              </w:rPr>
              <w:t>1</w:t>
            </w:r>
            <w:r>
              <w:rPr>
                <w:rFonts w:hint="eastAsia"/>
                <w:b/>
                <w:sz w:val="24"/>
              </w:rPr>
              <w:t xml:space="preserve"> 厂界噪声预测结果 单位</w:t>
            </w:r>
            <w:r>
              <w:rPr>
                <w:rFonts w:hint="eastAsia"/>
                <w:b/>
                <w:sz w:val="24"/>
                <w:highlight w:val="none"/>
              </w:rPr>
              <w:t>:</w:t>
            </w:r>
            <w:r>
              <w:rPr>
                <w:rFonts w:hint="eastAsia"/>
                <w:b/>
                <w:sz w:val="24"/>
              </w:rPr>
              <w:t>dB(A)</w:t>
            </w:r>
            <w:bookmarkEnd w:id="23"/>
            <w:bookmarkEnd w:id="24"/>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96"/>
              <w:gridCol w:w="502"/>
              <w:gridCol w:w="505"/>
              <w:gridCol w:w="503"/>
              <w:gridCol w:w="426"/>
              <w:gridCol w:w="426"/>
              <w:gridCol w:w="428"/>
              <w:gridCol w:w="584"/>
              <w:gridCol w:w="584"/>
              <w:gridCol w:w="584"/>
              <w:gridCol w:w="584"/>
              <w:gridCol w:w="479"/>
              <w:gridCol w:w="479"/>
              <w:gridCol w:w="427"/>
              <w:gridCol w:w="427"/>
            </w:tblGrid>
            <w:tr w14:paraId="53E5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6" w:type="dxa"/>
                  <w:vMerge w:val="restart"/>
                  <w:noWrap w:val="0"/>
                  <w:vAlign w:val="center"/>
                </w:tcPr>
                <w:p w14:paraId="2C187428">
                  <w:pPr>
                    <w:adjustRightInd w:val="0"/>
                    <w:snapToGrid w:val="0"/>
                    <w:spacing w:line="240" w:lineRule="exact"/>
                    <w:jc w:val="center"/>
                    <w:rPr>
                      <w:rFonts w:hint="eastAsia"/>
                      <w:color w:val="000000"/>
                      <w:szCs w:val="21"/>
                    </w:rPr>
                  </w:pPr>
                  <w:r>
                    <w:rPr>
                      <w:rFonts w:hint="eastAsia"/>
                      <w:color w:val="000000"/>
                      <w:szCs w:val="21"/>
                    </w:rPr>
                    <w:t>序号</w:t>
                  </w:r>
                </w:p>
              </w:tc>
              <w:tc>
                <w:tcPr>
                  <w:tcW w:w="1096" w:type="dxa"/>
                  <w:vMerge w:val="restart"/>
                  <w:noWrap w:val="0"/>
                  <w:vAlign w:val="center"/>
                </w:tcPr>
                <w:p w14:paraId="1FBE84E7">
                  <w:pPr>
                    <w:adjustRightInd w:val="0"/>
                    <w:snapToGrid w:val="0"/>
                    <w:spacing w:line="240" w:lineRule="exact"/>
                    <w:jc w:val="center"/>
                    <w:rPr>
                      <w:rFonts w:hint="eastAsia"/>
                      <w:color w:val="000000"/>
                      <w:szCs w:val="21"/>
                    </w:rPr>
                  </w:pPr>
                  <w:r>
                    <w:rPr>
                      <w:rFonts w:hint="eastAsia"/>
                      <w:color w:val="000000"/>
                      <w:szCs w:val="21"/>
                    </w:rPr>
                    <w:t>声环境保护目标名称</w:t>
                  </w:r>
                </w:p>
              </w:tc>
              <w:tc>
                <w:tcPr>
                  <w:tcW w:w="1007" w:type="dxa"/>
                  <w:gridSpan w:val="2"/>
                  <w:noWrap w:val="0"/>
                  <w:vAlign w:val="center"/>
                </w:tcPr>
                <w:p w14:paraId="0354D715">
                  <w:pPr>
                    <w:adjustRightInd w:val="0"/>
                    <w:snapToGrid w:val="0"/>
                    <w:spacing w:line="240" w:lineRule="exact"/>
                    <w:jc w:val="center"/>
                    <w:rPr>
                      <w:rFonts w:hint="eastAsia"/>
                      <w:color w:val="000000"/>
                      <w:szCs w:val="21"/>
                    </w:rPr>
                  </w:pPr>
                  <w:r>
                    <w:rPr>
                      <w:rFonts w:hint="eastAsia"/>
                      <w:color w:val="000000"/>
                      <w:szCs w:val="21"/>
                    </w:rPr>
                    <w:t>噪声背景值/dB(A)</w:t>
                  </w:r>
                </w:p>
              </w:tc>
              <w:tc>
                <w:tcPr>
                  <w:tcW w:w="929" w:type="dxa"/>
                  <w:gridSpan w:val="2"/>
                  <w:noWrap w:val="0"/>
                  <w:vAlign w:val="center"/>
                </w:tcPr>
                <w:p w14:paraId="75ABB356">
                  <w:pPr>
                    <w:adjustRightInd w:val="0"/>
                    <w:snapToGrid w:val="0"/>
                    <w:spacing w:line="240" w:lineRule="exact"/>
                    <w:jc w:val="center"/>
                    <w:rPr>
                      <w:rFonts w:hint="eastAsia"/>
                      <w:color w:val="000000"/>
                      <w:szCs w:val="21"/>
                    </w:rPr>
                  </w:pPr>
                  <w:r>
                    <w:rPr>
                      <w:rFonts w:hint="eastAsia"/>
                      <w:color w:val="000000"/>
                      <w:szCs w:val="21"/>
                    </w:rPr>
                    <w:t>噪声现状值/dB(A)</w:t>
                  </w:r>
                </w:p>
              </w:tc>
              <w:tc>
                <w:tcPr>
                  <w:tcW w:w="854" w:type="dxa"/>
                  <w:gridSpan w:val="2"/>
                  <w:noWrap w:val="0"/>
                  <w:vAlign w:val="center"/>
                </w:tcPr>
                <w:p w14:paraId="19DFD74C">
                  <w:pPr>
                    <w:adjustRightInd w:val="0"/>
                    <w:snapToGrid w:val="0"/>
                    <w:spacing w:line="240" w:lineRule="exact"/>
                    <w:jc w:val="center"/>
                    <w:rPr>
                      <w:rFonts w:hint="eastAsia"/>
                      <w:color w:val="000000"/>
                      <w:szCs w:val="21"/>
                    </w:rPr>
                  </w:pPr>
                  <w:r>
                    <w:rPr>
                      <w:rFonts w:hint="eastAsia"/>
                      <w:color w:val="000000"/>
                      <w:szCs w:val="21"/>
                    </w:rPr>
                    <w:t>噪声标准/dB(A)</w:t>
                  </w:r>
                </w:p>
              </w:tc>
              <w:tc>
                <w:tcPr>
                  <w:tcW w:w="1168" w:type="dxa"/>
                  <w:gridSpan w:val="2"/>
                  <w:noWrap w:val="0"/>
                  <w:vAlign w:val="center"/>
                </w:tcPr>
                <w:p w14:paraId="1706C4B8">
                  <w:pPr>
                    <w:adjustRightInd w:val="0"/>
                    <w:snapToGrid w:val="0"/>
                    <w:spacing w:line="240" w:lineRule="exact"/>
                    <w:jc w:val="center"/>
                    <w:rPr>
                      <w:rFonts w:hint="eastAsia"/>
                      <w:color w:val="000000"/>
                      <w:szCs w:val="21"/>
                    </w:rPr>
                  </w:pPr>
                  <w:r>
                    <w:rPr>
                      <w:rFonts w:hint="eastAsia"/>
                      <w:color w:val="000000"/>
                      <w:szCs w:val="21"/>
                    </w:rPr>
                    <w:t>噪声贡献值/dB(A)</w:t>
                  </w:r>
                </w:p>
              </w:tc>
              <w:tc>
                <w:tcPr>
                  <w:tcW w:w="1168" w:type="dxa"/>
                  <w:gridSpan w:val="2"/>
                  <w:noWrap w:val="0"/>
                  <w:vAlign w:val="center"/>
                </w:tcPr>
                <w:p w14:paraId="44290ECB">
                  <w:pPr>
                    <w:adjustRightInd w:val="0"/>
                    <w:snapToGrid w:val="0"/>
                    <w:spacing w:line="240" w:lineRule="exact"/>
                    <w:jc w:val="center"/>
                    <w:rPr>
                      <w:rFonts w:hint="eastAsia"/>
                      <w:color w:val="000000"/>
                      <w:szCs w:val="21"/>
                    </w:rPr>
                  </w:pPr>
                  <w:r>
                    <w:rPr>
                      <w:rFonts w:hint="eastAsia"/>
                      <w:color w:val="000000"/>
                      <w:szCs w:val="21"/>
                    </w:rPr>
                    <w:t>噪声预测值/dB(A)</w:t>
                  </w:r>
                </w:p>
              </w:tc>
              <w:tc>
                <w:tcPr>
                  <w:tcW w:w="958" w:type="dxa"/>
                  <w:gridSpan w:val="2"/>
                  <w:noWrap w:val="0"/>
                  <w:vAlign w:val="center"/>
                </w:tcPr>
                <w:p w14:paraId="04E75B79">
                  <w:pPr>
                    <w:adjustRightInd w:val="0"/>
                    <w:snapToGrid w:val="0"/>
                    <w:spacing w:line="240" w:lineRule="exact"/>
                    <w:jc w:val="center"/>
                    <w:rPr>
                      <w:rFonts w:hint="eastAsia"/>
                      <w:color w:val="000000"/>
                      <w:szCs w:val="21"/>
                    </w:rPr>
                  </w:pPr>
                  <w:r>
                    <w:rPr>
                      <w:rFonts w:hint="eastAsia"/>
                      <w:color w:val="000000"/>
                      <w:szCs w:val="21"/>
                    </w:rPr>
                    <w:t>较现状增量/dB(A)</w:t>
                  </w:r>
                </w:p>
              </w:tc>
              <w:tc>
                <w:tcPr>
                  <w:tcW w:w="854" w:type="dxa"/>
                  <w:gridSpan w:val="2"/>
                  <w:noWrap w:val="0"/>
                  <w:vAlign w:val="center"/>
                </w:tcPr>
                <w:p w14:paraId="3BDF9B81">
                  <w:pPr>
                    <w:adjustRightInd w:val="0"/>
                    <w:snapToGrid w:val="0"/>
                    <w:spacing w:line="240" w:lineRule="exact"/>
                    <w:jc w:val="center"/>
                    <w:rPr>
                      <w:rFonts w:hint="eastAsia"/>
                      <w:color w:val="000000"/>
                      <w:szCs w:val="21"/>
                    </w:rPr>
                  </w:pPr>
                  <w:r>
                    <w:rPr>
                      <w:rFonts w:hint="eastAsia"/>
                      <w:color w:val="000000"/>
                      <w:szCs w:val="21"/>
                    </w:rPr>
                    <w:t>达标情况</w:t>
                  </w:r>
                </w:p>
              </w:tc>
            </w:tr>
            <w:tr w14:paraId="00FB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noWrap w:val="0"/>
                  <w:vAlign w:val="center"/>
                </w:tcPr>
                <w:p w14:paraId="644337C4">
                  <w:pPr>
                    <w:adjustRightInd w:val="0"/>
                    <w:snapToGrid w:val="0"/>
                    <w:spacing w:line="240" w:lineRule="exact"/>
                    <w:jc w:val="center"/>
                    <w:rPr>
                      <w:rFonts w:hint="eastAsia"/>
                      <w:color w:val="000000"/>
                      <w:szCs w:val="21"/>
                    </w:rPr>
                  </w:pPr>
                </w:p>
              </w:tc>
              <w:tc>
                <w:tcPr>
                  <w:tcW w:w="1096" w:type="dxa"/>
                  <w:vMerge w:val="continue"/>
                  <w:noWrap w:val="0"/>
                  <w:vAlign w:val="center"/>
                </w:tcPr>
                <w:p w14:paraId="70B28ADA">
                  <w:pPr>
                    <w:adjustRightInd w:val="0"/>
                    <w:snapToGrid w:val="0"/>
                    <w:spacing w:line="240" w:lineRule="exact"/>
                    <w:jc w:val="center"/>
                    <w:rPr>
                      <w:rFonts w:hint="eastAsia"/>
                      <w:color w:val="000000"/>
                      <w:szCs w:val="21"/>
                    </w:rPr>
                  </w:pPr>
                </w:p>
              </w:tc>
              <w:tc>
                <w:tcPr>
                  <w:tcW w:w="502" w:type="dxa"/>
                  <w:noWrap w:val="0"/>
                  <w:vAlign w:val="center"/>
                </w:tcPr>
                <w:p w14:paraId="3DCD9074">
                  <w:pPr>
                    <w:adjustRightInd w:val="0"/>
                    <w:snapToGrid w:val="0"/>
                    <w:spacing w:line="240" w:lineRule="exact"/>
                    <w:jc w:val="center"/>
                    <w:rPr>
                      <w:rFonts w:hint="eastAsia"/>
                      <w:color w:val="000000"/>
                      <w:szCs w:val="21"/>
                    </w:rPr>
                  </w:pPr>
                  <w:r>
                    <w:rPr>
                      <w:rFonts w:hint="eastAsia"/>
                      <w:color w:val="000000"/>
                      <w:szCs w:val="21"/>
                    </w:rPr>
                    <w:t>昼间</w:t>
                  </w:r>
                </w:p>
              </w:tc>
              <w:tc>
                <w:tcPr>
                  <w:tcW w:w="505" w:type="dxa"/>
                  <w:noWrap w:val="0"/>
                  <w:vAlign w:val="center"/>
                </w:tcPr>
                <w:p w14:paraId="3EBF257E">
                  <w:pPr>
                    <w:adjustRightInd w:val="0"/>
                    <w:snapToGrid w:val="0"/>
                    <w:spacing w:line="240" w:lineRule="exact"/>
                    <w:jc w:val="center"/>
                    <w:rPr>
                      <w:rFonts w:hint="eastAsia"/>
                      <w:color w:val="auto"/>
                      <w:szCs w:val="21"/>
                    </w:rPr>
                  </w:pPr>
                  <w:r>
                    <w:rPr>
                      <w:rFonts w:hint="eastAsia"/>
                      <w:color w:val="auto"/>
                      <w:szCs w:val="21"/>
                    </w:rPr>
                    <w:t>夜间</w:t>
                  </w:r>
                </w:p>
              </w:tc>
              <w:tc>
                <w:tcPr>
                  <w:tcW w:w="503" w:type="dxa"/>
                  <w:noWrap w:val="0"/>
                  <w:vAlign w:val="center"/>
                </w:tcPr>
                <w:p w14:paraId="44316D2A">
                  <w:pPr>
                    <w:adjustRightInd w:val="0"/>
                    <w:snapToGrid w:val="0"/>
                    <w:spacing w:line="240" w:lineRule="exact"/>
                    <w:jc w:val="center"/>
                    <w:rPr>
                      <w:rFonts w:hint="eastAsia"/>
                      <w:color w:val="auto"/>
                      <w:szCs w:val="21"/>
                    </w:rPr>
                  </w:pPr>
                  <w:r>
                    <w:rPr>
                      <w:rFonts w:hint="eastAsia"/>
                      <w:color w:val="auto"/>
                      <w:szCs w:val="21"/>
                    </w:rPr>
                    <w:t>昼间</w:t>
                  </w:r>
                </w:p>
              </w:tc>
              <w:tc>
                <w:tcPr>
                  <w:tcW w:w="426" w:type="dxa"/>
                  <w:noWrap w:val="0"/>
                  <w:vAlign w:val="center"/>
                </w:tcPr>
                <w:p w14:paraId="6CE97C05">
                  <w:pPr>
                    <w:adjustRightInd w:val="0"/>
                    <w:snapToGrid w:val="0"/>
                    <w:spacing w:line="240" w:lineRule="exact"/>
                    <w:jc w:val="center"/>
                    <w:rPr>
                      <w:rFonts w:hint="eastAsia"/>
                      <w:color w:val="000000"/>
                      <w:szCs w:val="21"/>
                    </w:rPr>
                  </w:pPr>
                  <w:r>
                    <w:rPr>
                      <w:rFonts w:hint="eastAsia"/>
                      <w:color w:val="000000"/>
                      <w:szCs w:val="21"/>
                    </w:rPr>
                    <w:t>夜间</w:t>
                  </w:r>
                </w:p>
              </w:tc>
              <w:tc>
                <w:tcPr>
                  <w:tcW w:w="426" w:type="dxa"/>
                  <w:noWrap w:val="0"/>
                  <w:vAlign w:val="center"/>
                </w:tcPr>
                <w:p w14:paraId="5053AE38">
                  <w:pPr>
                    <w:adjustRightInd w:val="0"/>
                    <w:snapToGrid w:val="0"/>
                    <w:spacing w:line="240" w:lineRule="exact"/>
                    <w:jc w:val="center"/>
                    <w:rPr>
                      <w:rFonts w:hint="eastAsia"/>
                      <w:color w:val="000000"/>
                      <w:szCs w:val="21"/>
                    </w:rPr>
                  </w:pPr>
                  <w:r>
                    <w:rPr>
                      <w:rFonts w:hint="eastAsia"/>
                      <w:color w:val="000000"/>
                      <w:szCs w:val="21"/>
                    </w:rPr>
                    <w:t>昼间</w:t>
                  </w:r>
                </w:p>
              </w:tc>
              <w:tc>
                <w:tcPr>
                  <w:tcW w:w="428" w:type="dxa"/>
                  <w:noWrap w:val="0"/>
                  <w:vAlign w:val="center"/>
                </w:tcPr>
                <w:p w14:paraId="086DD712">
                  <w:pPr>
                    <w:adjustRightInd w:val="0"/>
                    <w:snapToGrid w:val="0"/>
                    <w:spacing w:line="240" w:lineRule="exact"/>
                    <w:jc w:val="center"/>
                    <w:rPr>
                      <w:rFonts w:hint="eastAsia"/>
                      <w:color w:val="000000"/>
                      <w:szCs w:val="21"/>
                    </w:rPr>
                  </w:pPr>
                  <w:r>
                    <w:rPr>
                      <w:rFonts w:hint="eastAsia"/>
                      <w:color w:val="000000"/>
                      <w:szCs w:val="21"/>
                    </w:rPr>
                    <w:t>夜间</w:t>
                  </w:r>
                </w:p>
              </w:tc>
              <w:tc>
                <w:tcPr>
                  <w:tcW w:w="584" w:type="dxa"/>
                  <w:noWrap w:val="0"/>
                  <w:vAlign w:val="center"/>
                </w:tcPr>
                <w:p w14:paraId="699A1B02">
                  <w:pPr>
                    <w:adjustRightInd w:val="0"/>
                    <w:snapToGrid w:val="0"/>
                    <w:spacing w:line="240" w:lineRule="exact"/>
                    <w:jc w:val="center"/>
                    <w:rPr>
                      <w:rFonts w:hint="eastAsia"/>
                      <w:color w:val="auto"/>
                      <w:szCs w:val="21"/>
                    </w:rPr>
                  </w:pPr>
                  <w:r>
                    <w:rPr>
                      <w:rFonts w:hint="eastAsia"/>
                      <w:color w:val="auto"/>
                      <w:szCs w:val="21"/>
                    </w:rPr>
                    <w:t>昼间</w:t>
                  </w:r>
                </w:p>
              </w:tc>
              <w:tc>
                <w:tcPr>
                  <w:tcW w:w="584" w:type="dxa"/>
                  <w:noWrap w:val="0"/>
                  <w:vAlign w:val="center"/>
                </w:tcPr>
                <w:p w14:paraId="26B7D14F">
                  <w:pPr>
                    <w:adjustRightInd w:val="0"/>
                    <w:snapToGrid w:val="0"/>
                    <w:spacing w:line="240" w:lineRule="exact"/>
                    <w:jc w:val="center"/>
                    <w:rPr>
                      <w:rFonts w:hint="eastAsia"/>
                      <w:color w:val="000000"/>
                      <w:szCs w:val="21"/>
                    </w:rPr>
                  </w:pPr>
                  <w:r>
                    <w:rPr>
                      <w:rFonts w:hint="eastAsia"/>
                      <w:color w:val="000000"/>
                      <w:szCs w:val="21"/>
                    </w:rPr>
                    <w:t>夜间</w:t>
                  </w:r>
                </w:p>
              </w:tc>
              <w:tc>
                <w:tcPr>
                  <w:tcW w:w="584" w:type="dxa"/>
                  <w:noWrap w:val="0"/>
                  <w:vAlign w:val="center"/>
                </w:tcPr>
                <w:p w14:paraId="461BE7F0">
                  <w:pPr>
                    <w:adjustRightInd w:val="0"/>
                    <w:snapToGrid w:val="0"/>
                    <w:spacing w:line="240" w:lineRule="exact"/>
                    <w:jc w:val="center"/>
                    <w:rPr>
                      <w:rFonts w:hint="eastAsia"/>
                      <w:color w:val="000000"/>
                      <w:szCs w:val="21"/>
                    </w:rPr>
                  </w:pPr>
                  <w:r>
                    <w:rPr>
                      <w:rFonts w:hint="eastAsia"/>
                      <w:color w:val="000000"/>
                      <w:szCs w:val="21"/>
                    </w:rPr>
                    <w:t>昼间</w:t>
                  </w:r>
                </w:p>
              </w:tc>
              <w:tc>
                <w:tcPr>
                  <w:tcW w:w="584" w:type="dxa"/>
                  <w:noWrap w:val="0"/>
                  <w:vAlign w:val="center"/>
                </w:tcPr>
                <w:p w14:paraId="67076C26">
                  <w:pPr>
                    <w:adjustRightInd w:val="0"/>
                    <w:snapToGrid w:val="0"/>
                    <w:spacing w:line="240" w:lineRule="exact"/>
                    <w:jc w:val="center"/>
                    <w:rPr>
                      <w:rFonts w:hint="eastAsia"/>
                      <w:color w:val="000000"/>
                      <w:szCs w:val="21"/>
                    </w:rPr>
                  </w:pPr>
                  <w:r>
                    <w:rPr>
                      <w:rFonts w:hint="eastAsia"/>
                      <w:color w:val="000000"/>
                      <w:szCs w:val="21"/>
                    </w:rPr>
                    <w:t>夜间</w:t>
                  </w:r>
                </w:p>
              </w:tc>
              <w:tc>
                <w:tcPr>
                  <w:tcW w:w="479" w:type="dxa"/>
                  <w:noWrap w:val="0"/>
                  <w:vAlign w:val="center"/>
                </w:tcPr>
                <w:p w14:paraId="1F54F45E">
                  <w:pPr>
                    <w:adjustRightInd w:val="0"/>
                    <w:snapToGrid w:val="0"/>
                    <w:spacing w:line="240" w:lineRule="exact"/>
                    <w:jc w:val="center"/>
                    <w:rPr>
                      <w:rFonts w:hint="eastAsia"/>
                      <w:color w:val="000000"/>
                      <w:szCs w:val="21"/>
                    </w:rPr>
                  </w:pPr>
                  <w:r>
                    <w:rPr>
                      <w:rFonts w:hint="eastAsia"/>
                      <w:color w:val="000000"/>
                      <w:szCs w:val="21"/>
                    </w:rPr>
                    <w:t>昼间</w:t>
                  </w:r>
                </w:p>
              </w:tc>
              <w:tc>
                <w:tcPr>
                  <w:tcW w:w="479" w:type="dxa"/>
                  <w:noWrap w:val="0"/>
                  <w:vAlign w:val="center"/>
                </w:tcPr>
                <w:p w14:paraId="3D69D49B">
                  <w:pPr>
                    <w:adjustRightInd w:val="0"/>
                    <w:snapToGrid w:val="0"/>
                    <w:spacing w:line="240" w:lineRule="exact"/>
                    <w:jc w:val="center"/>
                    <w:rPr>
                      <w:rFonts w:hint="eastAsia"/>
                      <w:color w:val="000000"/>
                      <w:szCs w:val="21"/>
                    </w:rPr>
                  </w:pPr>
                  <w:r>
                    <w:rPr>
                      <w:rFonts w:hint="eastAsia"/>
                      <w:color w:val="000000"/>
                      <w:szCs w:val="21"/>
                    </w:rPr>
                    <w:t>夜间</w:t>
                  </w:r>
                </w:p>
              </w:tc>
              <w:tc>
                <w:tcPr>
                  <w:tcW w:w="427" w:type="dxa"/>
                  <w:noWrap w:val="0"/>
                  <w:vAlign w:val="center"/>
                </w:tcPr>
                <w:p w14:paraId="3964316D">
                  <w:pPr>
                    <w:adjustRightInd w:val="0"/>
                    <w:snapToGrid w:val="0"/>
                    <w:spacing w:line="240" w:lineRule="exact"/>
                    <w:jc w:val="center"/>
                    <w:rPr>
                      <w:rFonts w:hint="eastAsia"/>
                      <w:color w:val="000000"/>
                      <w:szCs w:val="21"/>
                    </w:rPr>
                  </w:pPr>
                  <w:r>
                    <w:rPr>
                      <w:rFonts w:hint="eastAsia"/>
                      <w:color w:val="000000"/>
                      <w:szCs w:val="21"/>
                    </w:rPr>
                    <w:t>昼间</w:t>
                  </w:r>
                </w:p>
              </w:tc>
              <w:tc>
                <w:tcPr>
                  <w:tcW w:w="427" w:type="dxa"/>
                  <w:noWrap w:val="0"/>
                  <w:vAlign w:val="center"/>
                </w:tcPr>
                <w:p w14:paraId="723B0756">
                  <w:pPr>
                    <w:adjustRightInd w:val="0"/>
                    <w:snapToGrid w:val="0"/>
                    <w:spacing w:line="240" w:lineRule="exact"/>
                    <w:jc w:val="center"/>
                    <w:rPr>
                      <w:rFonts w:hint="eastAsia"/>
                      <w:color w:val="000000"/>
                      <w:szCs w:val="21"/>
                    </w:rPr>
                  </w:pPr>
                  <w:r>
                    <w:rPr>
                      <w:rFonts w:hint="eastAsia"/>
                      <w:color w:val="000000"/>
                      <w:szCs w:val="21"/>
                    </w:rPr>
                    <w:t>夜间</w:t>
                  </w:r>
                </w:p>
              </w:tc>
            </w:tr>
            <w:tr w14:paraId="0F3C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noWrap w:val="0"/>
                  <w:vAlign w:val="center"/>
                </w:tcPr>
                <w:p w14:paraId="376A5E14">
                  <w:pPr>
                    <w:adjustRightInd w:val="0"/>
                    <w:snapToGrid w:val="0"/>
                    <w:spacing w:line="240" w:lineRule="exact"/>
                    <w:jc w:val="center"/>
                    <w:rPr>
                      <w:rFonts w:hint="eastAsia"/>
                      <w:color w:val="000000"/>
                      <w:szCs w:val="21"/>
                    </w:rPr>
                  </w:pPr>
                  <w:r>
                    <w:rPr>
                      <w:rFonts w:hint="eastAsia"/>
                      <w:color w:val="000000"/>
                      <w:szCs w:val="21"/>
                    </w:rPr>
                    <w:t>1</w:t>
                  </w:r>
                </w:p>
              </w:tc>
              <w:tc>
                <w:tcPr>
                  <w:tcW w:w="1096" w:type="dxa"/>
                  <w:noWrap w:val="0"/>
                  <w:vAlign w:val="center"/>
                </w:tcPr>
                <w:p w14:paraId="6E3F31DB">
                  <w:pPr>
                    <w:adjustRightInd w:val="0"/>
                    <w:snapToGrid w:val="0"/>
                    <w:spacing w:line="240" w:lineRule="exact"/>
                    <w:jc w:val="center"/>
                    <w:rPr>
                      <w:rFonts w:hint="eastAsia"/>
                      <w:color w:val="000000"/>
                      <w:szCs w:val="21"/>
                    </w:rPr>
                  </w:pPr>
                  <w:r>
                    <w:rPr>
                      <w:rFonts w:hint="eastAsia"/>
                      <w:color w:val="000000"/>
                      <w:szCs w:val="21"/>
                    </w:rPr>
                    <w:t>东面</w:t>
                  </w:r>
                  <w:r>
                    <w:rPr>
                      <w:rFonts w:hint="eastAsia"/>
                      <w:color w:val="000000"/>
                      <w:szCs w:val="21"/>
                      <w:lang w:val="en-US" w:eastAsia="zh-CN"/>
                    </w:rPr>
                    <w:t>厂</w:t>
                  </w:r>
                  <w:r>
                    <w:rPr>
                      <w:rFonts w:hint="eastAsia"/>
                      <w:color w:val="000000"/>
                      <w:szCs w:val="21"/>
                    </w:rPr>
                    <w:t>界</w:t>
                  </w:r>
                </w:p>
              </w:tc>
              <w:tc>
                <w:tcPr>
                  <w:tcW w:w="502" w:type="dxa"/>
                  <w:noWrap w:val="0"/>
                  <w:vAlign w:val="center"/>
                </w:tcPr>
                <w:p w14:paraId="4F4C1023">
                  <w:pPr>
                    <w:adjustRightInd w:val="0"/>
                    <w:snapToGrid w:val="0"/>
                    <w:spacing w:line="240" w:lineRule="exact"/>
                    <w:jc w:val="center"/>
                    <w:rPr>
                      <w:rFonts w:hint="eastAsia"/>
                      <w:color w:val="000000"/>
                      <w:szCs w:val="21"/>
                    </w:rPr>
                  </w:pPr>
                  <w:r>
                    <w:rPr>
                      <w:rFonts w:hint="eastAsia"/>
                      <w:color w:val="000000"/>
                      <w:szCs w:val="21"/>
                    </w:rPr>
                    <w:t>—</w:t>
                  </w:r>
                </w:p>
              </w:tc>
              <w:tc>
                <w:tcPr>
                  <w:tcW w:w="505" w:type="dxa"/>
                  <w:noWrap w:val="0"/>
                  <w:vAlign w:val="center"/>
                </w:tcPr>
                <w:p w14:paraId="2D9C0C68">
                  <w:pPr>
                    <w:adjustRightInd w:val="0"/>
                    <w:snapToGrid w:val="0"/>
                    <w:spacing w:line="240" w:lineRule="exact"/>
                    <w:jc w:val="center"/>
                    <w:rPr>
                      <w:rFonts w:hint="eastAsia"/>
                      <w:color w:val="000000"/>
                      <w:szCs w:val="21"/>
                    </w:rPr>
                  </w:pPr>
                  <w:r>
                    <w:rPr>
                      <w:rFonts w:hint="eastAsia"/>
                      <w:color w:val="000000"/>
                      <w:szCs w:val="21"/>
                    </w:rPr>
                    <w:t>—</w:t>
                  </w:r>
                </w:p>
              </w:tc>
              <w:tc>
                <w:tcPr>
                  <w:tcW w:w="503" w:type="dxa"/>
                  <w:noWrap w:val="0"/>
                  <w:vAlign w:val="center"/>
                </w:tcPr>
                <w:p w14:paraId="65F05EE0">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426" w:type="dxa"/>
                  <w:noWrap w:val="0"/>
                  <w:vAlign w:val="center"/>
                </w:tcPr>
                <w:p w14:paraId="7A657CED">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426" w:type="dxa"/>
                  <w:noWrap w:val="0"/>
                  <w:vAlign w:val="center"/>
                </w:tcPr>
                <w:p w14:paraId="2631AB5C">
                  <w:pPr>
                    <w:adjustRightInd w:val="0"/>
                    <w:snapToGrid w:val="0"/>
                    <w:spacing w:line="240" w:lineRule="exact"/>
                    <w:jc w:val="center"/>
                    <w:rPr>
                      <w:rFonts w:hint="default" w:eastAsia="宋体"/>
                      <w:color w:val="000000" w:themeColor="text1"/>
                      <w:szCs w:val="21"/>
                      <w:lang w:val="en-US" w:eastAsia="zh-CN"/>
                      <w14:textFill>
                        <w14:solidFill>
                          <w14:schemeClr w14:val="tx1"/>
                        </w14:solidFill>
                      </w14:textFill>
                    </w:rPr>
                  </w:pPr>
                </w:p>
              </w:tc>
              <w:tc>
                <w:tcPr>
                  <w:tcW w:w="428" w:type="dxa"/>
                  <w:noWrap w:val="0"/>
                  <w:vAlign w:val="center"/>
                </w:tcPr>
                <w:p w14:paraId="11B25DF9">
                  <w:pPr>
                    <w:adjustRightInd w:val="0"/>
                    <w:snapToGrid w:val="0"/>
                    <w:spacing w:line="240" w:lineRule="exact"/>
                    <w:jc w:val="center"/>
                    <w:rPr>
                      <w:rFonts w:hint="default" w:eastAsia="宋体"/>
                      <w:color w:val="000000" w:themeColor="text1"/>
                      <w:szCs w:val="21"/>
                      <w:lang w:val="en-US" w:eastAsia="zh-CN"/>
                      <w14:textFill>
                        <w14:solidFill>
                          <w14:schemeClr w14:val="tx1"/>
                        </w14:solidFill>
                      </w14:textFill>
                    </w:rPr>
                  </w:pPr>
                </w:p>
              </w:tc>
              <w:tc>
                <w:tcPr>
                  <w:tcW w:w="584" w:type="dxa"/>
                  <w:noWrap w:val="0"/>
                  <w:vAlign w:val="center"/>
                </w:tcPr>
                <w:p w14:paraId="228F879F">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584" w:type="dxa"/>
                  <w:noWrap w:val="0"/>
                  <w:vAlign w:val="center"/>
                </w:tcPr>
                <w:p w14:paraId="388EC4D1">
                  <w:pPr>
                    <w:adjustRightInd w:val="0"/>
                    <w:snapToGrid w:val="0"/>
                    <w:spacing w:line="240" w:lineRule="exact"/>
                    <w:jc w:val="center"/>
                    <w:rPr>
                      <w:rFonts w:hint="default" w:eastAsia="宋体"/>
                      <w:color w:val="000000" w:themeColor="text1"/>
                      <w:szCs w:val="21"/>
                      <w:lang w:val="en-US" w:eastAsia="zh-CN"/>
                      <w14:textFill>
                        <w14:solidFill>
                          <w14:schemeClr w14:val="tx1"/>
                        </w14:solidFill>
                      </w14:textFill>
                    </w:rPr>
                  </w:pPr>
                </w:p>
              </w:tc>
              <w:tc>
                <w:tcPr>
                  <w:tcW w:w="584" w:type="dxa"/>
                  <w:noWrap w:val="0"/>
                  <w:vAlign w:val="center"/>
                </w:tcPr>
                <w:p w14:paraId="75565766">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584" w:type="dxa"/>
                  <w:noWrap w:val="0"/>
                  <w:vAlign w:val="center"/>
                </w:tcPr>
                <w:p w14:paraId="7A19EFB4">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479" w:type="dxa"/>
                  <w:noWrap w:val="0"/>
                  <w:vAlign w:val="center"/>
                </w:tcPr>
                <w:p w14:paraId="0B73FF63">
                  <w:pPr>
                    <w:adjustRightInd w:val="0"/>
                    <w:snapToGrid w:val="0"/>
                    <w:spacing w:line="240" w:lineRule="exact"/>
                    <w:jc w:val="center"/>
                    <w:rPr>
                      <w:rFonts w:hint="default" w:eastAsia="宋体"/>
                      <w:color w:val="000000"/>
                      <w:szCs w:val="21"/>
                      <w:lang w:val="en-US" w:eastAsia="zh-CN"/>
                    </w:rPr>
                  </w:pPr>
                </w:p>
              </w:tc>
              <w:tc>
                <w:tcPr>
                  <w:tcW w:w="479" w:type="dxa"/>
                  <w:noWrap w:val="0"/>
                  <w:vAlign w:val="center"/>
                </w:tcPr>
                <w:p w14:paraId="00A5A4BF">
                  <w:pPr>
                    <w:adjustRightInd w:val="0"/>
                    <w:snapToGrid w:val="0"/>
                    <w:spacing w:line="240" w:lineRule="exact"/>
                    <w:jc w:val="center"/>
                    <w:rPr>
                      <w:rFonts w:hint="default" w:eastAsia="宋体"/>
                      <w:color w:val="000000"/>
                      <w:szCs w:val="21"/>
                      <w:lang w:val="en-US" w:eastAsia="zh-CN"/>
                    </w:rPr>
                  </w:pPr>
                </w:p>
              </w:tc>
              <w:tc>
                <w:tcPr>
                  <w:tcW w:w="427" w:type="dxa"/>
                  <w:noWrap w:val="0"/>
                  <w:vAlign w:val="center"/>
                </w:tcPr>
                <w:p w14:paraId="37285380">
                  <w:pPr>
                    <w:adjustRightInd w:val="0"/>
                    <w:snapToGrid w:val="0"/>
                    <w:spacing w:line="240" w:lineRule="exact"/>
                    <w:jc w:val="center"/>
                    <w:rPr>
                      <w:rFonts w:hint="eastAsia"/>
                      <w:color w:val="000000"/>
                      <w:szCs w:val="21"/>
                    </w:rPr>
                  </w:pPr>
                  <w:r>
                    <w:rPr>
                      <w:rFonts w:hint="eastAsia"/>
                      <w:color w:val="000000"/>
                      <w:szCs w:val="21"/>
                    </w:rPr>
                    <w:t>达标</w:t>
                  </w:r>
                </w:p>
              </w:tc>
              <w:tc>
                <w:tcPr>
                  <w:tcW w:w="427" w:type="dxa"/>
                  <w:noWrap w:val="0"/>
                  <w:vAlign w:val="center"/>
                </w:tcPr>
                <w:p w14:paraId="213D03DD">
                  <w:pPr>
                    <w:adjustRightInd w:val="0"/>
                    <w:snapToGrid w:val="0"/>
                    <w:spacing w:line="240" w:lineRule="exact"/>
                    <w:jc w:val="center"/>
                    <w:rPr>
                      <w:rFonts w:hint="eastAsia"/>
                      <w:color w:val="000000"/>
                      <w:szCs w:val="21"/>
                    </w:rPr>
                  </w:pPr>
                  <w:r>
                    <w:rPr>
                      <w:rFonts w:hint="eastAsia"/>
                      <w:color w:val="000000"/>
                      <w:szCs w:val="21"/>
                    </w:rPr>
                    <w:t>达标</w:t>
                  </w:r>
                </w:p>
              </w:tc>
            </w:tr>
            <w:tr w14:paraId="2560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noWrap w:val="0"/>
                  <w:vAlign w:val="center"/>
                </w:tcPr>
                <w:p w14:paraId="6F58F6D4">
                  <w:pPr>
                    <w:adjustRightInd w:val="0"/>
                    <w:snapToGrid w:val="0"/>
                    <w:spacing w:line="240" w:lineRule="exact"/>
                    <w:jc w:val="center"/>
                    <w:rPr>
                      <w:rFonts w:hint="eastAsia"/>
                      <w:color w:val="000000"/>
                      <w:szCs w:val="21"/>
                    </w:rPr>
                  </w:pPr>
                  <w:r>
                    <w:rPr>
                      <w:rFonts w:hint="eastAsia"/>
                      <w:color w:val="000000"/>
                      <w:szCs w:val="21"/>
                    </w:rPr>
                    <w:t>2</w:t>
                  </w:r>
                </w:p>
              </w:tc>
              <w:tc>
                <w:tcPr>
                  <w:tcW w:w="1096" w:type="dxa"/>
                  <w:noWrap w:val="0"/>
                  <w:vAlign w:val="center"/>
                </w:tcPr>
                <w:p w14:paraId="1B705311">
                  <w:pPr>
                    <w:adjustRightInd w:val="0"/>
                    <w:snapToGrid w:val="0"/>
                    <w:spacing w:line="240" w:lineRule="exact"/>
                    <w:jc w:val="center"/>
                    <w:rPr>
                      <w:rFonts w:hint="eastAsia"/>
                      <w:color w:val="000000"/>
                      <w:szCs w:val="21"/>
                    </w:rPr>
                  </w:pPr>
                  <w:r>
                    <w:rPr>
                      <w:rFonts w:hint="eastAsia"/>
                      <w:color w:val="000000"/>
                      <w:szCs w:val="21"/>
                    </w:rPr>
                    <w:t>南面</w:t>
                  </w:r>
                  <w:r>
                    <w:rPr>
                      <w:rFonts w:hint="eastAsia"/>
                      <w:color w:val="000000"/>
                      <w:szCs w:val="21"/>
                      <w:lang w:val="en-US" w:eastAsia="zh-CN"/>
                    </w:rPr>
                    <w:t>厂</w:t>
                  </w:r>
                  <w:r>
                    <w:rPr>
                      <w:rFonts w:hint="eastAsia"/>
                      <w:color w:val="000000"/>
                      <w:szCs w:val="21"/>
                    </w:rPr>
                    <w:t>界</w:t>
                  </w:r>
                </w:p>
              </w:tc>
              <w:tc>
                <w:tcPr>
                  <w:tcW w:w="502" w:type="dxa"/>
                  <w:noWrap w:val="0"/>
                  <w:vAlign w:val="center"/>
                </w:tcPr>
                <w:p w14:paraId="178FFDD9">
                  <w:pPr>
                    <w:adjustRightInd w:val="0"/>
                    <w:snapToGrid w:val="0"/>
                    <w:spacing w:line="240" w:lineRule="exact"/>
                    <w:jc w:val="center"/>
                    <w:rPr>
                      <w:rFonts w:hint="eastAsia"/>
                      <w:color w:val="000000"/>
                      <w:szCs w:val="21"/>
                    </w:rPr>
                  </w:pPr>
                  <w:r>
                    <w:rPr>
                      <w:rFonts w:hint="eastAsia"/>
                      <w:color w:val="000000"/>
                      <w:szCs w:val="21"/>
                    </w:rPr>
                    <w:t>—</w:t>
                  </w:r>
                </w:p>
              </w:tc>
              <w:tc>
                <w:tcPr>
                  <w:tcW w:w="505" w:type="dxa"/>
                  <w:noWrap w:val="0"/>
                  <w:vAlign w:val="center"/>
                </w:tcPr>
                <w:p w14:paraId="58E29077">
                  <w:pPr>
                    <w:adjustRightInd w:val="0"/>
                    <w:snapToGrid w:val="0"/>
                    <w:spacing w:line="240" w:lineRule="exact"/>
                    <w:jc w:val="center"/>
                    <w:rPr>
                      <w:rFonts w:hint="eastAsia"/>
                      <w:color w:val="000000"/>
                      <w:szCs w:val="21"/>
                    </w:rPr>
                  </w:pPr>
                  <w:r>
                    <w:rPr>
                      <w:rFonts w:hint="eastAsia"/>
                      <w:color w:val="000000"/>
                      <w:szCs w:val="21"/>
                    </w:rPr>
                    <w:t>—</w:t>
                  </w:r>
                </w:p>
              </w:tc>
              <w:tc>
                <w:tcPr>
                  <w:tcW w:w="503" w:type="dxa"/>
                  <w:noWrap w:val="0"/>
                  <w:vAlign w:val="center"/>
                </w:tcPr>
                <w:p w14:paraId="233062C3">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426" w:type="dxa"/>
                  <w:noWrap w:val="0"/>
                  <w:vAlign w:val="center"/>
                </w:tcPr>
                <w:p w14:paraId="030B9F33">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426" w:type="dxa"/>
                  <w:noWrap w:val="0"/>
                  <w:vAlign w:val="center"/>
                </w:tcPr>
                <w:p w14:paraId="4CBBEAB5">
                  <w:pPr>
                    <w:adjustRightInd w:val="0"/>
                    <w:snapToGrid w:val="0"/>
                    <w:spacing w:line="240" w:lineRule="exact"/>
                    <w:jc w:val="center"/>
                    <w:rPr>
                      <w:rFonts w:hint="eastAsia" w:eastAsia="宋体"/>
                      <w:color w:val="000000" w:themeColor="text1"/>
                      <w:szCs w:val="21"/>
                      <w:lang w:eastAsia="zh-CN"/>
                      <w14:textFill>
                        <w14:solidFill>
                          <w14:schemeClr w14:val="tx1"/>
                        </w14:solidFill>
                      </w14:textFill>
                    </w:rPr>
                  </w:pPr>
                </w:p>
              </w:tc>
              <w:tc>
                <w:tcPr>
                  <w:tcW w:w="428" w:type="dxa"/>
                  <w:noWrap w:val="0"/>
                  <w:vAlign w:val="center"/>
                </w:tcPr>
                <w:p w14:paraId="098EDD3F">
                  <w:pPr>
                    <w:adjustRightInd w:val="0"/>
                    <w:snapToGrid w:val="0"/>
                    <w:spacing w:line="240" w:lineRule="exact"/>
                    <w:jc w:val="center"/>
                    <w:rPr>
                      <w:rFonts w:hint="eastAsia" w:eastAsia="宋体"/>
                      <w:color w:val="000000" w:themeColor="text1"/>
                      <w:szCs w:val="21"/>
                      <w:lang w:eastAsia="zh-CN"/>
                      <w14:textFill>
                        <w14:solidFill>
                          <w14:schemeClr w14:val="tx1"/>
                        </w14:solidFill>
                      </w14:textFill>
                    </w:rPr>
                  </w:pPr>
                </w:p>
              </w:tc>
              <w:tc>
                <w:tcPr>
                  <w:tcW w:w="584" w:type="dxa"/>
                  <w:noWrap w:val="0"/>
                  <w:vAlign w:val="center"/>
                </w:tcPr>
                <w:p w14:paraId="6188CC26">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584" w:type="dxa"/>
                  <w:noWrap w:val="0"/>
                  <w:vAlign w:val="center"/>
                </w:tcPr>
                <w:p w14:paraId="5800B3E9">
                  <w:pPr>
                    <w:adjustRightInd w:val="0"/>
                    <w:snapToGrid w:val="0"/>
                    <w:spacing w:line="240" w:lineRule="exact"/>
                    <w:jc w:val="center"/>
                    <w:rPr>
                      <w:rFonts w:hint="default" w:eastAsia="宋体"/>
                      <w:color w:val="000000" w:themeColor="text1"/>
                      <w:szCs w:val="21"/>
                      <w:lang w:val="en-US" w:eastAsia="zh-CN"/>
                      <w14:textFill>
                        <w14:solidFill>
                          <w14:schemeClr w14:val="tx1"/>
                        </w14:solidFill>
                      </w14:textFill>
                    </w:rPr>
                  </w:pPr>
                </w:p>
              </w:tc>
              <w:tc>
                <w:tcPr>
                  <w:tcW w:w="584" w:type="dxa"/>
                  <w:noWrap w:val="0"/>
                  <w:vAlign w:val="center"/>
                </w:tcPr>
                <w:p w14:paraId="0252C4AA">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584" w:type="dxa"/>
                  <w:noWrap w:val="0"/>
                  <w:vAlign w:val="center"/>
                </w:tcPr>
                <w:p w14:paraId="1AE41E66">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479" w:type="dxa"/>
                  <w:noWrap w:val="0"/>
                  <w:vAlign w:val="center"/>
                </w:tcPr>
                <w:p w14:paraId="2D9AC18A">
                  <w:pPr>
                    <w:adjustRightInd w:val="0"/>
                    <w:snapToGrid w:val="0"/>
                    <w:spacing w:line="240" w:lineRule="exact"/>
                    <w:jc w:val="center"/>
                    <w:rPr>
                      <w:rFonts w:hint="eastAsia" w:eastAsia="宋体"/>
                      <w:color w:val="000000"/>
                      <w:szCs w:val="21"/>
                      <w:lang w:eastAsia="zh-CN"/>
                    </w:rPr>
                  </w:pPr>
                </w:p>
              </w:tc>
              <w:tc>
                <w:tcPr>
                  <w:tcW w:w="479" w:type="dxa"/>
                  <w:noWrap w:val="0"/>
                  <w:vAlign w:val="center"/>
                </w:tcPr>
                <w:p w14:paraId="579630FD">
                  <w:pPr>
                    <w:adjustRightInd w:val="0"/>
                    <w:snapToGrid w:val="0"/>
                    <w:spacing w:line="240" w:lineRule="exact"/>
                    <w:jc w:val="center"/>
                    <w:rPr>
                      <w:rFonts w:hint="eastAsia" w:eastAsia="宋体"/>
                      <w:color w:val="000000"/>
                      <w:szCs w:val="21"/>
                      <w:lang w:val="en-US" w:eastAsia="zh-CN"/>
                    </w:rPr>
                  </w:pPr>
                </w:p>
              </w:tc>
              <w:tc>
                <w:tcPr>
                  <w:tcW w:w="427" w:type="dxa"/>
                  <w:noWrap w:val="0"/>
                  <w:vAlign w:val="center"/>
                </w:tcPr>
                <w:p w14:paraId="33A81D73">
                  <w:pPr>
                    <w:adjustRightInd w:val="0"/>
                    <w:snapToGrid w:val="0"/>
                    <w:spacing w:line="240" w:lineRule="exact"/>
                    <w:jc w:val="center"/>
                    <w:rPr>
                      <w:rFonts w:hint="eastAsia"/>
                      <w:color w:val="000000"/>
                      <w:szCs w:val="21"/>
                    </w:rPr>
                  </w:pPr>
                  <w:r>
                    <w:rPr>
                      <w:rFonts w:hint="eastAsia"/>
                      <w:color w:val="000000"/>
                      <w:szCs w:val="21"/>
                    </w:rPr>
                    <w:t>达标</w:t>
                  </w:r>
                </w:p>
              </w:tc>
              <w:tc>
                <w:tcPr>
                  <w:tcW w:w="427" w:type="dxa"/>
                  <w:noWrap w:val="0"/>
                  <w:vAlign w:val="center"/>
                </w:tcPr>
                <w:p w14:paraId="4251855D">
                  <w:pPr>
                    <w:adjustRightInd w:val="0"/>
                    <w:snapToGrid w:val="0"/>
                    <w:spacing w:line="240" w:lineRule="exact"/>
                    <w:jc w:val="center"/>
                    <w:rPr>
                      <w:rFonts w:hint="eastAsia"/>
                      <w:color w:val="000000"/>
                      <w:szCs w:val="21"/>
                    </w:rPr>
                  </w:pPr>
                  <w:r>
                    <w:rPr>
                      <w:rFonts w:hint="eastAsia"/>
                      <w:color w:val="000000"/>
                      <w:szCs w:val="21"/>
                    </w:rPr>
                    <w:t>达标</w:t>
                  </w:r>
                </w:p>
              </w:tc>
            </w:tr>
            <w:tr w14:paraId="5A1E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noWrap w:val="0"/>
                  <w:vAlign w:val="center"/>
                </w:tcPr>
                <w:p w14:paraId="5F3BCAD8">
                  <w:pPr>
                    <w:adjustRightInd w:val="0"/>
                    <w:snapToGrid w:val="0"/>
                    <w:spacing w:line="240" w:lineRule="exact"/>
                    <w:jc w:val="center"/>
                    <w:rPr>
                      <w:rFonts w:hint="eastAsia"/>
                      <w:color w:val="000000"/>
                      <w:szCs w:val="21"/>
                    </w:rPr>
                  </w:pPr>
                  <w:r>
                    <w:rPr>
                      <w:rFonts w:hint="eastAsia"/>
                      <w:color w:val="000000"/>
                      <w:szCs w:val="21"/>
                    </w:rPr>
                    <w:t>3</w:t>
                  </w:r>
                </w:p>
              </w:tc>
              <w:tc>
                <w:tcPr>
                  <w:tcW w:w="1096" w:type="dxa"/>
                  <w:noWrap w:val="0"/>
                  <w:vAlign w:val="center"/>
                </w:tcPr>
                <w:p w14:paraId="522809C7">
                  <w:pPr>
                    <w:adjustRightInd w:val="0"/>
                    <w:snapToGrid w:val="0"/>
                    <w:spacing w:line="240" w:lineRule="exact"/>
                    <w:jc w:val="center"/>
                    <w:rPr>
                      <w:rFonts w:hint="eastAsia"/>
                      <w:color w:val="000000"/>
                      <w:szCs w:val="21"/>
                    </w:rPr>
                  </w:pPr>
                  <w:r>
                    <w:rPr>
                      <w:rFonts w:hint="eastAsia"/>
                      <w:color w:val="000000"/>
                      <w:szCs w:val="21"/>
                    </w:rPr>
                    <w:t>西面</w:t>
                  </w:r>
                  <w:r>
                    <w:rPr>
                      <w:rFonts w:hint="eastAsia"/>
                      <w:color w:val="000000"/>
                      <w:szCs w:val="21"/>
                      <w:lang w:val="en-US" w:eastAsia="zh-CN"/>
                    </w:rPr>
                    <w:t>厂</w:t>
                  </w:r>
                  <w:r>
                    <w:rPr>
                      <w:rFonts w:hint="eastAsia"/>
                      <w:color w:val="000000"/>
                      <w:szCs w:val="21"/>
                    </w:rPr>
                    <w:t>界</w:t>
                  </w:r>
                </w:p>
              </w:tc>
              <w:tc>
                <w:tcPr>
                  <w:tcW w:w="502" w:type="dxa"/>
                  <w:noWrap w:val="0"/>
                  <w:vAlign w:val="center"/>
                </w:tcPr>
                <w:p w14:paraId="202BCA0B">
                  <w:pPr>
                    <w:adjustRightInd w:val="0"/>
                    <w:snapToGrid w:val="0"/>
                    <w:spacing w:line="240" w:lineRule="exact"/>
                    <w:jc w:val="center"/>
                    <w:rPr>
                      <w:rFonts w:hint="eastAsia"/>
                      <w:color w:val="000000"/>
                      <w:szCs w:val="21"/>
                    </w:rPr>
                  </w:pPr>
                  <w:r>
                    <w:rPr>
                      <w:rFonts w:hint="eastAsia"/>
                      <w:color w:val="000000"/>
                      <w:szCs w:val="21"/>
                    </w:rPr>
                    <w:t>—</w:t>
                  </w:r>
                </w:p>
              </w:tc>
              <w:tc>
                <w:tcPr>
                  <w:tcW w:w="505" w:type="dxa"/>
                  <w:noWrap w:val="0"/>
                  <w:vAlign w:val="center"/>
                </w:tcPr>
                <w:p w14:paraId="484626F7">
                  <w:pPr>
                    <w:adjustRightInd w:val="0"/>
                    <w:snapToGrid w:val="0"/>
                    <w:spacing w:line="240" w:lineRule="exact"/>
                    <w:jc w:val="center"/>
                    <w:rPr>
                      <w:rFonts w:hint="eastAsia"/>
                      <w:color w:val="000000"/>
                      <w:szCs w:val="21"/>
                    </w:rPr>
                  </w:pPr>
                  <w:r>
                    <w:rPr>
                      <w:rFonts w:hint="eastAsia"/>
                      <w:color w:val="000000"/>
                      <w:szCs w:val="21"/>
                    </w:rPr>
                    <w:t>—</w:t>
                  </w:r>
                </w:p>
              </w:tc>
              <w:tc>
                <w:tcPr>
                  <w:tcW w:w="503" w:type="dxa"/>
                  <w:noWrap w:val="0"/>
                  <w:vAlign w:val="center"/>
                </w:tcPr>
                <w:p w14:paraId="2EB56DA0">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426" w:type="dxa"/>
                  <w:noWrap w:val="0"/>
                  <w:vAlign w:val="center"/>
                </w:tcPr>
                <w:p w14:paraId="5FEC469A">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426" w:type="dxa"/>
                  <w:noWrap w:val="0"/>
                  <w:vAlign w:val="center"/>
                </w:tcPr>
                <w:p w14:paraId="5B35E1FB">
                  <w:pPr>
                    <w:adjustRightInd w:val="0"/>
                    <w:snapToGrid w:val="0"/>
                    <w:spacing w:line="240" w:lineRule="exact"/>
                    <w:jc w:val="center"/>
                    <w:rPr>
                      <w:rFonts w:hint="eastAsia" w:eastAsia="宋体"/>
                      <w:color w:val="000000" w:themeColor="text1"/>
                      <w:szCs w:val="21"/>
                      <w:lang w:eastAsia="zh-CN"/>
                      <w14:textFill>
                        <w14:solidFill>
                          <w14:schemeClr w14:val="tx1"/>
                        </w14:solidFill>
                      </w14:textFill>
                    </w:rPr>
                  </w:pPr>
                </w:p>
              </w:tc>
              <w:tc>
                <w:tcPr>
                  <w:tcW w:w="428" w:type="dxa"/>
                  <w:noWrap w:val="0"/>
                  <w:vAlign w:val="center"/>
                </w:tcPr>
                <w:p w14:paraId="6D9C96D3">
                  <w:pPr>
                    <w:adjustRightInd w:val="0"/>
                    <w:snapToGrid w:val="0"/>
                    <w:spacing w:line="240" w:lineRule="exact"/>
                    <w:jc w:val="center"/>
                    <w:rPr>
                      <w:rFonts w:hint="eastAsia" w:eastAsia="宋体"/>
                      <w:color w:val="000000" w:themeColor="text1"/>
                      <w:szCs w:val="21"/>
                      <w:lang w:eastAsia="zh-CN"/>
                      <w14:textFill>
                        <w14:solidFill>
                          <w14:schemeClr w14:val="tx1"/>
                        </w14:solidFill>
                      </w14:textFill>
                    </w:rPr>
                  </w:pPr>
                </w:p>
              </w:tc>
              <w:tc>
                <w:tcPr>
                  <w:tcW w:w="584" w:type="dxa"/>
                  <w:noWrap w:val="0"/>
                  <w:vAlign w:val="center"/>
                </w:tcPr>
                <w:p w14:paraId="111F0ADD">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584" w:type="dxa"/>
                  <w:noWrap w:val="0"/>
                  <w:vAlign w:val="center"/>
                </w:tcPr>
                <w:p w14:paraId="0C8A2B1E">
                  <w:pPr>
                    <w:adjustRightInd w:val="0"/>
                    <w:snapToGrid w:val="0"/>
                    <w:spacing w:line="240" w:lineRule="exact"/>
                    <w:jc w:val="center"/>
                    <w:rPr>
                      <w:rFonts w:hint="default" w:eastAsia="宋体"/>
                      <w:color w:val="000000" w:themeColor="text1"/>
                      <w:szCs w:val="21"/>
                      <w:lang w:val="en-US" w:eastAsia="zh-CN"/>
                      <w14:textFill>
                        <w14:solidFill>
                          <w14:schemeClr w14:val="tx1"/>
                        </w14:solidFill>
                      </w14:textFill>
                    </w:rPr>
                  </w:pPr>
                </w:p>
              </w:tc>
              <w:tc>
                <w:tcPr>
                  <w:tcW w:w="584" w:type="dxa"/>
                  <w:noWrap w:val="0"/>
                  <w:vAlign w:val="center"/>
                </w:tcPr>
                <w:p w14:paraId="33EAFB4F">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584" w:type="dxa"/>
                  <w:noWrap w:val="0"/>
                  <w:vAlign w:val="center"/>
                </w:tcPr>
                <w:p w14:paraId="07E372C3">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p>
              </w:tc>
              <w:tc>
                <w:tcPr>
                  <w:tcW w:w="479" w:type="dxa"/>
                  <w:noWrap w:val="0"/>
                  <w:vAlign w:val="center"/>
                </w:tcPr>
                <w:p w14:paraId="255DAE1E">
                  <w:pPr>
                    <w:adjustRightInd w:val="0"/>
                    <w:snapToGrid w:val="0"/>
                    <w:spacing w:line="240" w:lineRule="exact"/>
                    <w:jc w:val="center"/>
                    <w:rPr>
                      <w:rFonts w:hint="eastAsia" w:eastAsia="宋体"/>
                      <w:color w:val="000000"/>
                      <w:szCs w:val="21"/>
                      <w:lang w:eastAsia="zh-CN"/>
                    </w:rPr>
                  </w:pPr>
                </w:p>
              </w:tc>
              <w:tc>
                <w:tcPr>
                  <w:tcW w:w="479" w:type="dxa"/>
                  <w:noWrap w:val="0"/>
                  <w:vAlign w:val="center"/>
                </w:tcPr>
                <w:p w14:paraId="31C60F70">
                  <w:pPr>
                    <w:adjustRightInd w:val="0"/>
                    <w:snapToGrid w:val="0"/>
                    <w:spacing w:line="240" w:lineRule="exact"/>
                    <w:jc w:val="center"/>
                    <w:rPr>
                      <w:rFonts w:hint="eastAsia" w:eastAsia="宋体"/>
                      <w:color w:val="000000"/>
                      <w:szCs w:val="21"/>
                      <w:lang w:eastAsia="zh-CN"/>
                    </w:rPr>
                  </w:pPr>
                </w:p>
              </w:tc>
              <w:tc>
                <w:tcPr>
                  <w:tcW w:w="427" w:type="dxa"/>
                  <w:noWrap w:val="0"/>
                  <w:vAlign w:val="center"/>
                </w:tcPr>
                <w:p w14:paraId="5BA7B3FF">
                  <w:pPr>
                    <w:adjustRightInd w:val="0"/>
                    <w:snapToGrid w:val="0"/>
                    <w:spacing w:line="240" w:lineRule="exact"/>
                    <w:jc w:val="center"/>
                    <w:rPr>
                      <w:rFonts w:hint="eastAsia"/>
                      <w:color w:val="000000"/>
                      <w:szCs w:val="21"/>
                    </w:rPr>
                  </w:pPr>
                  <w:r>
                    <w:rPr>
                      <w:rFonts w:hint="eastAsia"/>
                      <w:color w:val="000000"/>
                      <w:szCs w:val="21"/>
                    </w:rPr>
                    <w:t>达标</w:t>
                  </w:r>
                </w:p>
              </w:tc>
              <w:tc>
                <w:tcPr>
                  <w:tcW w:w="427" w:type="dxa"/>
                  <w:noWrap w:val="0"/>
                  <w:vAlign w:val="center"/>
                </w:tcPr>
                <w:p w14:paraId="621F51D7">
                  <w:pPr>
                    <w:adjustRightInd w:val="0"/>
                    <w:snapToGrid w:val="0"/>
                    <w:spacing w:line="240" w:lineRule="exact"/>
                    <w:jc w:val="center"/>
                    <w:rPr>
                      <w:rFonts w:hint="eastAsia"/>
                      <w:color w:val="000000"/>
                      <w:szCs w:val="21"/>
                    </w:rPr>
                  </w:pPr>
                  <w:r>
                    <w:rPr>
                      <w:rFonts w:hint="eastAsia"/>
                      <w:color w:val="000000"/>
                      <w:szCs w:val="21"/>
                    </w:rPr>
                    <w:t>达标</w:t>
                  </w:r>
                </w:p>
              </w:tc>
            </w:tr>
            <w:tr w14:paraId="493A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noWrap w:val="0"/>
                  <w:vAlign w:val="center"/>
                </w:tcPr>
                <w:p w14:paraId="06E87150">
                  <w:pPr>
                    <w:adjustRightInd w:val="0"/>
                    <w:snapToGrid w:val="0"/>
                    <w:spacing w:line="240" w:lineRule="exact"/>
                    <w:jc w:val="center"/>
                    <w:rPr>
                      <w:rFonts w:hint="eastAsia"/>
                      <w:color w:val="000000"/>
                      <w:szCs w:val="21"/>
                    </w:rPr>
                  </w:pPr>
                  <w:r>
                    <w:rPr>
                      <w:rFonts w:hint="eastAsia"/>
                      <w:color w:val="000000"/>
                      <w:szCs w:val="21"/>
                    </w:rPr>
                    <w:t>4</w:t>
                  </w:r>
                </w:p>
              </w:tc>
              <w:tc>
                <w:tcPr>
                  <w:tcW w:w="1096" w:type="dxa"/>
                  <w:noWrap w:val="0"/>
                  <w:vAlign w:val="center"/>
                </w:tcPr>
                <w:p w14:paraId="01D7F27D">
                  <w:pPr>
                    <w:adjustRightInd w:val="0"/>
                    <w:snapToGrid w:val="0"/>
                    <w:spacing w:line="240" w:lineRule="exact"/>
                    <w:jc w:val="center"/>
                    <w:rPr>
                      <w:rFonts w:hint="eastAsia"/>
                      <w:color w:val="000000"/>
                      <w:szCs w:val="21"/>
                    </w:rPr>
                  </w:pPr>
                  <w:r>
                    <w:rPr>
                      <w:rFonts w:hint="eastAsia"/>
                      <w:color w:val="000000"/>
                      <w:szCs w:val="21"/>
                    </w:rPr>
                    <w:t>北面</w:t>
                  </w:r>
                  <w:r>
                    <w:rPr>
                      <w:rFonts w:hint="eastAsia"/>
                      <w:color w:val="000000"/>
                      <w:szCs w:val="21"/>
                      <w:lang w:val="en-US" w:eastAsia="zh-CN"/>
                    </w:rPr>
                    <w:t>厂</w:t>
                  </w:r>
                  <w:r>
                    <w:rPr>
                      <w:rFonts w:hint="eastAsia"/>
                      <w:color w:val="000000"/>
                      <w:szCs w:val="21"/>
                    </w:rPr>
                    <w:t>界</w:t>
                  </w:r>
                </w:p>
              </w:tc>
              <w:tc>
                <w:tcPr>
                  <w:tcW w:w="502" w:type="dxa"/>
                  <w:noWrap w:val="0"/>
                  <w:vAlign w:val="center"/>
                </w:tcPr>
                <w:p w14:paraId="075AEA1F">
                  <w:pPr>
                    <w:adjustRightInd w:val="0"/>
                    <w:snapToGrid w:val="0"/>
                    <w:spacing w:line="240" w:lineRule="exact"/>
                    <w:jc w:val="center"/>
                    <w:rPr>
                      <w:rFonts w:hint="eastAsia"/>
                      <w:color w:val="000000"/>
                      <w:szCs w:val="21"/>
                    </w:rPr>
                  </w:pPr>
                  <w:r>
                    <w:rPr>
                      <w:rFonts w:hint="eastAsia"/>
                      <w:color w:val="000000"/>
                      <w:szCs w:val="21"/>
                    </w:rPr>
                    <w:t>—</w:t>
                  </w:r>
                </w:p>
              </w:tc>
              <w:tc>
                <w:tcPr>
                  <w:tcW w:w="505" w:type="dxa"/>
                  <w:noWrap w:val="0"/>
                  <w:vAlign w:val="center"/>
                </w:tcPr>
                <w:p w14:paraId="46530299">
                  <w:pPr>
                    <w:adjustRightInd w:val="0"/>
                    <w:snapToGrid w:val="0"/>
                    <w:spacing w:line="240" w:lineRule="exact"/>
                    <w:jc w:val="center"/>
                    <w:rPr>
                      <w:rFonts w:hint="eastAsia"/>
                      <w:color w:val="000000"/>
                      <w:szCs w:val="21"/>
                    </w:rPr>
                  </w:pPr>
                  <w:r>
                    <w:rPr>
                      <w:rFonts w:hint="eastAsia"/>
                      <w:color w:val="000000"/>
                      <w:szCs w:val="21"/>
                    </w:rPr>
                    <w:t>—</w:t>
                  </w:r>
                </w:p>
              </w:tc>
              <w:tc>
                <w:tcPr>
                  <w:tcW w:w="503" w:type="dxa"/>
                  <w:noWrap w:val="0"/>
                  <w:vAlign w:val="center"/>
                </w:tcPr>
                <w:p w14:paraId="03F0CFFF">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57.8</w:t>
                  </w:r>
                </w:p>
              </w:tc>
              <w:tc>
                <w:tcPr>
                  <w:tcW w:w="426" w:type="dxa"/>
                  <w:noWrap w:val="0"/>
                  <w:vAlign w:val="center"/>
                </w:tcPr>
                <w:p w14:paraId="56EC4A3F">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48.5</w:t>
                  </w:r>
                </w:p>
              </w:tc>
              <w:tc>
                <w:tcPr>
                  <w:tcW w:w="426" w:type="dxa"/>
                  <w:noWrap w:val="0"/>
                  <w:vAlign w:val="center"/>
                </w:tcPr>
                <w:p w14:paraId="24BA97A4">
                  <w:pPr>
                    <w:adjustRightInd w:val="0"/>
                    <w:snapToGrid w:val="0"/>
                    <w:spacing w:line="240" w:lineRule="exact"/>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c>
                <w:tcPr>
                  <w:tcW w:w="428" w:type="dxa"/>
                  <w:noWrap w:val="0"/>
                  <w:vAlign w:val="center"/>
                </w:tcPr>
                <w:p w14:paraId="243612AD">
                  <w:pPr>
                    <w:adjustRightInd w:val="0"/>
                    <w:snapToGrid w:val="0"/>
                    <w:spacing w:line="240" w:lineRule="exact"/>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584" w:type="dxa"/>
                  <w:noWrap w:val="0"/>
                  <w:vAlign w:val="center"/>
                </w:tcPr>
                <w:p w14:paraId="02A34EE6">
                  <w:pPr>
                    <w:numPr>
                      <w:ilvl w:val="0"/>
                      <w:numId w:val="0"/>
                    </w:numPr>
                    <w:spacing w:line="240" w:lineRule="exact"/>
                    <w:ind w:right="-105" w:rightChars="-50"/>
                    <w:jc w:val="both"/>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38.3</w:t>
                  </w:r>
                </w:p>
              </w:tc>
              <w:tc>
                <w:tcPr>
                  <w:tcW w:w="584" w:type="dxa"/>
                  <w:noWrap w:val="0"/>
                  <w:vAlign w:val="center"/>
                </w:tcPr>
                <w:p w14:paraId="6B1C0F38">
                  <w:pPr>
                    <w:adjustRightInd w:val="0"/>
                    <w:snapToGrid w:val="0"/>
                    <w:spacing w:line="2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38.3</w:t>
                  </w:r>
                </w:p>
              </w:tc>
              <w:tc>
                <w:tcPr>
                  <w:tcW w:w="584" w:type="dxa"/>
                  <w:noWrap w:val="0"/>
                  <w:vAlign w:val="center"/>
                </w:tcPr>
                <w:p w14:paraId="399FE0AD">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58.0</w:t>
                  </w:r>
                </w:p>
              </w:tc>
              <w:tc>
                <w:tcPr>
                  <w:tcW w:w="584" w:type="dxa"/>
                  <w:noWrap w:val="0"/>
                  <w:vAlign w:val="center"/>
                </w:tcPr>
                <w:p w14:paraId="1C11BAC9">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48.9</w:t>
                  </w:r>
                </w:p>
              </w:tc>
              <w:tc>
                <w:tcPr>
                  <w:tcW w:w="479" w:type="dxa"/>
                  <w:noWrap w:val="0"/>
                  <w:vAlign w:val="center"/>
                </w:tcPr>
                <w:p w14:paraId="177049E3">
                  <w:pPr>
                    <w:adjustRightInd w:val="0"/>
                    <w:snapToGrid w:val="0"/>
                    <w:spacing w:line="240" w:lineRule="exact"/>
                    <w:jc w:val="center"/>
                    <w:rPr>
                      <w:rFonts w:hint="default" w:eastAsia="宋体"/>
                      <w:color w:val="000000"/>
                      <w:szCs w:val="21"/>
                      <w:lang w:val="en-US" w:eastAsia="zh-CN"/>
                    </w:rPr>
                  </w:pPr>
                  <w:r>
                    <w:rPr>
                      <w:rFonts w:hint="eastAsia"/>
                      <w:color w:val="000000"/>
                      <w:szCs w:val="21"/>
                      <w:lang w:val="en-US" w:eastAsia="zh-CN"/>
                    </w:rPr>
                    <w:t>0.2</w:t>
                  </w:r>
                </w:p>
              </w:tc>
              <w:tc>
                <w:tcPr>
                  <w:tcW w:w="479" w:type="dxa"/>
                  <w:noWrap w:val="0"/>
                  <w:vAlign w:val="center"/>
                </w:tcPr>
                <w:p w14:paraId="78C64FBD">
                  <w:pPr>
                    <w:adjustRightInd w:val="0"/>
                    <w:snapToGrid w:val="0"/>
                    <w:spacing w:line="240" w:lineRule="exact"/>
                    <w:jc w:val="center"/>
                    <w:rPr>
                      <w:rFonts w:hint="default" w:eastAsia="宋体"/>
                      <w:color w:val="000000"/>
                      <w:szCs w:val="21"/>
                      <w:lang w:val="en-US" w:eastAsia="zh-CN"/>
                    </w:rPr>
                  </w:pPr>
                  <w:r>
                    <w:rPr>
                      <w:rFonts w:hint="eastAsia"/>
                      <w:color w:val="000000"/>
                      <w:szCs w:val="21"/>
                      <w:lang w:val="en-US" w:eastAsia="zh-CN"/>
                    </w:rPr>
                    <w:t>0.4</w:t>
                  </w:r>
                </w:p>
              </w:tc>
              <w:tc>
                <w:tcPr>
                  <w:tcW w:w="427" w:type="dxa"/>
                  <w:noWrap w:val="0"/>
                  <w:vAlign w:val="center"/>
                </w:tcPr>
                <w:p w14:paraId="57CD2DF4">
                  <w:pPr>
                    <w:adjustRightInd w:val="0"/>
                    <w:snapToGrid w:val="0"/>
                    <w:spacing w:line="240" w:lineRule="exact"/>
                    <w:jc w:val="center"/>
                    <w:rPr>
                      <w:rFonts w:hint="eastAsia"/>
                      <w:color w:val="000000"/>
                      <w:szCs w:val="21"/>
                    </w:rPr>
                  </w:pPr>
                  <w:r>
                    <w:rPr>
                      <w:rFonts w:hint="eastAsia"/>
                      <w:color w:val="000000"/>
                      <w:szCs w:val="21"/>
                    </w:rPr>
                    <w:t>达标</w:t>
                  </w:r>
                </w:p>
              </w:tc>
              <w:tc>
                <w:tcPr>
                  <w:tcW w:w="427" w:type="dxa"/>
                  <w:noWrap w:val="0"/>
                  <w:vAlign w:val="center"/>
                </w:tcPr>
                <w:p w14:paraId="37C22751">
                  <w:pPr>
                    <w:adjustRightInd w:val="0"/>
                    <w:snapToGrid w:val="0"/>
                    <w:spacing w:line="240" w:lineRule="exact"/>
                    <w:jc w:val="center"/>
                    <w:rPr>
                      <w:rFonts w:hint="eastAsia"/>
                      <w:color w:val="000000"/>
                      <w:szCs w:val="21"/>
                    </w:rPr>
                  </w:pPr>
                  <w:r>
                    <w:rPr>
                      <w:rFonts w:hint="eastAsia"/>
                      <w:color w:val="000000"/>
                      <w:szCs w:val="21"/>
                    </w:rPr>
                    <w:t>达标</w:t>
                  </w:r>
                </w:p>
              </w:tc>
            </w:tr>
          </w:tbl>
          <w:p w14:paraId="7AB2F92D">
            <w:pPr>
              <w:spacing w:line="500" w:lineRule="exact"/>
              <w:ind w:firstLine="480" w:firstLineChars="200"/>
              <w:rPr>
                <w:rFonts w:hint="eastAsia"/>
                <w:color w:val="000000"/>
                <w:sz w:val="24"/>
              </w:rPr>
            </w:pPr>
            <w:r>
              <w:rPr>
                <w:rFonts w:hint="eastAsia"/>
                <w:color w:val="000000"/>
                <w:sz w:val="24"/>
              </w:rPr>
              <w:t>根据预测结果，项目运营期</w:t>
            </w:r>
            <w:r>
              <w:rPr>
                <w:rFonts w:hint="eastAsia"/>
                <w:color w:val="000000"/>
                <w:sz w:val="24"/>
                <w:lang w:val="en-US" w:eastAsia="zh-CN"/>
              </w:rPr>
              <w:t>四周厂</w:t>
            </w:r>
            <w:r>
              <w:rPr>
                <w:rFonts w:hint="eastAsia"/>
                <w:color w:val="000000"/>
                <w:sz w:val="24"/>
              </w:rPr>
              <w:t>界噪声贡献值均满足《工业企业厂界环境噪声排放标准》（GB 12348-2008）</w:t>
            </w:r>
            <w:r>
              <w:rPr>
                <w:rFonts w:hint="eastAsia"/>
                <w:color w:val="000000"/>
                <w:sz w:val="24"/>
                <w:lang w:val="en-US" w:eastAsia="zh-CN"/>
              </w:rPr>
              <w:t>3</w:t>
            </w:r>
            <w:r>
              <w:rPr>
                <w:rFonts w:hint="eastAsia"/>
                <w:color w:val="000000"/>
                <w:sz w:val="24"/>
              </w:rPr>
              <w:t>类标准，</w:t>
            </w:r>
            <w:r>
              <w:rPr>
                <w:rFonts w:hint="eastAsia"/>
                <w:color w:val="000000"/>
                <w:sz w:val="24"/>
                <w:lang w:val="en-US" w:eastAsia="zh-CN"/>
              </w:rPr>
              <w:t>项目周边50m范围内无声环境敏感点，</w:t>
            </w:r>
            <w:r>
              <w:rPr>
                <w:rFonts w:hint="eastAsia"/>
                <w:color w:val="000000"/>
                <w:sz w:val="24"/>
              </w:rPr>
              <w:t>项目运营对周边声环境影响不大。</w:t>
            </w:r>
          </w:p>
          <w:p w14:paraId="681D5616">
            <w:pPr>
              <w:pStyle w:val="6"/>
              <w:spacing w:line="500" w:lineRule="exact"/>
              <w:ind w:firstLine="0" w:firstLineChars="0"/>
              <w:rPr>
                <w:b/>
                <w:bCs/>
                <w:sz w:val="24"/>
              </w:rPr>
            </w:pPr>
            <w:r>
              <w:rPr>
                <w:b/>
                <w:bCs/>
                <w:sz w:val="24"/>
              </w:rPr>
              <w:t>3.4噪声污染防治措施可行性分析</w:t>
            </w:r>
          </w:p>
          <w:p w14:paraId="1AADF462">
            <w:pPr>
              <w:pStyle w:val="6"/>
              <w:spacing w:line="500" w:lineRule="exact"/>
              <w:ind w:firstLine="480"/>
              <w:rPr>
                <w:rFonts w:hint="eastAsia"/>
                <w:kern w:val="0"/>
                <w:sz w:val="24"/>
              </w:rPr>
            </w:pPr>
            <w:r>
              <w:rPr>
                <w:kern w:val="0"/>
                <w:sz w:val="24"/>
              </w:rPr>
              <w:t>①</w:t>
            </w:r>
            <w:r>
              <w:rPr>
                <w:rFonts w:hint="eastAsia"/>
                <w:kern w:val="0"/>
                <w:sz w:val="24"/>
                <w:lang w:eastAsia="zh-CN"/>
              </w:rPr>
              <w:t>项目总平面</w:t>
            </w:r>
            <w:r>
              <w:rPr>
                <w:rFonts w:hint="eastAsia"/>
                <w:kern w:val="0"/>
                <w:sz w:val="24"/>
              </w:rPr>
              <w:t>已优化整体布局，建议项目采取低声设备、</w:t>
            </w:r>
            <w:r>
              <w:rPr>
                <w:rFonts w:hint="eastAsia"/>
                <w:kern w:val="0"/>
                <w:sz w:val="24"/>
                <w:lang w:val="en-US" w:eastAsia="zh-CN"/>
              </w:rPr>
              <w:t>隔声</w:t>
            </w:r>
            <w:r>
              <w:rPr>
                <w:rFonts w:hint="eastAsia"/>
                <w:kern w:val="0"/>
                <w:sz w:val="24"/>
                <w:lang w:eastAsia="zh-CN"/>
              </w:rPr>
              <w:t>等措施</w:t>
            </w:r>
            <w:r>
              <w:rPr>
                <w:rFonts w:hint="eastAsia"/>
                <w:kern w:val="0"/>
                <w:sz w:val="24"/>
              </w:rPr>
              <w:t>，对声音具有一定的降噪作用。</w:t>
            </w:r>
          </w:p>
          <w:p w14:paraId="6B10CC32">
            <w:pPr>
              <w:pStyle w:val="6"/>
              <w:spacing w:line="500" w:lineRule="exact"/>
              <w:ind w:firstLine="480"/>
              <w:rPr>
                <w:kern w:val="0"/>
                <w:sz w:val="24"/>
              </w:rPr>
            </w:pPr>
            <w:r>
              <w:rPr>
                <w:rFonts w:hint="eastAsia"/>
                <w:kern w:val="0"/>
                <w:sz w:val="24"/>
              </w:rPr>
              <w:t>②</w:t>
            </w:r>
            <w:r>
              <w:rPr>
                <w:kern w:val="0"/>
                <w:sz w:val="24"/>
              </w:rPr>
              <w:t>选用低噪声设备，从源头控制噪声。</w:t>
            </w:r>
          </w:p>
          <w:p w14:paraId="1589E34B">
            <w:pPr>
              <w:pStyle w:val="6"/>
              <w:spacing w:line="500" w:lineRule="exact"/>
              <w:ind w:firstLine="480"/>
              <w:rPr>
                <w:kern w:val="0"/>
                <w:sz w:val="24"/>
              </w:rPr>
            </w:pPr>
            <w:r>
              <w:rPr>
                <w:kern w:val="0"/>
                <w:sz w:val="24"/>
              </w:rPr>
              <w:t>以上噪声治理措施容易实施，技术成熟可靠，投资费用较少，在经济上是可行的。</w:t>
            </w:r>
          </w:p>
          <w:p w14:paraId="3741F793">
            <w:pPr>
              <w:pStyle w:val="6"/>
              <w:spacing w:line="500" w:lineRule="exact"/>
              <w:ind w:firstLine="0" w:firstLineChars="0"/>
              <w:rPr>
                <w:b/>
                <w:bCs/>
                <w:sz w:val="24"/>
              </w:rPr>
            </w:pPr>
            <w:r>
              <w:rPr>
                <w:b/>
                <w:bCs/>
                <w:sz w:val="24"/>
              </w:rPr>
              <w:t>3.5 噪声监测计划</w:t>
            </w:r>
          </w:p>
          <w:p w14:paraId="3878286D">
            <w:pPr>
              <w:pStyle w:val="6"/>
              <w:spacing w:line="500" w:lineRule="exact"/>
              <w:ind w:firstLine="480"/>
              <w:rPr>
                <w:rFonts w:hint="eastAsia"/>
                <w:b/>
                <w:bCs/>
                <w:kern w:val="0"/>
                <w:sz w:val="24"/>
                <w:lang w:val="en-GB"/>
              </w:rPr>
            </w:pPr>
            <w:r>
              <w:rPr>
                <w:rFonts w:hint="eastAsia"/>
                <w:kern w:val="0"/>
                <w:sz w:val="24"/>
              </w:rPr>
              <w:t>根据项目运营期的环境污染特点与《排污许可证管理暂行规定》和《排污单位自行监测技术指南总则》（HJ819-2017），本项目制定了噪声监测计划，详见表4-</w:t>
            </w:r>
            <w:r>
              <w:rPr>
                <w:rFonts w:hint="eastAsia"/>
                <w:kern w:val="0"/>
                <w:sz w:val="24"/>
                <w:lang w:val="en-US" w:eastAsia="zh-CN"/>
              </w:rPr>
              <w:t>12</w:t>
            </w:r>
            <w:r>
              <w:rPr>
                <w:rFonts w:hint="eastAsia"/>
                <w:kern w:val="0"/>
                <w:sz w:val="24"/>
              </w:rPr>
              <w:t>。</w:t>
            </w:r>
          </w:p>
          <w:p w14:paraId="2BA4856E">
            <w:pPr>
              <w:pStyle w:val="6"/>
              <w:spacing w:line="500" w:lineRule="exact"/>
              <w:ind w:firstLine="0" w:firstLineChars="0"/>
              <w:jc w:val="center"/>
              <w:rPr>
                <w:rFonts w:hint="eastAsia"/>
                <w:b/>
                <w:bCs/>
                <w:kern w:val="0"/>
                <w:sz w:val="24"/>
                <w:lang w:val="en-GB"/>
              </w:rPr>
            </w:pPr>
            <w:r>
              <w:rPr>
                <w:rFonts w:hint="eastAsia"/>
                <w:b/>
                <w:bCs/>
                <w:kern w:val="0"/>
                <w:sz w:val="24"/>
                <w:lang w:val="en-GB"/>
              </w:rPr>
              <w:t>表4-</w:t>
            </w:r>
            <w:r>
              <w:rPr>
                <w:rFonts w:hint="eastAsia"/>
                <w:b/>
                <w:bCs/>
                <w:kern w:val="0"/>
                <w:sz w:val="24"/>
                <w:lang w:val="en-US" w:eastAsia="zh-CN"/>
              </w:rPr>
              <w:t>12</w:t>
            </w:r>
            <w:r>
              <w:rPr>
                <w:rFonts w:hint="eastAsia"/>
                <w:b/>
                <w:bCs/>
                <w:kern w:val="0"/>
                <w:sz w:val="24"/>
                <w:lang w:val="en-GB"/>
              </w:rPr>
              <w:t xml:space="preserve"> 环境噪声监测计划一览表</w:t>
            </w:r>
          </w:p>
          <w:tbl>
            <w:tblPr>
              <w:tblStyle w:val="19"/>
              <w:tblW w:w="0" w:type="auto"/>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12"/>
              <w:gridCol w:w="837"/>
              <w:gridCol w:w="1671"/>
              <w:gridCol w:w="933"/>
              <w:gridCol w:w="2922"/>
              <w:gridCol w:w="1377"/>
            </w:tblGrid>
            <w:tr w14:paraId="48329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71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C162EF9">
                  <w:pPr>
                    <w:adjustRightInd w:val="0"/>
                    <w:snapToGrid w:val="0"/>
                    <w:spacing w:line="240" w:lineRule="atLeast"/>
                    <w:jc w:val="center"/>
                    <w:rPr>
                      <w:szCs w:val="21"/>
                    </w:rPr>
                  </w:pPr>
                  <w:r>
                    <w:rPr>
                      <w:szCs w:val="21"/>
                    </w:rPr>
                    <w:t>监测</w:t>
                  </w:r>
                </w:p>
                <w:p w14:paraId="76DA749A">
                  <w:pPr>
                    <w:adjustRightInd w:val="0"/>
                    <w:snapToGrid w:val="0"/>
                    <w:spacing w:line="240" w:lineRule="atLeast"/>
                    <w:jc w:val="center"/>
                    <w:rPr>
                      <w:szCs w:val="21"/>
                    </w:rPr>
                  </w:pPr>
                  <w:r>
                    <w:rPr>
                      <w:szCs w:val="21"/>
                    </w:rPr>
                    <w:t>时段</w:t>
                  </w:r>
                </w:p>
              </w:tc>
              <w:tc>
                <w:tcPr>
                  <w:tcW w:w="837"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FB81294">
                  <w:pPr>
                    <w:adjustRightInd w:val="0"/>
                    <w:snapToGrid w:val="0"/>
                    <w:spacing w:line="240" w:lineRule="atLeast"/>
                    <w:jc w:val="center"/>
                    <w:rPr>
                      <w:szCs w:val="21"/>
                    </w:rPr>
                  </w:pPr>
                  <w:r>
                    <w:rPr>
                      <w:szCs w:val="21"/>
                    </w:rPr>
                    <w:t>监测</w:t>
                  </w:r>
                </w:p>
                <w:p w14:paraId="37198CEE">
                  <w:pPr>
                    <w:adjustRightInd w:val="0"/>
                    <w:snapToGrid w:val="0"/>
                    <w:spacing w:line="240" w:lineRule="atLeast"/>
                    <w:jc w:val="center"/>
                    <w:rPr>
                      <w:szCs w:val="21"/>
                    </w:rPr>
                  </w:pPr>
                  <w:r>
                    <w:rPr>
                      <w:szCs w:val="21"/>
                    </w:rPr>
                    <w:t>类别</w:t>
                  </w:r>
                </w:p>
              </w:tc>
              <w:tc>
                <w:tcPr>
                  <w:tcW w:w="1671"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FCFC85B">
                  <w:pPr>
                    <w:adjustRightInd w:val="0"/>
                    <w:snapToGrid w:val="0"/>
                    <w:spacing w:line="240" w:lineRule="atLeast"/>
                    <w:jc w:val="center"/>
                    <w:rPr>
                      <w:szCs w:val="21"/>
                    </w:rPr>
                  </w:pPr>
                  <w:r>
                    <w:rPr>
                      <w:szCs w:val="21"/>
                    </w:rPr>
                    <w:t>监测点位</w:t>
                  </w:r>
                </w:p>
              </w:tc>
              <w:tc>
                <w:tcPr>
                  <w:tcW w:w="933"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6A3457D">
                  <w:pPr>
                    <w:adjustRightInd w:val="0"/>
                    <w:snapToGrid w:val="0"/>
                    <w:spacing w:line="240" w:lineRule="atLeast"/>
                    <w:jc w:val="center"/>
                    <w:rPr>
                      <w:szCs w:val="21"/>
                    </w:rPr>
                  </w:pPr>
                  <w:r>
                    <w:rPr>
                      <w:szCs w:val="21"/>
                    </w:rPr>
                    <w:t>监测频率</w:t>
                  </w:r>
                </w:p>
              </w:tc>
              <w:tc>
                <w:tcPr>
                  <w:tcW w:w="292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96449B4">
                  <w:pPr>
                    <w:adjustRightInd w:val="0"/>
                    <w:snapToGrid w:val="0"/>
                    <w:spacing w:line="240" w:lineRule="atLeast"/>
                    <w:jc w:val="center"/>
                    <w:rPr>
                      <w:szCs w:val="21"/>
                    </w:rPr>
                  </w:pPr>
                  <w:r>
                    <w:rPr>
                      <w:szCs w:val="21"/>
                    </w:rPr>
                    <w:t>监测项目</w:t>
                  </w:r>
                </w:p>
              </w:tc>
              <w:tc>
                <w:tcPr>
                  <w:tcW w:w="1377"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5E397AE">
                  <w:pPr>
                    <w:adjustRightInd w:val="0"/>
                    <w:snapToGrid w:val="0"/>
                    <w:spacing w:line="240" w:lineRule="atLeast"/>
                    <w:jc w:val="center"/>
                    <w:rPr>
                      <w:szCs w:val="21"/>
                    </w:rPr>
                  </w:pPr>
                  <w:r>
                    <w:rPr>
                      <w:szCs w:val="21"/>
                    </w:rPr>
                    <w:t>监测机构</w:t>
                  </w:r>
                </w:p>
              </w:tc>
            </w:tr>
            <w:tr w14:paraId="78371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5" w:hRule="atLeast"/>
              </w:trPr>
              <w:tc>
                <w:tcPr>
                  <w:tcW w:w="712" w:type="dxa"/>
                  <w:tcBorders>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99B0C78">
                  <w:pPr>
                    <w:tabs>
                      <w:tab w:val="left" w:pos="702"/>
                    </w:tabs>
                    <w:adjustRightInd w:val="0"/>
                    <w:snapToGrid w:val="0"/>
                    <w:spacing w:line="240" w:lineRule="atLeast"/>
                    <w:jc w:val="center"/>
                    <w:rPr>
                      <w:szCs w:val="21"/>
                    </w:rPr>
                  </w:pPr>
                  <w:r>
                    <w:rPr>
                      <w:szCs w:val="21"/>
                    </w:rPr>
                    <w:t>运营期</w:t>
                  </w:r>
                </w:p>
              </w:tc>
              <w:tc>
                <w:tcPr>
                  <w:tcW w:w="837" w:type="dxa"/>
                  <w:tcBorders>
                    <w:top w:val="single" w:color="auto" w:sz="6" w:space="0"/>
                    <w:left w:val="single" w:color="auto" w:sz="6" w:space="0"/>
                    <w:bottom w:val="single" w:color="auto" w:sz="4" w:space="0"/>
                    <w:right w:val="single" w:color="auto" w:sz="6" w:space="0"/>
                  </w:tcBorders>
                  <w:noWrap w:val="0"/>
                  <w:tcMar>
                    <w:top w:w="0" w:type="dxa"/>
                    <w:left w:w="0" w:type="dxa"/>
                    <w:bottom w:w="0" w:type="dxa"/>
                    <w:right w:w="0" w:type="dxa"/>
                  </w:tcMar>
                  <w:vAlign w:val="center"/>
                </w:tcPr>
                <w:p w14:paraId="53C07BBB">
                  <w:pPr>
                    <w:adjustRightInd w:val="0"/>
                    <w:snapToGrid w:val="0"/>
                    <w:spacing w:line="240" w:lineRule="atLeast"/>
                    <w:jc w:val="center"/>
                    <w:rPr>
                      <w:szCs w:val="21"/>
                    </w:rPr>
                  </w:pPr>
                  <w:r>
                    <w:rPr>
                      <w:szCs w:val="21"/>
                    </w:rPr>
                    <w:t>噪声</w:t>
                  </w:r>
                </w:p>
              </w:tc>
              <w:tc>
                <w:tcPr>
                  <w:tcW w:w="1671" w:type="dxa"/>
                  <w:tcBorders>
                    <w:top w:val="single" w:color="auto" w:sz="6" w:space="0"/>
                    <w:left w:val="single" w:color="auto" w:sz="6" w:space="0"/>
                    <w:bottom w:val="single" w:color="auto" w:sz="4" w:space="0"/>
                    <w:right w:val="single" w:color="auto" w:sz="6" w:space="0"/>
                  </w:tcBorders>
                  <w:noWrap w:val="0"/>
                  <w:tcMar>
                    <w:top w:w="0" w:type="dxa"/>
                    <w:left w:w="0" w:type="dxa"/>
                    <w:bottom w:w="0" w:type="dxa"/>
                    <w:right w:w="0" w:type="dxa"/>
                  </w:tcMar>
                  <w:vAlign w:val="center"/>
                </w:tcPr>
                <w:p w14:paraId="77E6FBA2">
                  <w:pPr>
                    <w:adjustRightInd w:val="0"/>
                    <w:snapToGrid w:val="0"/>
                    <w:spacing w:line="240" w:lineRule="atLeast"/>
                    <w:jc w:val="center"/>
                    <w:rPr>
                      <w:rFonts w:hint="eastAsia"/>
                      <w:szCs w:val="21"/>
                    </w:rPr>
                  </w:pPr>
                  <w:r>
                    <w:rPr>
                      <w:szCs w:val="21"/>
                    </w:rPr>
                    <w:t>东、南、西、北厂界外1m处</w:t>
                  </w:r>
                </w:p>
              </w:tc>
              <w:tc>
                <w:tcPr>
                  <w:tcW w:w="933"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8F73F7C">
                  <w:pPr>
                    <w:adjustRightInd w:val="0"/>
                    <w:snapToGrid w:val="0"/>
                    <w:spacing w:line="240" w:lineRule="atLeast"/>
                    <w:jc w:val="center"/>
                    <w:rPr>
                      <w:szCs w:val="21"/>
                    </w:rPr>
                  </w:pPr>
                  <w:r>
                    <w:rPr>
                      <w:szCs w:val="21"/>
                    </w:rPr>
                    <w:t>1次/季度</w:t>
                  </w:r>
                </w:p>
              </w:tc>
              <w:tc>
                <w:tcPr>
                  <w:tcW w:w="292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0735CB1">
                  <w:pPr>
                    <w:adjustRightInd w:val="0"/>
                    <w:snapToGrid w:val="0"/>
                    <w:spacing w:line="240" w:lineRule="atLeast"/>
                    <w:jc w:val="center"/>
                    <w:rPr>
                      <w:szCs w:val="21"/>
                    </w:rPr>
                  </w:pPr>
                  <w:r>
                    <w:rPr>
                      <w:szCs w:val="21"/>
                    </w:rPr>
                    <w:t>Leq：dB(A)</w:t>
                  </w:r>
                </w:p>
              </w:tc>
              <w:tc>
                <w:tcPr>
                  <w:tcW w:w="1377"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3D013CC">
                  <w:pPr>
                    <w:adjustRightInd w:val="0"/>
                    <w:snapToGrid w:val="0"/>
                    <w:spacing w:line="240" w:lineRule="atLeast"/>
                    <w:jc w:val="center"/>
                    <w:rPr>
                      <w:szCs w:val="21"/>
                    </w:rPr>
                  </w:pPr>
                  <w:r>
                    <w:rPr>
                      <w:szCs w:val="21"/>
                    </w:rPr>
                    <w:t>有资质的监测单位</w:t>
                  </w:r>
                </w:p>
              </w:tc>
            </w:tr>
          </w:tbl>
          <w:p w14:paraId="79D43CDA">
            <w:pPr>
              <w:pStyle w:val="6"/>
              <w:spacing w:line="500" w:lineRule="exact"/>
              <w:ind w:firstLine="0" w:firstLineChars="0"/>
              <w:rPr>
                <w:b/>
                <w:bCs/>
                <w:sz w:val="24"/>
              </w:rPr>
            </w:pPr>
            <w:r>
              <w:rPr>
                <w:b/>
                <w:bCs/>
                <w:sz w:val="24"/>
              </w:rPr>
              <w:t>4</w:t>
            </w:r>
            <w:r>
              <w:rPr>
                <w:rFonts w:hint="eastAsia"/>
                <w:b/>
                <w:bCs/>
                <w:sz w:val="24"/>
              </w:rPr>
              <w:t xml:space="preserve"> </w:t>
            </w:r>
            <w:r>
              <w:rPr>
                <w:b/>
                <w:bCs/>
                <w:sz w:val="24"/>
              </w:rPr>
              <w:t>固体废物</w:t>
            </w:r>
          </w:p>
          <w:p w14:paraId="0813BDC0">
            <w:pPr>
              <w:pStyle w:val="6"/>
              <w:spacing w:line="500" w:lineRule="exact"/>
              <w:ind w:firstLine="0" w:firstLineChars="0"/>
              <w:rPr>
                <w:b/>
                <w:bCs/>
                <w:sz w:val="24"/>
              </w:rPr>
            </w:pPr>
            <w:r>
              <w:rPr>
                <w:b/>
                <w:bCs/>
                <w:sz w:val="24"/>
              </w:rPr>
              <w:t>4.1危险废物属性判定</w:t>
            </w:r>
          </w:p>
          <w:p w14:paraId="1E88EBF7">
            <w:pPr>
              <w:pStyle w:val="6"/>
              <w:spacing w:line="500" w:lineRule="exact"/>
              <w:ind w:firstLine="48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根据《固体废物鉴别标准通</w:t>
            </w:r>
            <w:r>
              <w:rPr>
                <w:rFonts w:hint="eastAsia" w:ascii="Times New Roman" w:hAnsi="Times New Roman" w:eastAsia="宋体" w:cs="Times New Roman"/>
                <w:color w:val="auto"/>
                <w:kern w:val="0"/>
                <w:sz w:val="24"/>
              </w:rPr>
              <w:t>则》（GB 34330-2017），项目</w:t>
            </w:r>
            <w:r>
              <w:rPr>
                <w:rFonts w:hint="eastAsia" w:ascii="Times New Roman" w:hAnsi="Times New Roman" w:eastAsia="宋体" w:cs="Times New Roman"/>
                <w:kern w:val="0"/>
                <w:sz w:val="24"/>
                <w:lang w:val="en-US" w:eastAsia="zh-CN"/>
              </w:rPr>
              <w:t>固体废物</w:t>
            </w:r>
            <w:r>
              <w:rPr>
                <w:rFonts w:hint="eastAsia" w:ascii="Times New Roman" w:hAnsi="Times New Roman" w:eastAsia="宋体" w:cs="Times New Roman"/>
                <w:kern w:val="0"/>
                <w:sz w:val="24"/>
              </w:rPr>
              <w:t>属性判定情况见表4-</w:t>
            </w:r>
            <w:r>
              <w:rPr>
                <w:rFonts w:hint="eastAsia" w:ascii="Times New Roman" w:hAnsi="Times New Roman" w:eastAsia="宋体" w:cs="Times New Roman"/>
                <w:kern w:val="0"/>
                <w:sz w:val="24"/>
                <w:lang w:val="en-US" w:eastAsia="zh-CN"/>
              </w:rPr>
              <w:t>1</w:t>
            </w:r>
            <w:r>
              <w:rPr>
                <w:rFonts w:hint="eastAsia" w:cs="Times New Roman"/>
                <w:kern w:val="0"/>
                <w:sz w:val="24"/>
                <w:lang w:val="en-US" w:eastAsia="zh-CN"/>
              </w:rPr>
              <w:t>3</w:t>
            </w:r>
            <w:r>
              <w:rPr>
                <w:rFonts w:hint="eastAsia" w:ascii="Times New Roman" w:hAnsi="Times New Roman" w:eastAsia="宋体" w:cs="Times New Roman"/>
                <w:kern w:val="0"/>
                <w:sz w:val="24"/>
              </w:rPr>
              <w:t>。</w:t>
            </w:r>
          </w:p>
          <w:p w14:paraId="7954B314">
            <w:pPr>
              <w:spacing w:line="500" w:lineRule="exact"/>
              <w:ind w:firstLine="482" w:firstLineChars="200"/>
              <w:jc w:val="center"/>
              <w:rPr>
                <w:rFonts w:hint="eastAsia"/>
                <w:b/>
                <w:color w:val="000000"/>
                <w:sz w:val="24"/>
                <w:szCs w:val="20"/>
              </w:rPr>
            </w:pPr>
            <w:r>
              <w:rPr>
                <w:rFonts w:hint="eastAsia"/>
                <w:b/>
                <w:color w:val="000000"/>
                <w:sz w:val="24"/>
                <w:szCs w:val="20"/>
              </w:rPr>
              <w:t>表4-</w:t>
            </w:r>
            <w:r>
              <w:rPr>
                <w:rFonts w:hint="eastAsia"/>
                <w:b/>
                <w:color w:val="000000"/>
                <w:sz w:val="24"/>
                <w:szCs w:val="20"/>
                <w:lang w:val="en-US" w:eastAsia="zh-CN"/>
              </w:rPr>
              <w:t>13</w:t>
            </w:r>
            <w:r>
              <w:rPr>
                <w:rFonts w:hint="eastAsia"/>
                <w:b/>
                <w:color w:val="000000"/>
                <w:sz w:val="24"/>
                <w:szCs w:val="20"/>
              </w:rPr>
              <w:t xml:space="preserve"> </w:t>
            </w:r>
            <w:r>
              <w:rPr>
                <w:rFonts w:hint="eastAsia"/>
                <w:b/>
                <w:bCs/>
                <w:color w:val="000000"/>
                <w:sz w:val="24"/>
                <w:szCs w:val="20"/>
              </w:rPr>
              <w:t>项目固态副产物属性判定表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1506"/>
              <w:gridCol w:w="1237"/>
              <w:gridCol w:w="1032"/>
              <w:gridCol w:w="1370"/>
              <w:gridCol w:w="1049"/>
              <w:gridCol w:w="1379"/>
            </w:tblGrid>
            <w:tr w14:paraId="4E73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882" w:type="dxa"/>
                  <w:noWrap w:val="0"/>
                  <w:vAlign w:val="center"/>
                </w:tcPr>
                <w:p w14:paraId="6EBAD3AA">
                  <w:pPr>
                    <w:jc w:val="center"/>
                    <w:rPr>
                      <w:szCs w:val="21"/>
                    </w:rPr>
                  </w:pPr>
                  <w:r>
                    <w:rPr>
                      <w:szCs w:val="21"/>
                    </w:rPr>
                    <w:t>序号</w:t>
                  </w:r>
                </w:p>
              </w:tc>
              <w:tc>
                <w:tcPr>
                  <w:tcW w:w="1506" w:type="dxa"/>
                  <w:noWrap w:val="0"/>
                  <w:vAlign w:val="center"/>
                </w:tcPr>
                <w:p w14:paraId="40705385">
                  <w:pPr>
                    <w:jc w:val="center"/>
                    <w:rPr>
                      <w:szCs w:val="21"/>
                    </w:rPr>
                  </w:pPr>
                  <w:r>
                    <w:rPr>
                      <w:rFonts w:hint="eastAsia"/>
                      <w:szCs w:val="21"/>
                    </w:rPr>
                    <w:t>产物名称</w:t>
                  </w:r>
                </w:p>
              </w:tc>
              <w:tc>
                <w:tcPr>
                  <w:tcW w:w="1237" w:type="dxa"/>
                  <w:noWrap w:val="0"/>
                  <w:vAlign w:val="center"/>
                </w:tcPr>
                <w:p w14:paraId="0ED27B2D">
                  <w:pPr>
                    <w:jc w:val="center"/>
                    <w:rPr>
                      <w:szCs w:val="21"/>
                    </w:rPr>
                  </w:pPr>
                  <w:r>
                    <w:rPr>
                      <w:szCs w:val="21"/>
                    </w:rPr>
                    <w:t>产生工序</w:t>
                  </w:r>
                </w:p>
              </w:tc>
              <w:tc>
                <w:tcPr>
                  <w:tcW w:w="1032" w:type="dxa"/>
                  <w:noWrap w:val="0"/>
                  <w:vAlign w:val="center"/>
                </w:tcPr>
                <w:p w14:paraId="59EE8A5D">
                  <w:pPr>
                    <w:jc w:val="center"/>
                    <w:rPr>
                      <w:szCs w:val="21"/>
                    </w:rPr>
                  </w:pPr>
                  <w:r>
                    <w:rPr>
                      <w:szCs w:val="21"/>
                    </w:rPr>
                    <w:t>形态</w:t>
                  </w:r>
                </w:p>
              </w:tc>
              <w:tc>
                <w:tcPr>
                  <w:tcW w:w="1370" w:type="dxa"/>
                  <w:noWrap w:val="0"/>
                  <w:vAlign w:val="center"/>
                </w:tcPr>
                <w:p w14:paraId="4CE529B6">
                  <w:pPr>
                    <w:jc w:val="center"/>
                    <w:rPr>
                      <w:szCs w:val="21"/>
                    </w:rPr>
                  </w:pPr>
                  <w:r>
                    <w:rPr>
                      <w:szCs w:val="21"/>
                    </w:rPr>
                    <w:t>主要成分</w:t>
                  </w:r>
                </w:p>
              </w:tc>
              <w:tc>
                <w:tcPr>
                  <w:tcW w:w="1049" w:type="dxa"/>
                  <w:noWrap w:val="0"/>
                  <w:vAlign w:val="center"/>
                </w:tcPr>
                <w:p w14:paraId="536B5B23">
                  <w:pPr>
                    <w:jc w:val="center"/>
                    <w:rPr>
                      <w:szCs w:val="21"/>
                    </w:rPr>
                  </w:pPr>
                  <w:r>
                    <w:rPr>
                      <w:szCs w:val="21"/>
                    </w:rPr>
                    <w:t>是否属于</w:t>
                  </w:r>
                  <w:r>
                    <w:rPr>
                      <w:rFonts w:hint="eastAsia"/>
                      <w:szCs w:val="21"/>
                      <w:lang w:val="en-US" w:eastAsia="zh-CN"/>
                    </w:rPr>
                    <w:t>固体废物</w:t>
                  </w:r>
                </w:p>
              </w:tc>
              <w:tc>
                <w:tcPr>
                  <w:tcW w:w="1379" w:type="dxa"/>
                  <w:noWrap w:val="0"/>
                  <w:vAlign w:val="center"/>
                </w:tcPr>
                <w:p w14:paraId="0F71235D">
                  <w:pPr>
                    <w:jc w:val="center"/>
                    <w:rPr>
                      <w:szCs w:val="21"/>
                    </w:rPr>
                  </w:pPr>
                  <w:r>
                    <w:rPr>
                      <w:szCs w:val="21"/>
                    </w:rPr>
                    <w:t>判定依据</w:t>
                  </w:r>
                </w:p>
              </w:tc>
            </w:tr>
            <w:tr w14:paraId="662F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82" w:type="dxa"/>
                  <w:noWrap w:val="0"/>
                  <w:vAlign w:val="center"/>
                </w:tcPr>
                <w:p w14:paraId="035FB426">
                  <w:pPr>
                    <w:jc w:val="center"/>
                    <w:rPr>
                      <w:rFonts w:hint="default" w:eastAsia="宋体"/>
                      <w:color w:val="auto"/>
                      <w:u w:val="none"/>
                      <w:lang w:val="en-US" w:eastAsia="zh-CN"/>
                    </w:rPr>
                  </w:pPr>
                  <w:r>
                    <w:rPr>
                      <w:rFonts w:hint="eastAsia"/>
                      <w:color w:val="auto"/>
                      <w:u w:val="none"/>
                      <w:lang w:val="en-US" w:eastAsia="zh-CN"/>
                    </w:rPr>
                    <w:t>1</w:t>
                  </w:r>
                </w:p>
              </w:tc>
              <w:tc>
                <w:tcPr>
                  <w:tcW w:w="1506" w:type="dxa"/>
                  <w:noWrap w:val="0"/>
                  <w:vAlign w:val="center"/>
                </w:tcPr>
                <w:p w14:paraId="64141D26">
                  <w:pPr>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废包装袋/桶</w:t>
                  </w:r>
                </w:p>
              </w:tc>
              <w:tc>
                <w:tcPr>
                  <w:tcW w:w="1237" w:type="dxa"/>
                  <w:noWrap w:val="0"/>
                  <w:vAlign w:val="center"/>
                </w:tcPr>
                <w:p w14:paraId="10437CFD">
                  <w:pPr>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更换包装</w:t>
                  </w:r>
                </w:p>
              </w:tc>
              <w:tc>
                <w:tcPr>
                  <w:tcW w:w="1032" w:type="dxa"/>
                  <w:noWrap w:val="0"/>
                  <w:vAlign w:val="center"/>
                </w:tcPr>
                <w:p w14:paraId="61C6DBB5">
                  <w:pPr>
                    <w:jc w:val="center"/>
                    <w:rPr>
                      <w:rFonts w:hint="eastAsia" w:eastAsia="宋体"/>
                      <w:color w:val="auto"/>
                      <w:szCs w:val="21"/>
                      <w:u w:val="none"/>
                      <w:lang w:val="en-US" w:eastAsia="zh-CN"/>
                    </w:rPr>
                  </w:pPr>
                  <w:r>
                    <w:rPr>
                      <w:rFonts w:hint="eastAsia"/>
                      <w:color w:val="auto"/>
                      <w:szCs w:val="21"/>
                      <w:u w:val="none"/>
                      <w:lang w:val="en-US" w:eastAsia="zh-CN"/>
                    </w:rPr>
                    <w:t>固</w:t>
                  </w:r>
                </w:p>
              </w:tc>
              <w:tc>
                <w:tcPr>
                  <w:tcW w:w="1370" w:type="dxa"/>
                  <w:noWrap w:val="0"/>
                  <w:vAlign w:val="center"/>
                </w:tcPr>
                <w:p w14:paraId="2A9CB739">
                  <w:pPr>
                    <w:jc w:val="center"/>
                    <w:rPr>
                      <w:rFonts w:hint="default"/>
                      <w:color w:val="auto"/>
                      <w:szCs w:val="21"/>
                      <w:u w:val="none"/>
                      <w:lang w:val="en-US" w:eastAsia="zh-CN"/>
                    </w:rPr>
                  </w:pPr>
                  <w:r>
                    <w:rPr>
                      <w:rFonts w:hint="eastAsia"/>
                      <w:color w:val="auto"/>
                      <w:szCs w:val="21"/>
                      <w:u w:val="none"/>
                      <w:lang w:val="en-US" w:eastAsia="zh-CN"/>
                    </w:rPr>
                    <w:t>包装袋/桶</w:t>
                  </w:r>
                </w:p>
              </w:tc>
              <w:tc>
                <w:tcPr>
                  <w:tcW w:w="1049" w:type="dxa"/>
                  <w:noWrap w:val="0"/>
                  <w:vAlign w:val="center"/>
                </w:tcPr>
                <w:p w14:paraId="78EDF51F">
                  <w:pPr>
                    <w:jc w:val="center"/>
                    <w:rPr>
                      <w:rFonts w:hint="eastAsia" w:eastAsia="宋体"/>
                      <w:color w:val="auto"/>
                      <w:szCs w:val="21"/>
                      <w:u w:val="none"/>
                      <w:lang w:eastAsia="zh-CN"/>
                    </w:rPr>
                  </w:pPr>
                  <w:r>
                    <w:rPr>
                      <w:rFonts w:hint="eastAsia"/>
                      <w:color w:val="auto"/>
                      <w:szCs w:val="21"/>
                      <w:u w:val="none"/>
                      <w:lang w:eastAsia="zh-CN"/>
                    </w:rPr>
                    <w:t>是</w:t>
                  </w:r>
                </w:p>
              </w:tc>
              <w:tc>
                <w:tcPr>
                  <w:tcW w:w="1379" w:type="dxa"/>
                  <w:noWrap w:val="0"/>
                  <w:vAlign w:val="center"/>
                </w:tcPr>
                <w:p w14:paraId="4472A8F4">
                  <w:pPr>
                    <w:jc w:val="center"/>
                    <w:rPr>
                      <w:color w:val="auto"/>
                      <w:szCs w:val="21"/>
                    </w:rPr>
                  </w:pPr>
                  <w:r>
                    <w:rPr>
                      <w:color w:val="auto"/>
                      <w:szCs w:val="21"/>
                    </w:rPr>
                    <w:t>G</w:t>
                  </w:r>
                  <w:r>
                    <w:rPr>
                      <w:rFonts w:hint="eastAsia"/>
                      <w:color w:val="auto"/>
                      <w:szCs w:val="21"/>
                    </w:rPr>
                    <w:t xml:space="preserve">B </w:t>
                  </w:r>
                  <w:r>
                    <w:rPr>
                      <w:color w:val="auto"/>
                      <w:szCs w:val="21"/>
                    </w:rPr>
                    <w:t>34330-2017</w:t>
                  </w:r>
                </w:p>
              </w:tc>
            </w:tr>
          </w:tbl>
          <w:p w14:paraId="734D1582">
            <w:pPr>
              <w:pStyle w:val="6"/>
              <w:spacing w:line="500" w:lineRule="exact"/>
              <w:ind w:firstLine="0" w:firstLineChars="0"/>
              <w:rPr>
                <w:rFonts w:hint="eastAsia"/>
                <w:b/>
                <w:bCs/>
                <w:sz w:val="24"/>
              </w:rPr>
            </w:pPr>
            <w:r>
              <w:rPr>
                <w:rFonts w:hint="eastAsia"/>
                <w:b/>
                <w:bCs/>
                <w:sz w:val="24"/>
              </w:rPr>
              <w:t>4.2源强分析</w:t>
            </w:r>
          </w:p>
          <w:p w14:paraId="70FDF6D3">
            <w:pPr>
              <w:pStyle w:val="6"/>
              <w:spacing w:line="500" w:lineRule="exact"/>
              <w:ind w:firstLine="480"/>
              <w:rPr>
                <w:rFonts w:hint="eastAsia" w:ascii="Times New Roman" w:hAnsi="Times New Roman" w:eastAsia="宋体" w:cs="Times New Roman"/>
                <w:color w:val="auto"/>
                <w:kern w:val="0"/>
                <w:sz w:val="24"/>
                <w:u w:val="none"/>
                <w:lang w:eastAsia="zh-CN"/>
              </w:rPr>
            </w:pPr>
            <w:r>
              <w:rPr>
                <w:rFonts w:hint="eastAsia" w:ascii="Times New Roman" w:hAnsi="Times New Roman" w:eastAsia="宋体" w:cs="Times New Roman"/>
                <w:color w:val="auto"/>
                <w:kern w:val="0"/>
                <w:sz w:val="24"/>
                <w:u w:val="none"/>
                <w:lang w:eastAsia="zh-CN"/>
              </w:rPr>
              <w:t>项目产生的固体废物为</w:t>
            </w:r>
            <w:r>
              <w:rPr>
                <w:rFonts w:hint="eastAsia" w:ascii="Times New Roman" w:hAnsi="Times New Roman" w:eastAsia="宋体" w:cs="Times New Roman"/>
                <w:color w:val="auto"/>
                <w:kern w:val="0"/>
                <w:sz w:val="24"/>
                <w:u w:val="none"/>
                <w:lang w:val="en-US" w:eastAsia="zh-CN"/>
              </w:rPr>
              <w:t>废包装</w:t>
            </w:r>
            <w:r>
              <w:rPr>
                <w:rFonts w:hint="eastAsia" w:ascii="Times New Roman" w:hAnsi="Times New Roman" w:eastAsia="宋体" w:cs="Times New Roman"/>
                <w:color w:val="auto"/>
                <w:kern w:val="0"/>
                <w:sz w:val="24"/>
                <w:u w:val="none"/>
                <w:lang w:eastAsia="zh-CN"/>
              </w:rPr>
              <w:t>。</w:t>
            </w:r>
          </w:p>
          <w:p w14:paraId="1268E9E1">
            <w:pPr>
              <w:pStyle w:val="6"/>
              <w:spacing w:line="500" w:lineRule="exact"/>
              <w:ind w:firstLine="480"/>
              <w:rPr>
                <w:rFonts w:hint="default" w:eastAsia="宋体"/>
                <w:color w:val="auto"/>
                <w:kern w:val="0"/>
                <w:sz w:val="24"/>
                <w:u w:val="single"/>
                <w:lang w:val="en-US" w:eastAsia="zh-CN"/>
              </w:rPr>
            </w:pPr>
            <w:r>
              <w:rPr>
                <w:rFonts w:hint="eastAsia"/>
                <w:color w:val="auto"/>
                <w:kern w:val="0"/>
                <w:sz w:val="24"/>
                <w:u w:val="none"/>
                <w:lang w:val="en-US" w:eastAsia="zh-CN"/>
              </w:rPr>
              <w:t>项目卸载货物时，如有包装损坏，会更换包装袋，产生废包装袋/桶，产生量约为2t/a，废包装应鉴定是否属于危险废物，经鉴定属于危险废物的，暂存危险废物暂存间，定期委托有相关资质单位处置；如鉴定不属于危险废物的，可外售一般固废单位处置。</w:t>
            </w:r>
          </w:p>
          <w:p w14:paraId="558F9897">
            <w:pPr>
              <w:pStyle w:val="6"/>
              <w:spacing w:line="500" w:lineRule="exact"/>
              <w:ind w:firstLine="480"/>
              <w:rPr>
                <w:b/>
                <w:color w:val="auto"/>
                <w:sz w:val="24"/>
              </w:rPr>
            </w:pPr>
            <w:r>
              <w:rPr>
                <w:rFonts w:hint="eastAsia"/>
                <w:color w:val="auto"/>
                <w:kern w:val="0"/>
                <w:sz w:val="24"/>
                <w:lang w:val="en-US" w:eastAsia="zh-CN"/>
              </w:rPr>
              <w:t>项目固体废物</w:t>
            </w:r>
            <w:r>
              <w:rPr>
                <w:rFonts w:hint="eastAsia"/>
                <w:color w:val="auto"/>
                <w:kern w:val="0"/>
                <w:sz w:val="24"/>
              </w:rPr>
              <w:t>产生情况详见表4-</w:t>
            </w:r>
            <w:r>
              <w:rPr>
                <w:rFonts w:hint="eastAsia"/>
                <w:color w:val="auto"/>
                <w:kern w:val="0"/>
                <w:sz w:val="24"/>
                <w:lang w:val="en-US" w:eastAsia="zh-CN"/>
              </w:rPr>
              <w:t>14</w:t>
            </w:r>
            <w:r>
              <w:rPr>
                <w:rFonts w:hint="eastAsia"/>
                <w:color w:val="auto"/>
                <w:kern w:val="0"/>
                <w:sz w:val="24"/>
              </w:rPr>
              <w:t>。</w:t>
            </w:r>
          </w:p>
          <w:p w14:paraId="42A4B1D7">
            <w:pPr>
              <w:spacing w:line="500" w:lineRule="exact"/>
              <w:ind w:firstLine="482" w:firstLineChars="200"/>
              <w:jc w:val="center"/>
              <w:rPr>
                <w:b/>
                <w:color w:val="auto"/>
              </w:rPr>
            </w:pPr>
            <w:r>
              <w:rPr>
                <w:b/>
                <w:color w:val="auto"/>
                <w:sz w:val="24"/>
              </w:rPr>
              <w:t>表</w:t>
            </w:r>
            <w:r>
              <w:rPr>
                <w:rFonts w:hint="eastAsia"/>
                <w:b/>
                <w:color w:val="auto"/>
                <w:sz w:val="24"/>
              </w:rPr>
              <w:t>4</w:t>
            </w:r>
            <w:r>
              <w:rPr>
                <w:b/>
                <w:color w:val="auto"/>
                <w:sz w:val="24"/>
              </w:rPr>
              <w:t>-</w:t>
            </w:r>
            <w:r>
              <w:rPr>
                <w:rFonts w:hint="eastAsia"/>
                <w:b/>
                <w:color w:val="auto"/>
                <w:sz w:val="24"/>
                <w:lang w:val="en-US" w:eastAsia="zh-CN"/>
              </w:rPr>
              <w:t>14</w:t>
            </w:r>
            <w:r>
              <w:rPr>
                <w:b/>
                <w:color w:val="auto"/>
                <w:sz w:val="24"/>
              </w:rPr>
              <w:t xml:space="preserve">  项目</w:t>
            </w:r>
            <w:r>
              <w:rPr>
                <w:rFonts w:hint="eastAsia"/>
                <w:b/>
                <w:color w:val="auto"/>
                <w:sz w:val="24"/>
              </w:rPr>
              <w:t>固体废物产生情况</w:t>
            </w:r>
            <w:r>
              <w:rPr>
                <w:b/>
                <w:color w:val="auto"/>
                <w:sz w:val="24"/>
              </w:rPr>
              <w:t>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1600"/>
              <w:gridCol w:w="1859"/>
              <w:gridCol w:w="1063"/>
              <w:gridCol w:w="1378"/>
              <w:gridCol w:w="1627"/>
            </w:tblGrid>
            <w:tr w14:paraId="0FBD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30" w:type="dxa"/>
                  <w:noWrap w:val="0"/>
                  <w:vAlign w:val="center"/>
                </w:tcPr>
                <w:p w14:paraId="7C6FB845">
                  <w:pPr>
                    <w:jc w:val="center"/>
                    <w:rPr>
                      <w:color w:val="auto"/>
                      <w:szCs w:val="21"/>
                    </w:rPr>
                  </w:pPr>
                  <w:r>
                    <w:rPr>
                      <w:color w:val="auto"/>
                      <w:szCs w:val="21"/>
                    </w:rPr>
                    <w:t>序号</w:t>
                  </w:r>
                </w:p>
              </w:tc>
              <w:tc>
                <w:tcPr>
                  <w:tcW w:w="1600" w:type="dxa"/>
                  <w:noWrap w:val="0"/>
                  <w:vAlign w:val="center"/>
                </w:tcPr>
                <w:p w14:paraId="5C82454C">
                  <w:pPr>
                    <w:jc w:val="center"/>
                    <w:rPr>
                      <w:color w:val="auto"/>
                      <w:szCs w:val="21"/>
                    </w:rPr>
                  </w:pPr>
                  <w:r>
                    <w:rPr>
                      <w:color w:val="auto"/>
                      <w:szCs w:val="21"/>
                    </w:rPr>
                    <w:t>固废名称</w:t>
                  </w:r>
                </w:p>
              </w:tc>
              <w:tc>
                <w:tcPr>
                  <w:tcW w:w="1859" w:type="dxa"/>
                  <w:noWrap w:val="0"/>
                  <w:vAlign w:val="center"/>
                </w:tcPr>
                <w:p w14:paraId="3E741A8C">
                  <w:pPr>
                    <w:jc w:val="center"/>
                    <w:rPr>
                      <w:color w:val="auto"/>
                      <w:szCs w:val="21"/>
                    </w:rPr>
                  </w:pPr>
                  <w:r>
                    <w:rPr>
                      <w:color w:val="auto"/>
                      <w:szCs w:val="21"/>
                    </w:rPr>
                    <w:t>产生工序</w:t>
                  </w:r>
                </w:p>
              </w:tc>
              <w:tc>
                <w:tcPr>
                  <w:tcW w:w="1063" w:type="dxa"/>
                  <w:noWrap w:val="0"/>
                  <w:vAlign w:val="center"/>
                </w:tcPr>
                <w:p w14:paraId="0248339F">
                  <w:pPr>
                    <w:jc w:val="center"/>
                    <w:rPr>
                      <w:color w:val="auto"/>
                      <w:szCs w:val="21"/>
                    </w:rPr>
                  </w:pPr>
                  <w:r>
                    <w:rPr>
                      <w:color w:val="auto"/>
                      <w:szCs w:val="21"/>
                    </w:rPr>
                    <w:t>形态</w:t>
                  </w:r>
                </w:p>
              </w:tc>
              <w:tc>
                <w:tcPr>
                  <w:tcW w:w="1378" w:type="dxa"/>
                  <w:noWrap w:val="0"/>
                  <w:vAlign w:val="center"/>
                </w:tcPr>
                <w:p w14:paraId="1589ECF8">
                  <w:pPr>
                    <w:jc w:val="center"/>
                    <w:rPr>
                      <w:color w:val="auto"/>
                      <w:szCs w:val="21"/>
                    </w:rPr>
                  </w:pPr>
                  <w:r>
                    <w:rPr>
                      <w:color w:val="auto"/>
                      <w:szCs w:val="21"/>
                    </w:rPr>
                    <w:t>主要成分</w:t>
                  </w:r>
                </w:p>
              </w:tc>
              <w:tc>
                <w:tcPr>
                  <w:tcW w:w="1627" w:type="dxa"/>
                  <w:noWrap w:val="0"/>
                  <w:vAlign w:val="center"/>
                </w:tcPr>
                <w:p w14:paraId="7136EB29">
                  <w:pPr>
                    <w:jc w:val="center"/>
                    <w:rPr>
                      <w:rFonts w:hint="eastAsia"/>
                      <w:color w:val="auto"/>
                      <w:szCs w:val="21"/>
                    </w:rPr>
                  </w:pPr>
                  <w:r>
                    <w:rPr>
                      <w:rFonts w:hint="eastAsia"/>
                      <w:color w:val="auto"/>
                      <w:szCs w:val="21"/>
                    </w:rPr>
                    <w:t>产生量t/a</w:t>
                  </w:r>
                </w:p>
              </w:tc>
            </w:tr>
            <w:tr w14:paraId="7E98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30" w:type="dxa"/>
                  <w:noWrap w:val="0"/>
                  <w:vAlign w:val="center"/>
                </w:tcPr>
                <w:p w14:paraId="7AF07570">
                  <w:pPr>
                    <w:jc w:val="center"/>
                    <w:rPr>
                      <w:rFonts w:hint="eastAsia" w:eastAsia="宋体"/>
                      <w:color w:val="auto"/>
                      <w:szCs w:val="21"/>
                      <w:u w:val="single"/>
                      <w:lang w:eastAsia="zh-CN"/>
                    </w:rPr>
                  </w:pPr>
                  <w:r>
                    <w:rPr>
                      <w:rFonts w:hint="eastAsia"/>
                      <w:color w:val="auto"/>
                      <w:u w:val="single"/>
                      <w:lang w:val="en-US" w:eastAsia="zh-CN"/>
                    </w:rPr>
                    <w:t>1</w:t>
                  </w:r>
                </w:p>
              </w:tc>
              <w:tc>
                <w:tcPr>
                  <w:tcW w:w="1600" w:type="dxa"/>
                  <w:noWrap w:val="0"/>
                  <w:vAlign w:val="center"/>
                </w:tcPr>
                <w:p w14:paraId="087A0B2B">
                  <w:pPr>
                    <w:jc w:val="center"/>
                    <w:rPr>
                      <w:rFonts w:hint="default"/>
                      <w:color w:val="auto"/>
                      <w:szCs w:val="21"/>
                      <w:u w:val="none"/>
                      <w:lang w:val="en-US"/>
                    </w:rPr>
                  </w:pPr>
                  <w:r>
                    <w:rPr>
                      <w:rFonts w:hint="eastAsia"/>
                      <w:color w:val="auto"/>
                      <w:szCs w:val="21"/>
                      <w:u w:val="none"/>
                      <w:lang w:val="en-US" w:eastAsia="zh-CN"/>
                    </w:rPr>
                    <w:t>废包装袋/桶</w:t>
                  </w:r>
                </w:p>
              </w:tc>
              <w:tc>
                <w:tcPr>
                  <w:tcW w:w="1859" w:type="dxa"/>
                  <w:noWrap w:val="0"/>
                  <w:vAlign w:val="center"/>
                </w:tcPr>
                <w:p w14:paraId="6376B2B8">
                  <w:pPr>
                    <w:jc w:val="center"/>
                    <w:rPr>
                      <w:rFonts w:hint="default"/>
                      <w:color w:val="auto"/>
                      <w:szCs w:val="21"/>
                      <w:u w:val="none"/>
                      <w:lang w:val="en-US"/>
                    </w:rPr>
                  </w:pPr>
                  <w:r>
                    <w:rPr>
                      <w:rFonts w:hint="eastAsia" w:eastAsia="宋体"/>
                      <w:color w:val="auto"/>
                      <w:szCs w:val="21"/>
                      <w:u w:val="none"/>
                      <w:lang w:val="en-US" w:eastAsia="zh-CN"/>
                    </w:rPr>
                    <w:t>货物卸装</w:t>
                  </w:r>
                </w:p>
              </w:tc>
              <w:tc>
                <w:tcPr>
                  <w:tcW w:w="1063" w:type="dxa"/>
                  <w:noWrap w:val="0"/>
                  <w:vAlign w:val="center"/>
                </w:tcPr>
                <w:p w14:paraId="585CD1E5">
                  <w:pPr>
                    <w:jc w:val="center"/>
                    <w:rPr>
                      <w:color w:val="auto"/>
                      <w:szCs w:val="21"/>
                      <w:u w:val="none"/>
                    </w:rPr>
                  </w:pPr>
                  <w:r>
                    <w:rPr>
                      <w:color w:val="auto"/>
                      <w:szCs w:val="21"/>
                      <w:u w:val="none"/>
                    </w:rPr>
                    <w:t>固态</w:t>
                  </w:r>
                </w:p>
              </w:tc>
              <w:tc>
                <w:tcPr>
                  <w:tcW w:w="1378" w:type="dxa"/>
                  <w:noWrap w:val="0"/>
                  <w:vAlign w:val="center"/>
                </w:tcPr>
                <w:p w14:paraId="421066EA">
                  <w:pPr>
                    <w:jc w:val="center"/>
                    <w:rPr>
                      <w:rFonts w:hint="eastAsia"/>
                      <w:color w:val="auto"/>
                      <w:szCs w:val="21"/>
                      <w:u w:val="none"/>
                    </w:rPr>
                  </w:pPr>
                  <w:r>
                    <w:rPr>
                      <w:rFonts w:hint="eastAsia"/>
                      <w:color w:val="auto"/>
                      <w:szCs w:val="21"/>
                      <w:u w:val="none"/>
                      <w:lang w:val="en-US" w:eastAsia="zh-CN"/>
                    </w:rPr>
                    <w:t>/</w:t>
                  </w:r>
                </w:p>
              </w:tc>
              <w:tc>
                <w:tcPr>
                  <w:tcW w:w="1627" w:type="dxa"/>
                  <w:noWrap w:val="0"/>
                  <w:vAlign w:val="center"/>
                </w:tcPr>
                <w:p w14:paraId="126B6732">
                  <w:pPr>
                    <w:jc w:val="center"/>
                    <w:rPr>
                      <w:rFonts w:hint="default" w:eastAsia="宋体"/>
                      <w:color w:val="auto"/>
                      <w:szCs w:val="21"/>
                      <w:u w:val="none"/>
                      <w:lang w:val="en-US" w:eastAsia="zh-CN"/>
                    </w:rPr>
                  </w:pPr>
                  <w:r>
                    <w:rPr>
                      <w:rFonts w:hint="eastAsia" w:eastAsia="宋体"/>
                      <w:color w:val="auto"/>
                      <w:szCs w:val="21"/>
                      <w:u w:val="none"/>
                      <w:lang w:val="en-US" w:eastAsia="zh-CN"/>
                    </w:rPr>
                    <w:t>2</w:t>
                  </w:r>
                </w:p>
              </w:tc>
            </w:tr>
          </w:tbl>
          <w:p w14:paraId="34F86AEB">
            <w:pPr>
              <w:pStyle w:val="6"/>
              <w:spacing w:line="500" w:lineRule="exact"/>
              <w:ind w:firstLine="480"/>
              <w:rPr>
                <w:rFonts w:hint="eastAsia"/>
                <w:color w:val="auto"/>
                <w:kern w:val="0"/>
                <w:sz w:val="24"/>
              </w:rPr>
            </w:pPr>
            <w:r>
              <w:rPr>
                <w:rFonts w:hint="eastAsia"/>
                <w:color w:val="auto"/>
                <w:kern w:val="0"/>
                <w:sz w:val="24"/>
              </w:rPr>
              <w:t>根据《固体废物鉴别标准 通则》（GB34330-2017）、《国家危险废物名录》（202</w:t>
            </w:r>
            <w:r>
              <w:rPr>
                <w:rFonts w:hint="eastAsia"/>
                <w:color w:val="auto"/>
                <w:kern w:val="0"/>
                <w:sz w:val="24"/>
                <w:lang w:val="en-US" w:eastAsia="zh-CN"/>
              </w:rPr>
              <w:t>5</w:t>
            </w:r>
            <w:r>
              <w:rPr>
                <w:rFonts w:hint="eastAsia"/>
                <w:color w:val="auto"/>
                <w:kern w:val="0"/>
                <w:sz w:val="24"/>
              </w:rPr>
              <w:t>年版），项目产生的固体废物属性判定见表4-</w:t>
            </w:r>
            <w:r>
              <w:rPr>
                <w:rFonts w:hint="eastAsia"/>
                <w:color w:val="auto"/>
                <w:kern w:val="0"/>
                <w:sz w:val="24"/>
                <w:lang w:val="en-US" w:eastAsia="zh-CN"/>
              </w:rPr>
              <w:t>15</w:t>
            </w:r>
            <w:r>
              <w:rPr>
                <w:rFonts w:hint="eastAsia"/>
                <w:color w:val="auto"/>
                <w:kern w:val="0"/>
                <w:sz w:val="24"/>
              </w:rPr>
              <w:t>。</w:t>
            </w:r>
          </w:p>
          <w:p w14:paraId="779ADD4F">
            <w:pPr>
              <w:pStyle w:val="6"/>
              <w:spacing w:line="500" w:lineRule="exact"/>
              <w:ind w:firstLine="0" w:firstLineChars="0"/>
              <w:jc w:val="center"/>
              <w:rPr>
                <w:rFonts w:hint="eastAsia"/>
                <w:b/>
                <w:bCs/>
                <w:color w:val="auto"/>
                <w:kern w:val="0"/>
                <w:sz w:val="24"/>
                <w:lang w:val="en-GB"/>
              </w:rPr>
            </w:pPr>
            <w:r>
              <w:rPr>
                <w:rFonts w:hint="eastAsia"/>
                <w:b/>
                <w:bCs/>
                <w:color w:val="auto"/>
                <w:kern w:val="0"/>
                <w:sz w:val="24"/>
                <w:lang w:val="en-GB"/>
              </w:rPr>
              <w:t>表4-</w:t>
            </w:r>
            <w:r>
              <w:rPr>
                <w:rFonts w:hint="eastAsia"/>
                <w:b/>
                <w:bCs/>
                <w:color w:val="auto"/>
                <w:kern w:val="0"/>
                <w:sz w:val="24"/>
                <w:lang w:val="en-US" w:eastAsia="zh-CN"/>
              </w:rPr>
              <w:t>15</w:t>
            </w:r>
            <w:r>
              <w:rPr>
                <w:rFonts w:hint="eastAsia"/>
                <w:b/>
                <w:bCs/>
                <w:color w:val="auto"/>
                <w:kern w:val="0"/>
                <w:sz w:val="24"/>
                <w:lang w:val="en-GB"/>
              </w:rPr>
              <w:t xml:space="preserve"> 项目固体废物属性判定表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276"/>
              <w:gridCol w:w="1516"/>
              <w:gridCol w:w="2069"/>
              <w:gridCol w:w="1379"/>
              <w:gridCol w:w="1474"/>
            </w:tblGrid>
            <w:tr w14:paraId="2328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43" w:type="dxa"/>
                  <w:noWrap w:val="0"/>
                  <w:vAlign w:val="center"/>
                </w:tcPr>
                <w:p w14:paraId="563244F7">
                  <w:pPr>
                    <w:jc w:val="center"/>
                    <w:rPr>
                      <w:color w:val="auto"/>
                      <w:szCs w:val="21"/>
                    </w:rPr>
                  </w:pPr>
                  <w:r>
                    <w:rPr>
                      <w:color w:val="auto"/>
                      <w:szCs w:val="21"/>
                    </w:rPr>
                    <w:t>序号</w:t>
                  </w:r>
                </w:p>
              </w:tc>
              <w:tc>
                <w:tcPr>
                  <w:tcW w:w="1276" w:type="dxa"/>
                  <w:noWrap w:val="0"/>
                  <w:vAlign w:val="center"/>
                </w:tcPr>
                <w:p w14:paraId="564CC911">
                  <w:pPr>
                    <w:jc w:val="center"/>
                    <w:rPr>
                      <w:color w:val="auto"/>
                      <w:szCs w:val="21"/>
                    </w:rPr>
                  </w:pPr>
                  <w:r>
                    <w:rPr>
                      <w:color w:val="auto"/>
                      <w:szCs w:val="21"/>
                    </w:rPr>
                    <w:t>名称</w:t>
                  </w:r>
                </w:p>
              </w:tc>
              <w:tc>
                <w:tcPr>
                  <w:tcW w:w="1516" w:type="dxa"/>
                  <w:noWrap w:val="0"/>
                  <w:vAlign w:val="center"/>
                </w:tcPr>
                <w:p w14:paraId="7C7D2100">
                  <w:pPr>
                    <w:jc w:val="center"/>
                    <w:rPr>
                      <w:color w:val="auto"/>
                      <w:szCs w:val="21"/>
                    </w:rPr>
                  </w:pPr>
                  <w:r>
                    <w:rPr>
                      <w:color w:val="auto"/>
                      <w:szCs w:val="21"/>
                    </w:rPr>
                    <w:t>属性</w:t>
                  </w:r>
                </w:p>
              </w:tc>
              <w:tc>
                <w:tcPr>
                  <w:tcW w:w="2069" w:type="dxa"/>
                  <w:noWrap w:val="0"/>
                  <w:vAlign w:val="center"/>
                </w:tcPr>
                <w:p w14:paraId="045882B2">
                  <w:pPr>
                    <w:spacing w:line="240" w:lineRule="atLeast"/>
                    <w:jc w:val="center"/>
                    <w:rPr>
                      <w:color w:val="auto"/>
                      <w:szCs w:val="21"/>
                    </w:rPr>
                  </w:pPr>
                  <w:r>
                    <w:rPr>
                      <w:bCs/>
                      <w:color w:val="auto"/>
                      <w:szCs w:val="21"/>
                    </w:rPr>
                    <w:t>废物代码</w:t>
                  </w:r>
                </w:p>
              </w:tc>
              <w:tc>
                <w:tcPr>
                  <w:tcW w:w="1379" w:type="dxa"/>
                  <w:noWrap w:val="0"/>
                  <w:vAlign w:val="center"/>
                </w:tcPr>
                <w:p w14:paraId="17FCDE82">
                  <w:pPr>
                    <w:spacing w:line="240" w:lineRule="atLeast"/>
                    <w:jc w:val="center"/>
                    <w:rPr>
                      <w:color w:val="auto"/>
                      <w:szCs w:val="21"/>
                    </w:rPr>
                  </w:pPr>
                  <w:r>
                    <w:rPr>
                      <w:bCs/>
                      <w:color w:val="auto"/>
                      <w:szCs w:val="21"/>
                    </w:rPr>
                    <w:t>危险特性</w:t>
                  </w:r>
                </w:p>
              </w:tc>
              <w:tc>
                <w:tcPr>
                  <w:tcW w:w="1474" w:type="dxa"/>
                  <w:noWrap w:val="0"/>
                  <w:vAlign w:val="center"/>
                </w:tcPr>
                <w:p w14:paraId="2837864E">
                  <w:pPr>
                    <w:spacing w:line="240" w:lineRule="atLeast"/>
                    <w:jc w:val="center"/>
                    <w:rPr>
                      <w:color w:val="auto"/>
                      <w:szCs w:val="21"/>
                    </w:rPr>
                  </w:pPr>
                  <w:r>
                    <w:rPr>
                      <w:bCs/>
                      <w:color w:val="auto"/>
                      <w:szCs w:val="21"/>
                    </w:rPr>
                    <w:t>产废周期</w:t>
                  </w: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43" w:type="dxa"/>
                  <w:noWrap w:val="0"/>
                  <w:vAlign w:val="center"/>
                </w:tcPr>
                <w:p w14:paraId="3AF3144E">
                  <w:pPr>
                    <w:jc w:val="center"/>
                    <w:rPr>
                      <w:color w:val="auto"/>
                      <w:szCs w:val="21"/>
                      <w:u w:val="none"/>
                    </w:rPr>
                  </w:pPr>
                  <w:r>
                    <w:rPr>
                      <w:color w:val="auto"/>
                      <w:u w:val="none"/>
                    </w:rPr>
                    <w:t>S1</w:t>
                  </w:r>
                </w:p>
              </w:tc>
              <w:tc>
                <w:tcPr>
                  <w:tcW w:w="1276" w:type="dxa"/>
                  <w:noWrap w:val="0"/>
                  <w:vAlign w:val="center"/>
                </w:tcPr>
                <w:p w14:paraId="7F51A32E">
                  <w:pPr>
                    <w:jc w:val="center"/>
                    <w:rPr>
                      <w:rFonts w:hint="default" w:eastAsia="宋体"/>
                      <w:color w:val="auto"/>
                      <w:szCs w:val="21"/>
                      <w:u w:val="none"/>
                      <w:lang w:val="en-US" w:eastAsia="zh-CN"/>
                    </w:rPr>
                  </w:pPr>
                  <w:r>
                    <w:rPr>
                      <w:rFonts w:hint="eastAsia"/>
                      <w:color w:val="auto"/>
                      <w:szCs w:val="21"/>
                      <w:u w:val="none"/>
                      <w:lang w:val="en-US" w:eastAsia="zh-CN"/>
                    </w:rPr>
                    <w:t>废包装袋/桶</w:t>
                  </w:r>
                </w:p>
              </w:tc>
              <w:tc>
                <w:tcPr>
                  <w:tcW w:w="1516" w:type="dxa"/>
                  <w:noWrap w:val="0"/>
                  <w:vAlign w:val="center"/>
                </w:tcPr>
                <w:p w14:paraId="0CEC7CFE">
                  <w:pPr>
                    <w:jc w:val="center"/>
                    <w:rPr>
                      <w:rFonts w:hint="eastAsia" w:eastAsia="宋体"/>
                      <w:color w:val="auto"/>
                      <w:szCs w:val="21"/>
                      <w:u w:val="none"/>
                      <w:lang w:eastAsia="zh-CN"/>
                    </w:rPr>
                  </w:pPr>
                  <w:r>
                    <w:rPr>
                      <w:rFonts w:hint="eastAsia"/>
                      <w:color w:val="auto"/>
                      <w:szCs w:val="21"/>
                      <w:u w:val="none"/>
                      <w:lang w:val="en-US" w:eastAsia="zh-CN"/>
                    </w:rPr>
                    <w:t>待鉴定</w:t>
                  </w:r>
                </w:p>
              </w:tc>
              <w:tc>
                <w:tcPr>
                  <w:tcW w:w="2069" w:type="dxa"/>
                  <w:noWrap w:val="0"/>
                  <w:vAlign w:val="center"/>
                </w:tcPr>
                <w:p w14:paraId="077EE43F">
                  <w:pPr>
                    <w:jc w:val="center"/>
                    <w:rPr>
                      <w:color w:val="auto"/>
                      <w:szCs w:val="21"/>
                      <w:u w:val="none"/>
                    </w:rPr>
                  </w:pPr>
                  <w:r>
                    <w:rPr>
                      <w:rFonts w:hint="eastAsia"/>
                      <w:color w:val="auto"/>
                      <w:szCs w:val="21"/>
                      <w:u w:val="none"/>
                      <w:lang w:val="en-US" w:eastAsia="zh-CN"/>
                    </w:rPr>
                    <w:t>待鉴定</w:t>
                  </w:r>
                </w:p>
              </w:tc>
              <w:tc>
                <w:tcPr>
                  <w:tcW w:w="1379" w:type="dxa"/>
                  <w:noWrap w:val="0"/>
                  <w:vAlign w:val="center"/>
                </w:tcPr>
                <w:p w14:paraId="20719F06">
                  <w:pPr>
                    <w:jc w:val="center"/>
                    <w:rPr>
                      <w:rFonts w:hint="eastAsia" w:eastAsia="宋体"/>
                      <w:color w:val="auto"/>
                      <w:szCs w:val="21"/>
                      <w:u w:val="none"/>
                      <w:lang w:eastAsia="zh-CN"/>
                    </w:rPr>
                  </w:pPr>
                  <w:r>
                    <w:rPr>
                      <w:rFonts w:hint="eastAsia"/>
                      <w:color w:val="auto"/>
                      <w:szCs w:val="21"/>
                      <w:u w:val="none"/>
                      <w:lang w:val="en-US" w:eastAsia="zh-CN"/>
                    </w:rPr>
                    <w:t>待鉴定</w:t>
                  </w:r>
                </w:p>
              </w:tc>
              <w:tc>
                <w:tcPr>
                  <w:tcW w:w="1474" w:type="dxa"/>
                  <w:noWrap w:val="0"/>
                  <w:vAlign w:val="center"/>
                </w:tcPr>
                <w:p w14:paraId="41C42446">
                  <w:pPr>
                    <w:jc w:val="center"/>
                    <w:rPr>
                      <w:rFonts w:hint="default" w:eastAsia="宋体"/>
                      <w:color w:val="auto"/>
                      <w:szCs w:val="21"/>
                      <w:u w:val="none"/>
                      <w:lang w:val="en-US" w:eastAsia="zh-CN"/>
                    </w:rPr>
                  </w:pPr>
                  <w:r>
                    <w:rPr>
                      <w:rFonts w:hint="eastAsia"/>
                      <w:color w:val="auto"/>
                      <w:szCs w:val="21"/>
                      <w:u w:val="none"/>
                      <w:lang w:val="en-US" w:eastAsia="zh-CN"/>
                    </w:rPr>
                    <w:t>不定期</w:t>
                  </w:r>
                </w:p>
              </w:tc>
            </w:tr>
          </w:tbl>
          <w:p w14:paraId="17D592AB">
            <w:pPr>
              <w:pStyle w:val="6"/>
              <w:spacing w:line="500" w:lineRule="exact"/>
              <w:ind w:firstLine="0" w:firstLineChars="0"/>
              <w:jc w:val="center"/>
              <w:rPr>
                <w:rFonts w:hint="eastAsia"/>
                <w:b/>
                <w:bCs/>
                <w:color w:val="auto"/>
                <w:kern w:val="0"/>
                <w:sz w:val="24"/>
                <w:lang w:val="en-GB"/>
              </w:rPr>
            </w:pPr>
            <w:r>
              <w:rPr>
                <w:rFonts w:hint="eastAsia"/>
                <w:b/>
                <w:bCs/>
                <w:color w:val="auto"/>
                <w:kern w:val="0"/>
                <w:sz w:val="24"/>
                <w:lang w:val="en-GB"/>
              </w:rPr>
              <w:t>表4-</w:t>
            </w:r>
            <w:r>
              <w:rPr>
                <w:rFonts w:hint="eastAsia"/>
                <w:b/>
                <w:bCs/>
                <w:color w:val="auto"/>
                <w:kern w:val="0"/>
                <w:sz w:val="24"/>
                <w:lang w:val="en-US" w:eastAsia="zh-CN"/>
              </w:rPr>
              <w:t>16</w:t>
            </w:r>
            <w:r>
              <w:rPr>
                <w:rFonts w:hint="eastAsia"/>
                <w:b/>
                <w:bCs/>
                <w:color w:val="auto"/>
                <w:kern w:val="0"/>
                <w:sz w:val="24"/>
                <w:lang w:val="en-GB"/>
              </w:rPr>
              <w:t xml:space="preserve"> 项目产生固体废物一览表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83"/>
              <w:gridCol w:w="1069"/>
              <w:gridCol w:w="900"/>
              <w:gridCol w:w="1096"/>
              <w:gridCol w:w="900"/>
              <w:gridCol w:w="929"/>
              <w:gridCol w:w="975"/>
              <w:gridCol w:w="1477"/>
            </w:tblGrid>
            <w:tr w14:paraId="081F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3F18EBA0">
                  <w:pPr>
                    <w:jc w:val="center"/>
                    <w:rPr>
                      <w:color w:val="auto"/>
                      <w:szCs w:val="21"/>
                    </w:rPr>
                  </w:pPr>
                  <w:r>
                    <w:rPr>
                      <w:color w:val="auto"/>
                      <w:szCs w:val="21"/>
                    </w:rPr>
                    <w:t>工序</w:t>
                  </w:r>
                </w:p>
              </w:tc>
              <w:tc>
                <w:tcPr>
                  <w:tcW w:w="683" w:type="dxa"/>
                  <w:vMerge w:val="restart"/>
                  <w:tcBorders>
                    <w:top w:val="single" w:color="auto" w:sz="4" w:space="0"/>
                    <w:left w:val="single" w:color="auto" w:sz="4" w:space="0"/>
                    <w:bottom w:val="single" w:color="auto" w:sz="4" w:space="0"/>
                    <w:right w:val="single" w:color="auto" w:sz="4" w:space="0"/>
                  </w:tcBorders>
                  <w:noWrap w:val="0"/>
                  <w:vAlign w:val="center"/>
                </w:tcPr>
                <w:p w14:paraId="55377EFC">
                  <w:pPr>
                    <w:jc w:val="center"/>
                    <w:rPr>
                      <w:color w:val="auto"/>
                      <w:szCs w:val="21"/>
                    </w:rPr>
                  </w:pPr>
                  <w:r>
                    <w:rPr>
                      <w:color w:val="auto"/>
                      <w:szCs w:val="21"/>
                    </w:rPr>
                    <w:t>装置</w:t>
                  </w:r>
                </w:p>
              </w:tc>
              <w:tc>
                <w:tcPr>
                  <w:tcW w:w="1069" w:type="dxa"/>
                  <w:vMerge w:val="restart"/>
                  <w:tcBorders>
                    <w:top w:val="single" w:color="auto" w:sz="4" w:space="0"/>
                    <w:left w:val="single" w:color="auto" w:sz="4" w:space="0"/>
                    <w:bottom w:val="single" w:color="auto" w:sz="4" w:space="0"/>
                    <w:right w:val="single" w:color="auto" w:sz="4" w:space="0"/>
                  </w:tcBorders>
                  <w:noWrap w:val="0"/>
                  <w:vAlign w:val="center"/>
                </w:tcPr>
                <w:p w14:paraId="593CA50F">
                  <w:pPr>
                    <w:jc w:val="center"/>
                    <w:rPr>
                      <w:color w:val="auto"/>
                      <w:szCs w:val="21"/>
                    </w:rPr>
                  </w:pPr>
                  <w:r>
                    <w:rPr>
                      <w:color w:val="auto"/>
                      <w:szCs w:val="21"/>
                    </w:rPr>
                    <w:t>固体废物</w:t>
                  </w:r>
                </w:p>
                <w:p w14:paraId="060F2716">
                  <w:pPr>
                    <w:jc w:val="center"/>
                    <w:rPr>
                      <w:color w:val="auto"/>
                      <w:szCs w:val="21"/>
                    </w:rPr>
                  </w:pPr>
                  <w:r>
                    <w:rPr>
                      <w:color w:val="auto"/>
                      <w:szCs w:val="21"/>
                    </w:rPr>
                    <w:t>名称</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14:paraId="48D28481">
                  <w:pPr>
                    <w:jc w:val="center"/>
                    <w:rPr>
                      <w:color w:val="auto"/>
                      <w:szCs w:val="21"/>
                    </w:rPr>
                  </w:pPr>
                  <w:r>
                    <w:rPr>
                      <w:color w:val="auto"/>
                      <w:szCs w:val="21"/>
                    </w:rPr>
                    <w:t>固废属性</w:t>
                  </w:r>
                </w:p>
              </w:tc>
              <w:tc>
                <w:tcPr>
                  <w:tcW w:w="1996" w:type="dxa"/>
                  <w:gridSpan w:val="2"/>
                  <w:tcBorders>
                    <w:top w:val="single" w:color="auto" w:sz="4" w:space="0"/>
                    <w:left w:val="single" w:color="auto" w:sz="4" w:space="0"/>
                    <w:bottom w:val="single" w:color="auto" w:sz="4" w:space="0"/>
                    <w:right w:val="single" w:color="auto" w:sz="4" w:space="0"/>
                  </w:tcBorders>
                  <w:noWrap w:val="0"/>
                  <w:vAlign w:val="center"/>
                </w:tcPr>
                <w:p w14:paraId="4F679D7C">
                  <w:pPr>
                    <w:jc w:val="center"/>
                    <w:rPr>
                      <w:color w:val="auto"/>
                      <w:szCs w:val="21"/>
                    </w:rPr>
                  </w:pPr>
                  <w:r>
                    <w:rPr>
                      <w:color w:val="auto"/>
                      <w:szCs w:val="21"/>
                    </w:rPr>
                    <w:t>噪声源强</w:t>
                  </w: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14:paraId="6FB92E86">
                  <w:pPr>
                    <w:jc w:val="center"/>
                    <w:rPr>
                      <w:color w:val="auto"/>
                      <w:szCs w:val="21"/>
                    </w:rPr>
                  </w:pPr>
                  <w:r>
                    <w:rPr>
                      <w:color w:val="auto"/>
                      <w:szCs w:val="21"/>
                    </w:rPr>
                    <w:t>处置措施</w:t>
                  </w:r>
                </w:p>
              </w:tc>
              <w:tc>
                <w:tcPr>
                  <w:tcW w:w="1477" w:type="dxa"/>
                  <w:vMerge w:val="restart"/>
                  <w:tcBorders>
                    <w:top w:val="single" w:color="auto" w:sz="4" w:space="0"/>
                    <w:left w:val="single" w:color="auto" w:sz="4" w:space="0"/>
                    <w:bottom w:val="single" w:color="auto" w:sz="4" w:space="0"/>
                    <w:right w:val="single" w:color="auto" w:sz="4" w:space="0"/>
                  </w:tcBorders>
                  <w:noWrap w:val="0"/>
                  <w:vAlign w:val="center"/>
                </w:tcPr>
                <w:p w14:paraId="00764CFA">
                  <w:pPr>
                    <w:jc w:val="center"/>
                    <w:rPr>
                      <w:color w:val="auto"/>
                      <w:szCs w:val="21"/>
                    </w:rPr>
                  </w:pPr>
                  <w:r>
                    <w:rPr>
                      <w:color w:val="auto"/>
                      <w:szCs w:val="21"/>
                    </w:rPr>
                    <w:t>最终去向</w:t>
                  </w:r>
                </w:p>
              </w:tc>
            </w:tr>
            <w:tr w14:paraId="3E0D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4BBA3EC8">
                  <w:pPr>
                    <w:jc w:val="center"/>
                    <w:rPr>
                      <w:color w:val="auto"/>
                      <w:szCs w:val="21"/>
                    </w:rPr>
                  </w:pPr>
                </w:p>
              </w:tc>
              <w:tc>
                <w:tcPr>
                  <w:tcW w:w="683" w:type="dxa"/>
                  <w:vMerge w:val="continue"/>
                  <w:tcBorders>
                    <w:top w:val="single" w:color="auto" w:sz="4" w:space="0"/>
                    <w:left w:val="single" w:color="auto" w:sz="4" w:space="0"/>
                    <w:bottom w:val="single" w:color="auto" w:sz="4" w:space="0"/>
                    <w:right w:val="single" w:color="auto" w:sz="4" w:space="0"/>
                  </w:tcBorders>
                  <w:noWrap w:val="0"/>
                  <w:vAlign w:val="center"/>
                </w:tcPr>
                <w:p w14:paraId="786542B6">
                  <w:pPr>
                    <w:jc w:val="center"/>
                    <w:rPr>
                      <w:color w:val="auto"/>
                      <w:szCs w:val="21"/>
                    </w:rPr>
                  </w:pPr>
                </w:p>
              </w:tc>
              <w:tc>
                <w:tcPr>
                  <w:tcW w:w="1069" w:type="dxa"/>
                  <w:vMerge w:val="continue"/>
                  <w:tcBorders>
                    <w:top w:val="single" w:color="auto" w:sz="4" w:space="0"/>
                    <w:left w:val="single" w:color="auto" w:sz="4" w:space="0"/>
                    <w:bottom w:val="single" w:color="auto" w:sz="4" w:space="0"/>
                    <w:right w:val="single" w:color="auto" w:sz="4" w:space="0"/>
                  </w:tcBorders>
                  <w:noWrap w:val="0"/>
                  <w:vAlign w:val="center"/>
                </w:tcPr>
                <w:p w14:paraId="4558BE4A">
                  <w:pPr>
                    <w:jc w:val="center"/>
                    <w:rPr>
                      <w:color w:val="auto"/>
                      <w:szCs w:val="21"/>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14:paraId="25D01DBE">
                  <w:pPr>
                    <w:jc w:val="center"/>
                    <w:rPr>
                      <w:color w:val="auto"/>
                      <w:szCs w:val="21"/>
                    </w:rPr>
                  </w:pPr>
                </w:p>
              </w:tc>
              <w:tc>
                <w:tcPr>
                  <w:tcW w:w="1096" w:type="dxa"/>
                  <w:tcBorders>
                    <w:top w:val="single" w:color="auto" w:sz="4" w:space="0"/>
                    <w:left w:val="single" w:color="auto" w:sz="4" w:space="0"/>
                    <w:bottom w:val="single" w:color="auto" w:sz="4" w:space="0"/>
                    <w:right w:val="single" w:color="auto" w:sz="4" w:space="0"/>
                  </w:tcBorders>
                  <w:noWrap w:val="0"/>
                  <w:vAlign w:val="center"/>
                </w:tcPr>
                <w:p w14:paraId="399FCE0E">
                  <w:pPr>
                    <w:jc w:val="center"/>
                    <w:rPr>
                      <w:color w:val="auto"/>
                      <w:szCs w:val="21"/>
                    </w:rPr>
                  </w:pPr>
                  <w:r>
                    <w:rPr>
                      <w:color w:val="auto"/>
                      <w:szCs w:val="21"/>
                    </w:rPr>
                    <w:t>核算方法</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1B0FBD2">
                  <w:pPr>
                    <w:jc w:val="center"/>
                    <w:rPr>
                      <w:color w:val="auto"/>
                      <w:szCs w:val="21"/>
                    </w:rPr>
                  </w:pPr>
                  <w:r>
                    <w:rPr>
                      <w:color w:val="auto"/>
                      <w:szCs w:val="21"/>
                    </w:rPr>
                    <w:t>产生量</w:t>
                  </w:r>
                </w:p>
                <w:p w14:paraId="27428DC5">
                  <w:pPr>
                    <w:jc w:val="center"/>
                    <w:rPr>
                      <w:color w:val="auto"/>
                      <w:szCs w:val="21"/>
                    </w:rPr>
                  </w:pPr>
                  <w:r>
                    <w:rPr>
                      <w:rFonts w:hint="eastAsia"/>
                      <w:color w:val="auto"/>
                      <w:szCs w:val="21"/>
                      <w:lang w:eastAsia="zh-CN"/>
                    </w:rPr>
                    <w:t>(</w:t>
                  </w:r>
                  <w:r>
                    <w:rPr>
                      <w:color w:val="auto"/>
                      <w:szCs w:val="21"/>
                    </w:rPr>
                    <w:t>t/a</w:t>
                  </w:r>
                  <w:r>
                    <w:rPr>
                      <w:rFonts w:hint="eastAsia"/>
                      <w:color w:val="auto"/>
                      <w:szCs w:val="21"/>
                      <w:lang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153CDF50">
                  <w:pPr>
                    <w:jc w:val="center"/>
                    <w:rPr>
                      <w:color w:val="auto"/>
                      <w:szCs w:val="21"/>
                    </w:rPr>
                  </w:pPr>
                  <w:r>
                    <w:rPr>
                      <w:color w:val="auto"/>
                      <w:szCs w:val="21"/>
                    </w:rPr>
                    <w:t>工艺</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E50EDB0">
                  <w:pPr>
                    <w:jc w:val="center"/>
                    <w:rPr>
                      <w:color w:val="auto"/>
                      <w:szCs w:val="21"/>
                    </w:rPr>
                  </w:pPr>
                  <w:r>
                    <w:rPr>
                      <w:color w:val="auto"/>
                      <w:szCs w:val="21"/>
                    </w:rPr>
                    <w:t>处置量</w:t>
                  </w:r>
                </w:p>
                <w:p w14:paraId="2F8EAC9E">
                  <w:pPr>
                    <w:jc w:val="center"/>
                    <w:rPr>
                      <w:color w:val="auto"/>
                      <w:szCs w:val="21"/>
                    </w:rPr>
                  </w:pPr>
                  <w:r>
                    <w:rPr>
                      <w:rFonts w:hint="eastAsia"/>
                      <w:color w:val="auto"/>
                      <w:szCs w:val="21"/>
                      <w:lang w:eastAsia="zh-CN"/>
                    </w:rPr>
                    <w:t>(</w:t>
                  </w:r>
                  <w:r>
                    <w:rPr>
                      <w:color w:val="auto"/>
                      <w:szCs w:val="21"/>
                    </w:rPr>
                    <w:t>t/a</w:t>
                  </w:r>
                  <w:r>
                    <w:rPr>
                      <w:rFonts w:hint="eastAsia"/>
                      <w:color w:val="auto"/>
                      <w:szCs w:val="21"/>
                      <w:lang w:eastAsia="zh-CN"/>
                    </w:rPr>
                    <w:t>)</w:t>
                  </w:r>
                </w:p>
              </w:tc>
              <w:tc>
                <w:tcPr>
                  <w:tcW w:w="1477" w:type="dxa"/>
                  <w:vMerge w:val="continue"/>
                  <w:tcBorders>
                    <w:top w:val="single" w:color="auto" w:sz="4" w:space="0"/>
                    <w:left w:val="single" w:color="auto" w:sz="4" w:space="0"/>
                    <w:bottom w:val="single" w:color="auto" w:sz="4" w:space="0"/>
                    <w:right w:val="single" w:color="auto" w:sz="4" w:space="0"/>
                  </w:tcBorders>
                  <w:noWrap w:val="0"/>
                  <w:vAlign w:val="center"/>
                </w:tcPr>
                <w:p w14:paraId="31345FBB">
                  <w:pPr>
                    <w:jc w:val="center"/>
                    <w:rPr>
                      <w:color w:val="auto"/>
                      <w:szCs w:val="21"/>
                    </w:rPr>
                  </w:pPr>
                </w:p>
              </w:tc>
            </w:tr>
            <w:tr w14:paraId="0E93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op w:val="single" w:color="auto" w:sz="4" w:space="0"/>
                    <w:left w:val="single" w:color="auto" w:sz="4" w:space="0"/>
                    <w:right w:val="single" w:color="auto" w:sz="4" w:space="0"/>
                  </w:tcBorders>
                  <w:noWrap w:val="0"/>
                  <w:vAlign w:val="center"/>
                </w:tcPr>
                <w:p w14:paraId="5D180297">
                  <w:pPr>
                    <w:jc w:val="center"/>
                    <w:rPr>
                      <w:color w:val="auto"/>
                      <w:szCs w:val="21"/>
                    </w:rPr>
                  </w:pPr>
                  <w:r>
                    <w:rPr>
                      <w:color w:val="auto"/>
                      <w:szCs w:val="21"/>
                    </w:rPr>
                    <w:t>1</w:t>
                  </w:r>
                </w:p>
              </w:tc>
              <w:tc>
                <w:tcPr>
                  <w:tcW w:w="683" w:type="dxa"/>
                  <w:tcBorders>
                    <w:top w:val="single" w:color="auto" w:sz="4" w:space="0"/>
                    <w:left w:val="single" w:color="auto" w:sz="4" w:space="0"/>
                    <w:right w:val="single" w:color="auto" w:sz="4" w:space="0"/>
                  </w:tcBorders>
                  <w:noWrap w:val="0"/>
                  <w:vAlign w:val="center"/>
                </w:tcPr>
                <w:p w14:paraId="5832F1BC">
                  <w:pPr>
                    <w:jc w:val="center"/>
                    <w:rPr>
                      <w:rFonts w:hint="default" w:eastAsia="宋体"/>
                      <w:color w:val="auto"/>
                      <w:szCs w:val="21"/>
                      <w:lang w:val="en-US" w:eastAsia="zh-CN"/>
                    </w:rPr>
                  </w:pPr>
                  <w:r>
                    <w:rPr>
                      <w:rFonts w:hint="eastAsia"/>
                      <w:color w:val="auto"/>
                      <w:szCs w:val="21"/>
                      <w:lang w:val="en-US" w:eastAsia="zh-CN"/>
                    </w:rPr>
                    <w:t>主体工程/辅助工程</w:t>
                  </w:r>
                </w:p>
              </w:tc>
              <w:tc>
                <w:tcPr>
                  <w:tcW w:w="1069" w:type="dxa"/>
                  <w:tcBorders>
                    <w:top w:val="single" w:color="auto" w:sz="4" w:space="0"/>
                    <w:left w:val="single" w:color="auto" w:sz="4" w:space="0"/>
                    <w:bottom w:val="single" w:color="auto" w:sz="4" w:space="0"/>
                    <w:right w:val="single" w:color="auto" w:sz="4" w:space="0"/>
                  </w:tcBorders>
                  <w:noWrap w:val="0"/>
                  <w:vAlign w:val="center"/>
                </w:tcPr>
                <w:p w14:paraId="190909E3">
                  <w:pPr>
                    <w:jc w:val="center"/>
                    <w:rPr>
                      <w:color w:val="auto"/>
                      <w:szCs w:val="21"/>
                      <w:u w:val="none"/>
                    </w:rPr>
                  </w:pPr>
                  <w:r>
                    <w:rPr>
                      <w:rFonts w:hint="eastAsia"/>
                      <w:color w:val="auto"/>
                      <w:szCs w:val="21"/>
                      <w:u w:val="none"/>
                      <w:lang w:val="en-US" w:eastAsia="zh-CN"/>
                    </w:rPr>
                    <w:t>废包装袋/桶</w:t>
                  </w:r>
                </w:p>
              </w:tc>
              <w:tc>
                <w:tcPr>
                  <w:tcW w:w="900" w:type="dxa"/>
                  <w:tcBorders>
                    <w:top w:val="single" w:color="auto" w:sz="4" w:space="0"/>
                    <w:left w:val="single" w:color="auto" w:sz="4" w:space="0"/>
                    <w:right w:val="single" w:color="auto" w:sz="4" w:space="0"/>
                  </w:tcBorders>
                  <w:noWrap w:val="0"/>
                  <w:vAlign w:val="center"/>
                </w:tcPr>
                <w:p w14:paraId="225218D2">
                  <w:pPr>
                    <w:jc w:val="center"/>
                    <w:rPr>
                      <w:rFonts w:hint="eastAsia" w:eastAsia="宋体"/>
                      <w:color w:val="auto"/>
                      <w:szCs w:val="21"/>
                      <w:u w:val="none"/>
                      <w:lang w:val="en-US" w:eastAsia="zh-CN"/>
                    </w:rPr>
                  </w:pPr>
                  <w:r>
                    <w:rPr>
                      <w:rFonts w:hint="eastAsia"/>
                      <w:color w:val="auto"/>
                      <w:szCs w:val="21"/>
                      <w:u w:val="none"/>
                      <w:lang w:val="en-US" w:eastAsia="zh-CN"/>
                    </w:rPr>
                    <w:t>待鉴定</w:t>
                  </w:r>
                </w:p>
              </w:tc>
              <w:tc>
                <w:tcPr>
                  <w:tcW w:w="1096" w:type="dxa"/>
                  <w:tcBorders>
                    <w:top w:val="single" w:color="auto" w:sz="4" w:space="0"/>
                    <w:left w:val="single" w:color="auto" w:sz="4" w:space="0"/>
                    <w:bottom w:val="single" w:color="auto" w:sz="4" w:space="0"/>
                    <w:right w:val="single" w:color="auto" w:sz="4" w:space="0"/>
                  </w:tcBorders>
                  <w:noWrap w:val="0"/>
                  <w:vAlign w:val="center"/>
                </w:tcPr>
                <w:p w14:paraId="5668978D">
                  <w:pPr>
                    <w:jc w:val="center"/>
                    <w:rPr>
                      <w:color w:val="auto"/>
                      <w:szCs w:val="21"/>
                      <w:u w:val="none"/>
                    </w:rPr>
                  </w:pPr>
                  <w:r>
                    <w:rPr>
                      <w:rFonts w:hint="eastAsia"/>
                      <w:color w:val="auto"/>
                      <w:szCs w:val="21"/>
                      <w:u w:val="none"/>
                    </w:rPr>
                    <w:t>类比法</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17191639">
                  <w:pPr>
                    <w:jc w:val="center"/>
                    <w:rPr>
                      <w:rFonts w:hint="default"/>
                      <w:color w:val="auto"/>
                      <w:szCs w:val="21"/>
                      <w:u w:val="none"/>
                      <w:lang w:val="en-US"/>
                    </w:rPr>
                  </w:pPr>
                  <w:r>
                    <w:rPr>
                      <w:rFonts w:hint="eastAsia" w:eastAsia="宋体"/>
                      <w:color w:val="auto"/>
                      <w:szCs w:val="21"/>
                      <w:u w:val="none"/>
                      <w:lang w:val="en-US" w:eastAsia="zh-CN"/>
                    </w:rPr>
                    <w:t>2.0</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22271E68">
                  <w:pPr>
                    <w:jc w:val="center"/>
                    <w:rPr>
                      <w:color w:val="auto"/>
                      <w:szCs w:val="21"/>
                      <w:u w:val="none"/>
                    </w:rPr>
                  </w:pPr>
                  <w:r>
                    <w:rPr>
                      <w:color w:val="auto"/>
                      <w:szCs w:val="21"/>
                      <w:u w:val="none"/>
                    </w:rPr>
                    <w:t>委托处置</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3214FAA">
                  <w:pPr>
                    <w:jc w:val="center"/>
                    <w:rPr>
                      <w:rFonts w:hint="default"/>
                      <w:color w:val="auto"/>
                      <w:szCs w:val="21"/>
                      <w:u w:val="none"/>
                      <w:lang w:val="en-US"/>
                    </w:rPr>
                  </w:pPr>
                  <w:r>
                    <w:rPr>
                      <w:rFonts w:hint="eastAsia" w:eastAsia="宋体"/>
                      <w:color w:val="auto"/>
                      <w:szCs w:val="21"/>
                      <w:u w:val="none"/>
                      <w:lang w:val="en-US" w:eastAsia="zh-CN"/>
                    </w:rPr>
                    <w:t>2.0</w:t>
                  </w:r>
                </w:p>
              </w:tc>
              <w:tc>
                <w:tcPr>
                  <w:tcW w:w="1477" w:type="dxa"/>
                  <w:tcBorders>
                    <w:top w:val="single" w:color="auto" w:sz="4" w:space="0"/>
                    <w:left w:val="single" w:color="auto" w:sz="4" w:space="0"/>
                    <w:right w:val="single" w:color="auto" w:sz="4" w:space="0"/>
                  </w:tcBorders>
                  <w:noWrap w:val="0"/>
                  <w:vAlign w:val="center"/>
                </w:tcPr>
                <w:p w14:paraId="0E10E018">
                  <w:pPr>
                    <w:jc w:val="center"/>
                    <w:rPr>
                      <w:rFonts w:hint="default" w:eastAsia="宋体"/>
                      <w:color w:val="auto"/>
                      <w:szCs w:val="21"/>
                      <w:u w:val="none"/>
                      <w:lang w:val="en-US" w:eastAsia="zh-CN"/>
                    </w:rPr>
                  </w:pPr>
                  <w:r>
                    <w:rPr>
                      <w:rFonts w:hint="eastAsia"/>
                      <w:color w:val="auto"/>
                      <w:szCs w:val="21"/>
                      <w:u w:val="none"/>
                      <w:lang w:val="en-US" w:eastAsia="zh-CN"/>
                    </w:rPr>
                    <w:t>经鉴定属于危险废物的，委托有相关资质单位处置；经鉴定属于一般固废的，外售一般固废单位处置。</w:t>
                  </w:r>
                </w:p>
              </w:tc>
            </w:tr>
          </w:tbl>
          <w:p w14:paraId="5A123965">
            <w:pPr>
              <w:pStyle w:val="6"/>
              <w:spacing w:line="500" w:lineRule="exact"/>
              <w:ind w:firstLine="0" w:firstLineChars="0"/>
              <w:rPr>
                <w:b/>
                <w:bCs/>
                <w:color w:val="auto"/>
                <w:sz w:val="24"/>
              </w:rPr>
            </w:pPr>
            <w:r>
              <w:rPr>
                <w:b/>
                <w:bCs/>
                <w:color w:val="auto"/>
                <w:sz w:val="24"/>
              </w:rPr>
              <w:t>4.2</w:t>
            </w:r>
            <w:r>
              <w:rPr>
                <w:rFonts w:hint="eastAsia"/>
                <w:b/>
                <w:bCs/>
                <w:color w:val="auto"/>
                <w:sz w:val="24"/>
              </w:rPr>
              <w:t>固废管理措施</w:t>
            </w:r>
          </w:p>
          <w:p w14:paraId="01970904">
            <w:pPr>
              <w:pStyle w:val="6"/>
              <w:spacing w:line="500" w:lineRule="exact"/>
              <w:ind w:firstLine="480"/>
              <w:rPr>
                <w:rFonts w:hint="eastAsia"/>
                <w:color w:val="auto"/>
                <w:kern w:val="0"/>
                <w:sz w:val="24"/>
              </w:rPr>
            </w:pPr>
            <w:r>
              <w:rPr>
                <w:rFonts w:hint="eastAsia"/>
                <w:color w:val="auto"/>
                <w:kern w:val="0"/>
                <w:sz w:val="24"/>
              </w:rPr>
              <w:t>⑴危险废物</w:t>
            </w:r>
          </w:p>
          <w:p w14:paraId="2AE381EE">
            <w:pPr>
              <w:pStyle w:val="6"/>
              <w:spacing w:line="500" w:lineRule="exact"/>
              <w:ind w:firstLine="480"/>
              <w:rPr>
                <w:rFonts w:hint="eastAsia" w:eastAsia="宋体"/>
                <w:color w:val="auto"/>
                <w:kern w:val="0"/>
                <w:sz w:val="24"/>
                <w:lang w:eastAsia="zh-CN"/>
              </w:rPr>
            </w:pPr>
            <w:r>
              <w:rPr>
                <w:rFonts w:hint="eastAsia"/>
                <w:color w:val="auto"/>
                <w:kern w:val="0"/>
                <w:sz w:val="24"/>
              </w:rPr>
              <w:t>建设单位</w:t>
            </w:r>
            <w:r>
              <w:rPr>
                <w:rFonts w:hint="eastAsia"/>
                <w:color w:val="auto"/>
                <w:kern w:val="0"/>
                <w:sz w:val="24"/>
                <w:lang w:val="en-US" w:eastAsia="zh-CN"/>
              </w:rPr>
              <w:t>拟在调度中心内隔间建设一间2</w:t>
            </w:r>
            <w:r>
              <w:rPr>
                <w:rFonts w:hint="eastAsia"/>
                <w:color w:val="auto"/>
                <w:kern w:val="0"/>
                <w:sz w:val="24"/>
              </w:rPr>
              <w:t>m</w:t>
            </w:r>
            <w:r>
              <w:rPr>
                <w:rFonts w:hint="eastAsia"/>
                <w:color w:val="auto"/>
                <w:kern w:val="0"/>
                <w:sz w:val="24"/>
                <w:vertAlign w:val="superscript"/>
              </w:rPr>
              <w:t>2</w:t>
            </w:r>
            <w:r>
              <w:rPr>
                <w:rFonts w:hint="eastAsia"/>
                <w:color w:val="auto"/>
                <w:kern w:val="0"/>
                <w:sz w:val="24"/>
                <w:vertAlign w:val="baseline"/>
                <w:lang w:val="en-US" w:eastAsia="zh-CN"/>
              </w:rPr>
              <w:t>危险废物暂存间</w:t>
            </w:r>
            <w:r>
              <w:rPr>
                <w:rFonts w:hint="eastAsia"/>
                <w:color w:val="auto"/>
                <w:kern w:val="0"/>
                <w:sz w:val="24"/>
              </w:rPr>
              <w:t>用于暂存项目</w:t>
            </w:r>
            <w:r>
              <w:rPr>
                <w:rFonts w:hint="eastAsia"/>
                <w:color w:val="auto"/>
                <w:kern w:val="0"/>
                <w:sz w:val="24"/>
                <w:lang w:val="en-US" w:eastAsia="zh-CN"/>
              </w:rPr>
              <w:t>可能</w:t>
            </w:r>
            <w:r>
              <w:rPr>
                <w:rFonts w:hint="eastAsia"/>
                <w:color w:val="auto"/>
                <w:kern w:val="0"/>
                <w:sz w:val="24"/>
              </w:rPr>
              <w:t>产生的危险废物</w:t>
            </w:r>
            <w:r>
              <w:rPr>
                <w:rFonts w:hint="eastAsia"/>
                <w:color w:val="auto"/>
                <w:kern w:val="0"/>
                <w:sz w:val="24"/>
                <w:lang w:eastAsia="zh-CN"/>
              </w:rPr>
              <w:t>。</w:t>
            </w:r>
          </w:p>
          <w:p w14:paraId="478F9568">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color w:val="auto"/>
                <w:kern w:val="0"/>
                <w:sz w:val="24"/>
              </w:rPr>
              <w:t>⑵</w:t>
            </w:r>
            <w:r>
              <w:rPr>
                <w:rFonts w:hint="eastAsia" w:ascii="Times New Roman" w:hAnsi="Times New Roman" w:eastAsia="宋体" w:cs="Times New Roman"/>
                <w:color w:val="auto"/>
                <w:kern w:val="0"/>
                <w:sz w:val="24"/>
                <w:lang w:val="en-US" w:eastAsia="zh-CN"/>
              </w:rPr>
              <w:t>生活垃圾</w:t>
            </w:r>
          </w:p>
          <w:p w14:paraId="0B8B05EF">
            <w:pPr>
              <w:pStyle w:val="6"/>
              <w:spacing w:line="500" w:lineRule="exact"/>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采用垃圾桶收集，交由市政环卫部门清运处理。</w:t>
            </w:r>
          </w:p>
          <w:p w14:paraId="3A9772DF">
            <w:pPr>
              <w:pStyle w:val="6"/>
              <w:spacing w:line="500" w:lineRule="exact"/>
              <w:ind w:left="0" w:leftChars="0" w:firstLine="0" w:firstLineChars="0"/>
              <w:rPr>
                <w:rFonts w:hint="default" w:eastAsia="宋体"/>
                <w:b/>
                <w:bCs/>
                <w:color w:val="auto"/>
                <w:kern w:val="0"/>
                <w:sz w:val="24"/>
                <w:lang w:val="en-US" w:eastAsia="zh-CN"/>
              </w:rPr>
            </w:pPr>
            <w:r>
              <w:rPr>
                <w:rFonts w:hint="eastAsia"/>
                <w:b/>
                <w:bCs/>
                <w:color w:val="auto"/>
                <w:kern w:val="0"/>
                <w:sz w:val="24"/>
                <w:lang w:val="en-US" w:eastAsia="zh-CN"/>
              </w:rPr>
              <w:t>4.3环境管理要求</w:t>
            </w:r>
          </w:p>
          <w:p w14:paraId="4AD121AC">
            <w:pPr>
              <w:pStyle w:val="6"/>
              <w:spacing w:line="500" w:lineRule="exact"/>
              <w:ind w:firstLine="480"/>
              <w:rPr>
                <w:rFonts w:hint="default" w:eastAsia="宋体"/>
                <w:color w:val="auto"/>
                <w:kern w:val="0"/>
                <w:sz w:val="24"/>
                <w:lang w:val="en-US" w:eastAsia="zh-CN"/>
              </w:rPr>
            </w:pPr>
            <w:r>
              <w:rPr>
                <w:rFonts w:hint="eastAsia"/>
                <w:color w:val="auto"/>
                <w:kern w:val="0"/>
                <w:sz w:val="24"/>
              </w:rPr>
              <w:t>⑴</w:t>
            </w:r>
            <w:r>
              <w:rPr>
                <w:rFonts w:hint="eastAsia"/>
                <w:color w:val="auto"/>
                <w:kern w:val="0"/>
                <w:sz w:val="24"/>
                <w:lang w:val="en-US" w:eastAsia="zh-CN"/>
              </w:rPr>
              <w:t>一般固废</w:t>
            </w:r>
          </w:p>
          <w:p w14:paraId="54D3B877">
            <w:pPr>
              <w:pStyle w:val="6"/>
              <w:spacing w:line="500" w:lineRule="exact"/>
              <w:ind w:firstLine="480"/>
              <w:rPr>
                <w:rFonts w:hint="eastAsia"/>
                <w:color w:val="auto"/>
                <w:kern w:val="0"/>
                <w:sz w:val="24"/>
                <w:lang w:val="en-US" w:eastAsia="zh-CN"/>
              </w:rPr>
            </w:pPr>
            <w:r>
              <w:rPr>
                <w:rFonts w:hint="eastAsia"/>
                <w:color w:val="auto"/>
                <w:kern w:val="0"/>
                <w:sz w:val="24"/>
                <w:lang w:val="en-US" w:eastAsia="zh-CN"/>
              </w:rPr>
              <w:t>经鉴定项目废包装袋/桶属于一般固废的，</w:t>
            </w:r>
            <w:r>
              <w:rPr>
                <w:rFonts w:hint="eastAsia"/>
                <w:color w:val="auto"/>
                <w:kern w:val="0"/>
                <w:sz w:val="24"/>
              </w:rPr>
              <w:t>项目应按照《中华人民共和国固体废物污染环境防治法》（2020年4月29日修订版），建立健全工业固体废物产生、收集、贮存、运输、利用、处置全过程的污染环境防治责任制度，建立工业固体废物管理台账，如实记录产生工业固体废物的种类、数量、流向、贮存、利用、处置等信息，实现工业固体废物可追溯、可查询。应当对受托方的主体资格和技术能力进行核实，依法签订书面合同，在合同中约定污染防治要求。应当向所在地生态环境主管部门提供工业固体废物的种类、数量、流向、贮存、利用、处置等有关资料，以及减少工业固体废物产生、促进综合利用的具体措施，并执行排污许可管理制度的相关规定。</w:t>
            </w:r>
          </w:p>
          <w:p w14:paraId="761518A6">
            <w:pPr>
              <w:pStyle w:val="6"/>
              <w:spacing w:line="500" w:lineRule="exact"/>
              <w:ind w:firstLine="480"/>
              <w:rPr>
                <w:rFonts w:hint="eastAsia"/>
                <w:color w:val="auto"/>
                <w:kern w:val="0"/>
                <w:sz w:val="24"/>
              </w:rPr>
            </w:pPr>
            <w:r>
              <w:rPr>
                <w:rFonts w:hint="eastAsia"/>
                <w:color w:val="auto"/>
                <w:kern w:val="0"/>
                <w:sz w:val="24"/>
                <w:lang w:val="en-US" w:eastAsia="zh-CN"/>
              </w:rPr>
              <w:t>根据</w:t>
            </w:r>
            <w:r>
              <w:rPr>
                <w:rFonts w:hint="eastAsia"/>
                <w:color w:val="auto"/>
                <w:kern w:val="0"/>
                <w:sz w:val="24"/>
              </w:rPr>
              <w:t>《一般工业固体废物管理台账制定指南（试行）》，</w:t>
            </w:r>
            <w:r>
              <w:rPr>
                <w:rFonts w:hint="eastAsia"/>
                <w:color w:val="auto"/>
                <w:kern w:val="0"/>
                <w:sz w:val="24"/>
                <w:lang w:val="en-US" w:eastAsia="zh-CN"/>
              </w:rPr>
              <w:t>一般固废</w:t>
            </w:r>
            <w:r>
              <w:rPr>
                <w:rFonts w:hint="eastAsia"/>
                <w:color w:val="auto"/>
                <w:kern w:val="0"/>
                <w:sz w:val="24"/>
              </w:rPr>
              <w:t>必填表单格式如下。</w:t>
            </w:r>
          </w:p>
          <w:p w14:paraId="3CC3CAA0">
            <w:pPr>
              <w:pStyle w:val="6"/>
              <w:spacing w:line="500" w:lineRule="exact"/>
              <w:ind w:firstLine="482"/>
              <w:jc w:val="center"/>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表4-</w:t>
            </w:r>
            <w:r>
              <w:rPr>
                <w:rFonts w:hint="eastAsia" w:cs="Times New Roman"/>
                <w:b/>
                <w:bCs/>
                <w:color w:val="auto"/>
                <w:kern w:val="0"/>
                <w:sz w:val="24"/>
                <w:lang w:val="en-US" w:eastAsia="zh-CN"/>
              </w:rPr>
              <w:t>17</w:t>
            </w:r>
            <w:r>
              <w:rPr>
                <w:rFonts w:hint="eastAsia" w:ascii="Times New Roman" w:hAnsi="Times New Roman" w:eastAsia="宋体" w:cs="Times New Roman"/>
                <w:b/>
                <w:bCs/>
                <w:color w:val="auto"/>
                <w:kern w:val="0"/>
                <w:sz w:val="24"/>
                <w:lang w:val="en-US" w:eastAsia="zh-CN"/>
              </w:rPr>
              <w:t xml:space="preserve">  一般工业固体废物产生清单</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939"/>
              <w:gridCol w:w="939"/>
              <w:gridCol w:w="939"/>
              <w:gridCol w:w="939"/>
              <w:gridCol w:w="939"/>
              <w:gridCol w:w="939"/>
              <w:gridCol w:w="940"/>
              <w:gridCol w:w="940"/>
            </w:tblGrid>
            <w:tr w14:paraId="5573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938" w:type="dxa"/>
                  <w:noWrap w:val="0"/>
                  <w:vAlign w:val="center"/>
                </w:tcPr>
                <w:p w14:paraId="13E4D72A">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序号</w:t>
                  </w:r>
                </w:p>
              </w:tc>
              <w:tc>
                <w:tcPr>
                  <w:tcW w:w="939" w:type="dxa"/>
                  <w:noWrap w:val="0"/>
                  <w:vAlign w:val="center"/>
                </w:tcPr>
                <w:p w14:paraId="4A251A2F">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代码</w:t>
                  </w:r>
                </w:p>
              </w:tc>
              <w:tc>
                <w:tcPr>
                  <w:tcW w:w="939" w:type="dxa"/>
                  <w:noWrap w:val="0"/>
                  <w:vAlign w:val="center"/>
                </w:tcPr>
                <w:p w14:paraId="48C5A83A">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名称</w:t>
                  </w:r>
                </w:p>
              </w:tc>
              <w:tc>
                <w:tcPr>
                  <w:tcW w:w="939" w:type="dxa"/>
                  <w:noWrap w:val="0"/>
                  <w:vAlign w:val="center"/>
                </w:tcPr>
                <w:p w14:paraId="7851F335">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类别</w:t>
                  </w:r>
                </w:p>
              </w:tc>
              <w:tc>
                <w:tcPr>
                  <w:tcW w:w="939" w:type="dxa"/>
                  <w:noWrap w:val="0"/>
                  <w:vAlign w:val="center"/>
                </w:tcPr>
                <w:p w14:paraId="64AE3CC1">
                  <w:pPr>
                    <w:adjustRightInd w:val="0"/>
                    <w:snapToGrid w:val="0"/>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产生环节</w:t>
                  </w:r>
                </w:p>
              </w:tc>
              <w:tc>
                <w:tcPr>
                  <w:tcW w:w="939" w:type="dxa"/>
                  <w:noWrap w:val="0"/>
                  <w:vAlign w:val="center"/>
                </w:tcPr>
                <w:p w14:paraId="4DA87785">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物理性状</w:t>
                  </w:r>
                </w:p>
              </w:tc>
              <w:tc>
                <w:tcPr>
                  <w:tcW w:w="939" w:type="dxa"/>
                  <w:noWrap w:val="0"/>
                  <w:vAlign w:val="center"/>
                </w:tcPr>
                <w:p w14:paraId="7342DCC3">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主要成分</w:t>
                  </w:r>
                </w:p>
              </w:tc>
              <w:tc>
                <w:tcPr>
                  <w:tcW w:w="940" w:type="dxa"/>
                  <w:noWrap w:val="0"/>
                  <w:vAlign w:val="center"/>
                </w:tcPr>
                <w:p w14:paraId="357245B3">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污染特性</w:t>
                  </w:r>
                </w:p>
              </w:tc>
              <w:tc>
                <w:tcPr>
                  <w:tcW w:w="940" w:type="dxa"/>
                  <w:noWrap w:val="0"/>
                  <w:vAlign w:val="center"/>
                </w:tcPr>
                <w:p w14:paraId="43AC1C6F">
                  <w:pPr>
                    <w:adjustRightInd w:val="0"/>
                    <w:snapToGrid w:val="0"/>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产废系数/年产生量</w:t>
                  </w:r>
                </w:p>
              </w:tc>
            </w:tr>
            <w:tr w14:paraId="097B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noWrap w:val="0"/>
                  <w:vAlign w:val="center"/>
                </w:tcPr>
                <w:p w14:paraId="34AC3187">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1</w:t>
                  </w:r>
                </w:p>
              </w:tc>
              <w:tc>
                <w:tcPr>
                  <w:tcW w:w="939" w:type="dxa"/>
                  <w:noWrap w:val="0"/>
                  <w:vAlign w:val="center"/>
                </w:tcPr>
                <w:p w14:paraId="1CC83CF0">
                  <w:pPr>
                    <w:adjustRightInd w:val="0"/>
                    <w:snapToGrid w:val="0"/>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SW59</w:t>
                  </w:r>
                </w:p>
              </w:tc>
              <w:tc>
                <w:tcPr>
                  <w:tcW w:w="939" w:type="dxa"/>
                  <w:noWrap w:val="0"/>
                  <w:vAlign w:val="center"/>
                </w:tcPr>
                <w:p w14:paraId="463005C4">
                  <w:pPr>
                    <w:adjustRightInd w:val="0"/>
                    <w:snapToGrid w:val="0"/>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废包装袋/桶</w:t>
                  </w:r>
                </w:p>
              </w:tc>
              <w:tc>
                <w:tcPr>
                  <w:tcW w:w="939" w:type="dxa"/>
                  <w:noWrap w:val="0"/>
                  <w:vAlign w:val="center"/>
                </w:tcPr>
                <w:p w14:paraId="731C9102">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第Ⅰ类一般工业固体废物</w:t>
                  </w:r>
                </w:p>
              </w:tc>
              <w:tc>
                <w:tcPr>
                  <w:tcW w:w="939" w:type="dxa"/>
                  <w:noWrap w:val="0"/>
                  <w:vAlign w:val="center"/>
                </w:tcPr>
                <w:p w14:paraId="07415F24">
                  <w:pPr>
                    <w:adjustRightInd w:val="0"/>
                    <w:snapToGrid w:val="0"/>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货物卸装</w:t>
                  </w:r>
                </w:p>
              </w:tc>
              <w:tc>
                <w:tcPr>
                  <w:tcW w:w="939" w:type="dxa"/>
                  <w:noWrap w:val="0"/>
                  <w:vAlign w:val="center"/>
                </w:tcPr>
                <w:p w14:paraId="27890875">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固态</w:t>
                  </w:r>
                </w:p>
              </w:tc>
              <w:tc>
                <w:tcPr>
                  <w:tcW w:w="939" w:type="dxa"/>
                  <w:noWrap w:val="0"/>
                  <w:vAlign w:val="center"/>
                </w:tcPr>
                <w:p w14:paraId="04495CBD">
                  <w:pPr>
                    <w:adjustRightInd w:val="0"/>
                    <w:snapToGrid w:val="0"/>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废包装袋/桶</w:t>
                  </w:r>
                </w:p>
              </w:tc>
              <w:tc>
                <w:tcPr>
                  <w:tcW w:w="940" w:type="dxa"/>
                  <w:noWrap w:val="0"/>
                  <w:vAlign w:val="center"/>
                </w:tcPr>
                <w:p w14:paraId="7ACC5CF8">
                  <w:pPr>
                    <w:adjustRightInd w:val="0"/>
                    <w:snapToGrid w:val="0"/>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随意丢弃造成周边环境污染</w:t>
                  </w:r>
                </w:p>
              </w:tc>
              <w:tc>
                <w:tcPr>
                  <w:tcW w:w="940" w:type="dxa"/>
                  <w:noWrap w:val="0"/>
                  <w:vAlign w:val="center"/>
                </w:tcPr>
                <w:p w14:paraId="2FF6F56B">
                  <w:pPr>
                    <w:adjustRightInd w:val="0"/>
                    <w:snapToGrid w:val="0"/>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2t/a</w:t>
                  </w:r>
                </w:p>
              </w:tc>
            </w:tr>
          </w:tbl>
          <w:p w14:paraId="07BBFD27">
            <w:pPr>
              <w:pStyle w:val="6"/>
              <w:spacing w:line="500" w:lineRule="exact"/>
              <w:ind w:firstLine="482"/>
              <w:jc w:val="center"/>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表4-</w:t>
            </w:r>
            <w:r>
              <w:rPr>
                <w:rFonts w:hint="eastAsia" w:cs="Times New Roman"/>
                <w:b/>
                <w:bCs/>
                <w:color w:val="auto"/>
                <w:kern w:val="0"/>
                <w:sz w:val="24"/>
                <w:lang w:val="en-US" w:eastAsia="zh-CN"/>
              </w:rPr>
              <w:t>18</w:t>
            </w:r>
            <w:r>
              <w:rPr>
                <w:rFonts w:hint="eastAsia" w:ascii="Times New Roman" w:hAnsi="Times New Roman" w:eastAsia="宋体" w:cs="Times New Roman"/>
                <w:b/>
                <w:bCs/>
                <w:color w:val="auto"/>
                <w:kern w:val="0"/>
                <w:sz w:val="24"/>
                <w:lang w:val="en-US" w:eastAsia="zh-CN"/>
              </w:rPr>
              <w:t xml:space="preserve">  一般工业固体废物流向汇总表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580"/>
              <w:gridCol w:w="650"/>
              <w:gridCol w:w="581"/>
              <w:gridCol w:w="581"/>
              <w:gridCol w:w="650"/>
              <w:gridCol w:w="581"/>
              <w:gridCol w:w="581"/>
              <w:gridCol w:w="581"/>
              <w:gridCol w:w="581"/>
              <w:gridCol w:w="582"/>
              <w:gridCol w:w="582"/>
              <w:gridCol w:w="582"/>
              <w:gridCol w:w="582"/>
            </w:tblGrid>
            <w:tr w14:paraId="59D8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67D698BF">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代码</w:t>
                  </w:r>
                </w:p>
              </w:tc>
              <w:tc>
                <w:tcPr>
                  <w:tcW w:w="580" w:type="dxa"/>
                  <w:noWrap w:val="0"/>
                  <w:vAlign w:val="center"/>
                </w:tcPr>
                <w:p w14:paraId="080D60C0">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名称</w:t>
                  </w:r>
                </w:p>
              </w:tc>
              <w:tc>
                <w:tcPr>
                  <w:tcW w:w="650" w:type="dxa"/>
                  <w:noWrap w:val="0"/>
                  <w:vAlign w:val="center"/>
                </w:tcPr>
                <w:p w14:paraId="7A7FD249">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类别</w:t>
                  </w:r>
                </w:p>
              </w:tc>
              <w:tc>
                <w:tcPr>
                  <w:tcW w:w="581" w:type="dxa"/>
                  <w:noWrap w:val="0"/>
                  <w:vAlign w:val="center"/>
                </w:tcPr>
                <w:p w14:paraId="0F1B11A3">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产生量</w:t>
                  </w:r>
                </w:p>
              </w:tc>
              <w:tc>
                <w:tcPr>
                  <w:tcW w:w="581" w:type="dxa"/>
                  <w:noWrap w:val="0"/>
                  <w:vAlign w:val="center"/>
                </w:tcPr>
                <w:p w14:paraId="0044D449">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贮存量</w:t>
                  </w:r>
                </w:p>
              </w:tc>
              <w:tc>
                <w:tcPr>
                  <w:tcW w:w="650" w:type="dxa"/>
                  <w:noWrap w:val="0"/>
                  <w:vAlign w:val="center"/>
                </w:tcPr>
                <w:p w14:paraId="06D4B20E">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累计贮存量</w:t>
                  </w:r>
                </w:p>
              </w:tc>
              <w:tc>
                <w:tcPr>
                  <w:tcW w:w="581" w:type="dxa"/>
                  <w:noWrap w:val="0"/>
                  <w:vAlign w:val="center"/>
                </w:tcPr>
                <w:p w14:paraId="33E83573">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自行利用方式</w:t>
                  </w:r>
                </w:p>
              </w:tc>
              <w:tc>
                <w:tcPr>
                  <w:tcW w:w="581" w:type="dxa"/>
                  <w:noWrap w:val="0"/>
                  <w:vAlign w:val="center"/>
                </w:tcPr>
                <w:p w14:paraId="0A3CD847">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自行利用数量</w:t>
                  </w:r>
                </w:p>
              </w:tc>
              <w:tc>
                <w:tcPr>
                  <w:tcW w:w="581" w:type="dxa"/>
                  <w:noWrap w:val="0"/>
                  <w:vAlign w:val="center"/>
                </w:tcPr>
                <w:p w14:paraId="0FFE5A49">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委托利用方式</w:t>
                  </w:r>
                </w:p>
              </w:tc>
              <w:tc>
                <w:tcPr>
                  <w:tcW w:w="581" w:type="dxa"/>
                  <w:noWrap w:val="0"/>
                  <w:vAlign w:val="center"/>
                </w:tcPr>
                <w:p w14:paraId="3ED747FD">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委托利用数量</w:t>
                  </w:r>
                </w:p>
              </w:tc>
              <w:tc>
                <w:tcPr>
                  <w:tcW w:w="582" w:type="dxa"/>
                  <w:noWrap w:val="0"/>
                  <w:vAlign w:val="center"/>
                </w:tcPr>
                <w:p w14:paraId="2E8CCD7A">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自行处置方式</w:t>
                  </w:r>
                </w:p>
              </w:tc>
              <w:tc>
                <w:tcPr>
                  <w:tcW w:w="582" w:type="dxa"/>
                  <w:noWrap w:val="0"/>
                  <w:vAlign w:val="center"/>
                </w:tcPr>
                <w:p w14:paraId="6F74E932">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自行处置数量</w:t>
                  </w:r>
                </w:p>
              </w:tc>
              <w:tc>
                <w:tcPr>
                  <w:tcW w:w="582" w:type="dxa"/>
                  <w:noWrap w:val="0"/>
                  <w:vAlign w:val="center"/>
                </w:tcPr>
                <w:p w14:paraId="766027D7">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委托处置方式</w:t>
                  </w:r>
                </w:p>
              </w:tc>
              <w:tc>
                <w:tcPr>
                  <w:tcW w:w="582" w:type="dxa"/>
                  <w:noWrap w:val="0"/>
                  <w:vAlign w:val="center"/>
                </w:tcPr>
                <w:p w14:paraId="4867F9DD">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委托处置数量</w:t>
                  </w:r>
                </w:p>
              </w:tc>
            </w:tr>
            <w:tr w14:paraId="152B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406ED7B5">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SW59</w:t>
                  </w:r>
                </w:p>
              </w:tc>
              <w:tc>
                <w:tcPr>
                  <w:tcW w:w="580" w:type="dxa"/>
                  <w:noWrap w:val="0"/>
                  <w:vAlign w:val="center"/>
                </w:tcPr>
                <w:p w14:paraId="4A8C1CC2">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废包装袋/桶</w:t>
                  </w:r>
                </w:p>
              </w:tc>
              <w:tc>
                <w:tcPr>
                  <w:tcW w:w="650" w:type="dxa"/>
                  <w:noWrap w:val="0"/>
                  <w:vAlign w:val="center"/>
                </w:tcPr>
                <w:p w14:paraId="265C9E69">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第Ⅰ类一般工业固体废物</w:t>
                  </w:r>
                </w:p>
              </w:tc>
              <w:tc>
                <w:tcPr>
                  <w:tcW w:w="1162" w:type="dxa"/>
                  <w:gridSpan w:val="2"/>
                  <w:noWrap w:val="0"/>
                  <w:vAlign w:val="center"/>
                </w:tcPr>
                <w:p w14:paraId="10B2D0B1">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运营期实际发生数量</w:t>
                  </w:r>
                </w:p>
              </w:tc>
              <w:tc>
                <w:tcPr>
                  <w:tcW w:w="650" w:type="dxa"/>
                  <w:noWrap w:val="0"/>
                  <w:vAlign w:val="center"/>
                </w:tcPr>
                <w:p w14:paraId="7C00C38F">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w:t>
                  </w:r>
                </w:p>
              </w:tc>
              <w:tc>
                <w:tcPr>
                  <w:tcW w:w="581" w:type="dxa"/>
                  <w:noWrap w:val="0"/>
                  <w:vAlign w:val="center"/>
                </w:tcPr>
                <w:p w14:paraId="0028D2DD">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w:t>
                  </w:r>
                </w:p>
              </w:tc>
              <w:tc>
                <w:tcPr>
                  <w:tcW w:w="581" w:type="dxa"/>
                  <w:noWrap w:val="0"/>
                  <w:vAlign w:val="center"/>
                </w:tcPr>
                <w:p w14:paraId="51364FDE">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w:t>
                  </w:r>
                </w:p>
              </w:tc>
              <w:tc>
                <w:tcPr>
                  <w:tcW w:w="581" w:type="dxa"/>
                  <w:noWrap w:val="0"/>
                  <w:vAlign w:val="center"/>
                </w:tcPr>
                <w:p w14:paraId="2A632B57">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w:t>
                  </w:r>
                </w:p>
              </w:tc>
              <w:tc>
                <w:tcPr>
                  <w:tcW w:w="581" w:type="dxa"/>
                  <w:noWrap w:val="0"/>
                  <w:vAlign w:val="center"/>
                </w:tcPr>
                <w:p w14:paraId="254F3F19">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w:t>
                  </w:r>
                </w:p>
              </w:tc>
              <w:tc>
                <w:tcPr>
                  <w:tcW w:w="582" w:type="dxa"/>
                  <w:noWrap w:val="0"/>
                  <w:vAlign w:val="center"/>
                </w:tcPr>
                <w:p w14:paraId="376A3F81">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w:t>
                  </w:r>
                </w:p>
              </w:tc>
              <w:tc>
                <w:tcPr>
                  <w:tcW w:w="582" w:type="dxa"/>
                  <w:noWrap w:val="0"/>
                  <w:vAlign w:val="center"/>
                </w:tcPr>
                <w:p w14:paraId="3B0C056F">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w:t>
                  </w:r>
                </w:p>
              </w:tc>
              <w:tc>
                <w:tcPr>
                  <w:tcW w:w="582" w:type="dxa"/>
                  <w:noWrap w:val="0"/>
                  <w:vAlign w:val="center"/>
                </w:tcPr>
                <w:p w14:paraId="61EDEB27">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外售</w:t>
                  </w:r>
                </w:p>
              </w:tc>
              <w:tc>
                <w:tcPr>
                  <w:tcW w:w="582" w:type="dxa"/>
                  <w:noWrap w:val="0"/>
                  <w:vAlign w:val="center"/>
                </w:tcPr>
                <w:p w14:paraId="4340C716">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2t/a</w:t>
                  </w:r>
                </w:p>
              </w:tc>
            </w:tr>
          </w:tbl>
          <w:p w14:paraId="1534D2AE">
            <w:pPr>
              <w:pStyle w:val="6"/>
              <w:spacing w:line="500" w:lineRule="exact"/>
              <w:ind w:firstLine="482"/>
              <w:jc w:val="center"/>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表4-</w:t>
            </w:r>
            <w:r>
              <w:rPr>
                <w:rFonts w:hint="eastAsia" w:cs="Times New Roman"/>
                <w:b/>
                <w:bCs/>
                <w:color w:val="auto"/>
                <w:kern w:val="0"/>
                <w:sz w:val="24"/>
                <w:lang w:val="en-US" w:eastAsia="zh-CN"/>
              </w:rPr>
              <w:t>19</w:t>
            </w:r>
            <w:r>
              <w:rPr>
                <w:rFonts w:hint="eastAsia" w:ascii="Times New Roman" w:hAnsi="Times New Roman" w:eastAsia="宋体" w:cs="Times New Roman"/>
                <w:b/>
                <w:bCs/>
                <w:color w:val="auto"/>
                <w:kern w:val="0"/>
                <w:sz w:val="24"/>
                <w:lang w:val="en-US" w:eastAsia="zh-CN"/>
              </w:rPr>
              <w:t xml:space="preserve">  一般工业固体废物出厂环节记录表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704"/>
              <w:gridCol w:w="1056"/>
              <w:gridCol w:w="920"/>
              <w:gridCol w:w="674"/>
              <w:gridCol w:w="789"/>
              <w:gridCol w:w="956"/>
              <w:gridCol w:w="760"/>
              <w:gridCol w:w="669"/>
              <w:gridCol w:w="1186"/>
            </w:tblGrid>
            <w:tr w14:paraId="6F8C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noWrap w:val="0"/>
                  <w:vAlign w:val="center"/>
                </w:tcPr>
                <w:p w14:paraId="60D61129">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代码</w:t>
                  </w:r>
                </w:p>
              </w:tc>
              <w:tc>
                <w:tcPr>
                  <w:tcW w:w="716" w:type="dxa"/>
                  <w:noWrap w:val="0"/>
                  <w:vAlign w:val="center"/>
                </w:tcPr>
                <w:p w14:paraId="7F6F16D0">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名称</w:t>
                  </w:r>
                </w:p>
              </w:tc>
              <w:tc>
                <w:tcPr>
                  <w:tcW w:w="892" w:type="dxa"/>
                  <w:noWrap w:val="0"/>
                  <w:vAlign w:val="center"/>
                </w:tcPr>
                <w:p w14:paraId="331F4925">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出厂时间</w:t>
                  </w:r>
                </w:p>
              </w:tc>
              <w:tc>
                <w:tcPr>
                  <w:tcW w:w="923" w:type="dxa"/>
                  <w:noWrap w:val="0"/>
                  <w:vAlign w:val="center"/>
                </w:tcPr>
                <w:p w14:paraId="4B8CF995">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出厂数量（单位）</w:t>
                  </w:r>
                </w:p>
              </w:tc>
              <w:tc>
                <w:tcPr>
                  <w:tcW w:w="685" w:type="dxa"/>
                  <w:noWrap w:val="0"/>
                  <w:vAlign w:val="center"/>
                </w:tcPr>
                <w:p w14:paraId="66265958">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出场环节经办人</w:t>
                  </w:r>
                </w:p>
              </w:tc>
              <w:tc>
                <w:tcPr>
                  <w:tcW w:w="805" w:type="dxa"/>
                  <w:noWrap w:val="0"/>
                  <w:vAlign w:val="center"/>
                </w:tcPr>
                <w:p w14:paraId="68096F42">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运输单位</w:t>
                  </w:r>
                </w:p>
              </w:tc>
              <w:tc>
                <w:tcPr>
                  <w:tcW w:w="970" w:type="dxa"/>
                  <w:noWrap w:val="0"/>
                  <w:vAlign w:val="center"/>
                </w:tcPr>
                <w:p w14:paraId="7D563300">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运输信息</w:t>
                  </w:r>
                </w:p>
              </w:tc>
              <w:tc>
                <w:tcPr>
                  <w:tcW w:w="765" w:type="dxa"/>
                  <w:noWrap w:val="0"/>
                  <w:vAlign w:val="center"/>
                </w:tcPr>
                <w:p w14:paraId="44FFA972">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运输方式</w:t>
                  </w:r>
                </w:p>
              </w:tc>
              <w:tc>
                <w:tcPr>
                  <w:tcW w:w="680" w:type="dxa"/>
                  <w:noWrap w:val="0"/>
                  <w:vAlign w:val="center"/>
                </w:tcPr>
                <w:p w14:paraId="6CC86FC6">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接收单位</w:t>
                  </w:r>
                </w:p>
              </w:tc>
              <w:tc>
                <w:tcPr>
                  <w:tcW w:w="1210" w:type="dxa"/>
                  <w:noWrap w:val="0"/>
                  <w:vAlign w:val="center"/>
                </w:tcPr>
                <w:p w14:paraId="55EA0BDA">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流向类型</w:t>
                  </w:r>
                </w:p>
              </w:tc>
            </w:tr>
            <w:tr w14:paraId="7C3D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noWrap w:val="0"/>
                  <w:vAlign w:val="center"/>
                </w:tcPr>
                <w:p w14:paraId="2401D4B0">
                  <w:pPr>
                    <w:adjustRightInd w:val="0"/>
                    <w:snapToGrid w:val="0"/>
                    <w:spacing w:line="240" w:lineRule="auto"/>
                    <w:jc w:val="center"/>
                    <w:rPr>
                      <w:rFonts w:hint="eastAsia"/>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SW59</w:t>
                  </w:r>
                </w:p>
              </w:tc>
              <w:tc>
                <w:tcPr>
                  <w:tcW w:w="716" w:type="dxa"/>
                  <w:noWrap w:val="0"/>
                  <w:vAlign w:val="center"/>
                </w:tcPr>
                <w:p w14:paraId="629C6722">
                  <w:pPr>
                    <w:adjustRightInd w:val="0"/>
                    <w:snapToGrid w:val="0"/>
                    <w:spacing w:line="240" w:lineRule="auto"/>
                    <w:jc w:val="center"/>
                    <w:rPr>
                      <w:rFonts w:hint="default"/>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废包装袋/桶</w:t>
                  </w:r>
                </w:p>
              </w:tc>
              <w:tc>
                <w:tcPr>
                  <w:tcW w:w="892" w:type="dxa"/>
                  <w:noWrap w:val="0"/>
                  <w:vAlign w:val="center"/>
                </w:tcPr>
                <w:p w14:paraId="0F523A70">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根据实际情况填写，精确至“分”。</w:t>
                  </w:r>
                </w:p>
              </w:tc>
              <w:tc>
                <w:tcPr>
                  <w:tcW w:w="923" w:type="dxa"/>
                  <w:noWrap w:val="0"/>
                  <w:vAlign w:val="center"/>
                </w:tcPr>
                <w:p w14:paraId="20F67502">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根据实际情况填写，应以“吨”为单位计量，</w:t>
                  </w:r>
                </w:p>
              </w:tc>
              <w:tc>
                <w:tcPr>
                  <w:tcW w:w="685" w:type="dxa"/>
                  <w:noWrap w:val="0"/>
                  <w:vAlign w:val="center"/>
                </w:tcPr>
                <w:p w14:paraId="05638E8E">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根据实际情况填写</w:t>
                  </w:r>
                </w:p>
              </w:tc>
              <w:tc>
                <w:tcPr>
                  <w:tcW w:w="805" w:type="dxa"/>
                  <w:noWrap w:val="0"/>
                  <w:vAlign w:val="center"/>
                </w:tcPr>
                <w:p w14:paraId="2714C29F">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根据实际情况填写</w:t>
                  </w:r>
                </w:p>
              </w:tc>
              <w:tc>
                <w:tcPr>
                  <w:tcW w:w="970" w:type="dxa"/>
                  <w:noWrap w:val="0"/>
                  <w:vAlign w:val="center"/>
                </w:tcPr>
                <w:p w14:paraId="498495AA">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填写运输车辆车牌号码、驾驶员姓名及联系方式。</w:t>
                  </w:r>
                </w:p>
              </w:tc>
              <w:tc>
                <w:tcPr>
                  <w:tcW w:w="765" w:type="dxa"/>
                  <w:noWrap w:val="0"/>
                  <w:vAlign w:val="center"/>
                </w:tcPr>
                <w:p w14:paraId="43301DA1">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选择公路、铁路、水路</w:t>
                  </w:r>
                </w:p>
              </w:tc>
              <w:tc>
                <w:tcPr>
                  <w:tcW w:w="680" w:type="dxa"/>
                  <w:noWrap w:val="0"/>
                  <w:vAlign w:val="center"/>
                </w:tcPr>
                <w:p w14:paraId="7EB5BF92">
                  <w:pPr>
                    <w:adjustRightInd w:val="0"/>
                    <w:snapToGrid w:val="0"/>
                    <w:spacing w:line="240" w:lineRule="auto"/>
                    <w:jc w:val="center"/>
                    <w:rPr>
                      <w:rFonts w:hint="default"/>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生产厂家</w:t>
                  </w:r>
                </w:p>
              </w:tc>
              <w:tc>
                <w:tcPr>
                  <w:tcW w:w="1210" w:type="dxa"/>
                  <w:noWrap w:val="0"/>
                  <w:vAlign w:val="center"/>
                </w:tcPr>
                <w:p w14:paraId="752D76BE">
                  <w:pPr>
                    <w:adjustRightInd w:val="0"/>
                    <w:snapToGrid w:val="0"/>
                    <w:spacing w:line="240" w:lineRule="auto"/>
                    <w:jc w:val="center"/>
                    <w:rPr>
                      <w:rFonts w:hint="eastAsia"/>
                      <w:color w:val="auto"/>
                      <w:kern w:val="0"/>
                      <w:sz w:val="21"/>
                      <w:szCs w:val="21"/>
                      <w:u w:val="none"/>
                      <w:vertAlign w:val="baseline"/>
                      <w:lang w:val="en-US" w:eastAsia="zh-CN"/>
                    </w:rPr>
                  </w:pPr>
                  <w:r>
                    <w:rPr>
                      <w:rFonts w:hint="eastAsia"/>
                      <w:color w:val="auto"/>
                      <w:kern w:val="0"/>
                      <w:sz w:val="21"/>
                      <w:szCs w:val="21"/>
                      <w:u w:val="none"/>
                      <w:vertAlign w:val="baseline"/>
                      <w:lang w:val="en-US" w:eastAsia="zh-CN"/>
                    </w:rPr>
                    <w:t>选择省内转移、跨省转移、越境转移。</w:t>
                  </w:r>
                </w:p>
              </w:tc>
            </w:tr>
          </w:tbl>
          <w:p w14:paraId="38957313">
            <w:pPr>
              <w:pStyle w:val="6"/>
              <w:spacing w:line="500" w:lineRule="exact"/>
              <w:ind w:firstLine="480"/>
              <w:rPr>
                <w:rFonts w:hint="eastAsia"/>
                <w:color w:val="auto"/>
                <w:kern w:val="0"/>
                <w:sz w:val="24"/>
              </w:rPr>
            </w:pPr>
            <w:r>
              <w:rPr>
                <w:rFonts w:hint="eastAsia"/>
                <w:color w:val="auto"/>
                <w:kern w:val="0"/>
                <w:sz w:val="24"/>
              </w:rPr>
              <w:t>⑵危险废物</w:t>
            </w:r>
          </w:p>
          <w:p w14:paraId="764D35D8">
            <w:pPr>
              <w:pStyle w:val="6"/>
              <w:spacing w:line="500" w:lineRule="exact"/>
              <w:ind w:firstLine="480"/>
              <w:rPr>
                <w:rFonts w:hint="eastAsia"/>
                <w:color w:val="auto"/>
                <w:kern w:val="0"/>
                <w:sz w:val="24"/>
              </w:rPr>
            </w:pPr>
            <w:r>
              <w:rPr>
                <w:rFonts w:hint="eastAsia"/>
                <w:color w:val="auto"/>
                <w:kern w:val="0"/>
                <w:sz w:val="24"/>
                <w:lang w:val="en-US" w:eastAsia="zh-CN"/>
              </w:rPr>
              <w:t>1）</w:t>
            </w:r>
            <w:r>
              <w:rPr>
                <w:rFonts w:hint="eastAsia"/>
                <w:color w:val="auto"/>
                <w:kern w:val="0"/>
                <w:sz w:val="24"/>
              </w:rPr>
              <w:t>危险废物暂存间严格按照《危险</w:t>
            </w:r>
            <w:r>
              <w:rPr>
                <w:rFonts w:hint="eastAsia"/>
                <w:color w:val="auto"/>
                <w:kern w:val="0"/>
                <w:sz w:val="24"/>
                <w:lang w:eastAsia="zh-CN"/>
              </w:rPr>
              <w:t>废物贮存污染</w:t>
            </w:r>
            <w:r>
              <w:rPr>
                <w:rFonts w:hint="eastAsia"/>
                <w:color w:val="auto"/>
                <w:kern w:val="0"/>
                <w:sz w:val="24"/>
              </w:rPr>
              <w:t>控制标准》</w:t>
            </w:r>
            <w:r>
              <w:rPr>
                <w:rFonts w:hint="eastAsia"/>
                <w:color w:val="auto"/>
                <w:kern w:val="0"/>
                <w:sz w:val="24"/>
                <w:lang w:eastAsia="zh-CN"/>
              </w:rPr>
              <w:t>（</w:t>
            </w:r>
            <w:r>
              <w:rPr>
                <w:rFonts w:hint="eastAsia"/>
                <w:color w:val="auto"/>
                <w:kern w:val="0"/>
                <w:sz w:val="24"/>
              </w:rPr>
              <w:t>GB18597-2023</w:t>
            </w:r>
            <w:r>
              <w:rPr>
                <w:rFonts w:hint="eastAsia"/>
                <w:color w:val="auto"/>
                <w:kern w:val="0"/>
                <w:sz w:val="24"/>
                <w:lang w:eastAsia="zh-CN"/>
              </w:rPr>
              <w:t>）</w:t>
            </w:r>
            <w:r>
              <w:rPr>
                <w:rFonts w:hint="eastAsia"/>
                <w:color w:val="auto"/>
                <w:kern w:val="0"/>
                <w:sz w:val="24"/>
              </w:rPr>
              <w:t>的</w:t>
            </w:r>
            <w:r>
              <w:rPr>
                <w:rFonts w:hint="eastAsia"/>
                <w:color w:val="auto"/>
                <w:kern w:val="0"/>
                <w:sz w:val="24"/>
                <w:lang w:eastAsia="zh-CN"/>
              </w:rPr>
              <w:t>储存</w:t>
            </w:r>
            <w:r>
              <w:rPr>
                <w:rFonts w:hint="eastAsia"/>
                <w:color w:val="auto"/>
                <w:kern w:val="0"/>
                <w:sz w:val="24"/>
              </w:rPr>
              <w:t>设施污染控制要求中的一般规定和</w:t>
            </w:r>
            <w:r>
              <w:rPr>
                <w:rFonts w:hint="eastAsia"/>
                <w:color w:val="auto"/>
                <w:kern w:val="0"/>
                <w:sz w:val="24"/>
                <w:lang w:eastAsia="zh-CN"/>
              </w:rPr>
              <w:t>储存</w:t>
            </w:r>
            <w:r>
              <w:rPr>
                <w:rFonts w:hint="eastAsia"/>
                <w:color w:val="auto"/>
                <w:kern w:val="0"/>
                <w:sz w:val="24"/>
              </w:rPr>
              <w:t>库要求。</w:t>
            </w:r>
          </w:p>
          <w:p w14:paraId="1B06CACE">
            <w:pPr>
              <w:pStyle w:val="6"/>
              <w:spacing w:line="500" w:lineRule="exact"/>
              <w:ind w:firstLine="480"/>
              <w:rPr>
                <w:rFonts w:hint="eastAsia"/>
                <w:color w:val="auto"/>
                <w:kern w:val="0"/>
                <w:sz w:val="24"/>
              </w:rPr>
            </w:pPr>
            <w:r>
              <w:rPr>
                <w:rFonts w:hint="eastAsia"/>
                <w:color w:val="auto"/>
                <w:kern w:val="0"/>
                <w:sz w:val="24"/>
              </w:rPr>
              <w:t>一般规定：①</w:t>
            </w:r>
            <w:r>
              <w:rPr>
                <w:rFonts w:hint="eastAsia"/>
                <w:color w:val="auto"/>
                <w:kern w:val="0"/>
                <w:sz w:val="24"/>
                <w:lang w:eastAsia="zh-CN"/>
              </w:rPr>
              <w:t>储存</w:t>
            </w:r>
            <w:r>
              <w:rPr>
                <w:rFonts w:hint="eastAsia"/>
                <w:color w:val="auto"/>
                <w:kern w:val="0"/>
                <w:sz w:val="24"/>
              </w:rPr>
              <w:t>设施应根据危险废物的形态、物理化学性质、包装形式和污染物迁移途径，采取必要的防风、防晒、防雨、防漏、防渗、防腐以及其他环境污染防治措施，不应露天堆放危险废物。②</w:t>
            </w:r>
            <w:r>
              <w:rPr>
                <w:rFonts w:hint="eastAsia"/>
                <w:color w:val="auto"/>
                <w:kern w:val="0"/>
                <w:sz w:val="24"/>
                <w:lang w:eastAsia="zh-CN"/>
              </w:rPr>
              <w:t>储存</w:t>
            </w:r>
            <w:r>
              <w:rPr>
                <w:rFonts w:hint="eastAsia"/>
                <w:color w:val="auto"/>
                <w:kern w:val="0"/>
                <w:sz w:val="24"/>
              </w:rPr>
              <w:t>设施应根据危险废物的类别、数量、形态、物理化学性质和污染防治等要求设置必要的</w:t>
            </w:r>
            <w:r>
              <w:rPr>
                <w:rFonts w:hint="eastAsia"/>
                <w:color w:val="auto"/>
                <w:kern w:val="0"/>
                <w:sz w:val="24"/>
                <w:lang w:eastAsia="zh-CN"/>
              </w:rPr>
              <w:t>储存</w:t>
            </w:r>
            <w:r>
              <w:rPr>
                <w:rFonts w:hint="eastAsia"/>
                <w:color w:val="auto"/>
                <w:kern w:val="0"/>
                <w:sz w:val="24"/>
              </w:rPr>
              <w:t>分区，避免不相容的危险废物接触、混合建设。③</w:t>
            </w:r>
            <w:r>
              <w:rPr>
                <w:rFonts w:hint="eastAsia"/>
                <w:color w:val="auto"/>
                <w:kern w:val="0"/>
                <w:sz w:val="24"/>
                <w:lang w:eastAsia="zh-CN"/>
              </w:rPr>
              <w:t>储存</w:t>
            </w:r>
            <w:r>
              <w:rPr>
                <w:rFonts w:hint="eastAsia"/>
                <w:color w:val="auto"/>
                <w:kern w:val="0"/>
                <w:sz w:val="24"/>
              </w:rPr>
              <w:t>设施或</w:t>
            </w:r>
            <w:r>
              <w:rPr>
                <w:rFonts w:hint="eastAsia"/>
                <w:color w:val="auto"/>
                <w:kern w:val="0"/>
                <w:sz w:val="24"/>
                <w:lang w:eastAsia="zh-CN"/>
              </w:rPr>
              <w:t>储存</w:t>
            </w:r>
            <w:r>
              <w:rPr>
                <w:rFonts w:hint="eastAsia"/>
                <w:color w:val="auto"/>
                <w:kern w:val="0"/>
                <w:sz w:val="24"/>
              </w:rPr>
              <w:t>分区内地面、墙面</w:t>
            </w:r>
            <w:r>
              <w:rPr>
                <w:rFonts w:hint="eastAsia"/>
                <w:color w:val="auto"/>
                <w:kern w:val="0"/>
                <w:sz w:val="24"/>
                <w:lang w:eastAsia="zh-CN"/>
              </w:rPr>
              <w:t>裙角</w:t>
            </w:r>
            <w:r>
              <w:rPr>
                <w:rFonts w:hint="eastAsia"/>
                <w:color w:val="auto"/>
                <w:kern w:val="0"/>
                <w:sz w:val="24"/>
              </w:rPr>
              <w:t>、堵截泄漏的围堰、接触危险废物的隔板和墙体等应采用坚固的材料建造，表面无裂缝。④</w:t>
            </w:r>
            <w:r>
              <w:rPr>
                <w:rFonts w:hint="eastAsia"/>
                <w:color w:val="auto"/>
                <w:kern w:val="0"/>
                <w:sz w:val="24"/>
                <w:lang w:eastAsia="zh-CN"/>
              </w:rPr>
              <w:t>储存</w:t>
            </w:r>
            <w:r>
              <w:rPr>
                <w:rFonts w:hint="eastAsia"/>
                <w:color w:val="auto"/>
                <w:kern w:val="0"/>
                <w:sz w:val="24"/>
              </w:rPr>
              <w:t>设施地面与裙脚应采取表面防渗措施；表面防渗材料应与所接触的物料或污染物相容，可采用抗渗混凝土、高密度聚乙烯膜、钠基膨润土防水毯或其他防渗性能等效的材料。⑤</w:t>
            </w:r>
            <w:r>
              <w:rPr>
                <w:rFonts w:hint="eastAsia"/>
                <w:color w:val="auto"/>
                <w:kern w:val="0"/>
                <w:sz w:val="24"/>
                <w:lang w:eastAsia="zh-CN"/>
              </w:rPr>
              <w:t>储存</w:t>
            </w:r>
            <w:r>
              <w:rPr>
                <w:rFonts w:hint="eastAsia"/>
                <w:color w:val="auto"/>
                <w:kern w:val="0"/>
                <w:sz w:val="24"/>
              </w:rPr>
              <w:t>的危险废物直接接触地面的，还应进行基础防渗，防渗层为至少1m厚黏土层（渗透系数不大于10</w:t>
            </w:r>
            <w:r>
              <w:rPr>
                <w:rFonts w:hint="eastAsia"/>
                <w:color w:val="auto"/>
                <w:kern w:val="0"/>
                <w:sz w:val="24"/>
                <w:vertAlign w:val="superscript"/>
                <w:lang w:val="en-US" w:eastAsia="zh-CN"/>
              </w:rPr>
              <w:t>-</w:t>
            </w:r>
            <w:r>
              <w:rPr>
                <w:rFonts w:hint="eastAsia"/>
                <w:color w:val="auto"/>
                <w:kern w:val="0"/>
                <w:sz w:val="24"/>
                <w:vertAlign w:val="superscript"/>
              </w:rPr>
              <w:t>7</w:t>
            </w:r>
            <w:r>
              <w:rPr>
                <w:rFonts w:hint="eastAsia"/>
                <w:color w:val="auto"/>
                <w:kern w:val="0"/>
                <w:sz w:val="24"/>
              </w:rPr>
              <w:t>cm/s），或至少2mm厚高密度聚乙烯膜等人工防渗材料（渗透系数不大于10</w:t>
            </w:r>
            <w:r>
              <w:rPr>
                <w:rFonts w:hint="eastAsia"/>
                <w:color w:val="auto"/>
                <w:kern w:val="0"/>
                <w:sz w:val="24"/>
                <w:vertAlign w:val="superscript"/>
                <w:lang w:val="en-US" w:eastAsia="zh-CN"/>
              </w:rPr>
              <w:t>-10</w:t>
            </w:r>
            <w:r>
              <w:rPr>
                <w:rFonts w:hint="eastAsia"/>
                <w:color w:val="auto"/>
                <w:kern w:val="0"/>
                <w:sz w:val="24"/>
              </w:rPr>
              <w:t>cm/s），或其他防渗性能等效的材料。同一</w:t>
            </w:r>
            <w:r>
              <w:rPr>
                <w:rFonts w:hint="eastAsia"/>
                <w:color w:val="auto"/>
                <w:kern w:val="0"/>
                <w:sz w:val="24"/>
                <w:lang w:eastAsia="zh-CN"/>
              </w:rPr>
              <w:t>储存</w:t>
            </w:r>
            <w:r>
              <w:rPr>
                <w:rFonts w:hint="eastAsia"/>
                <w:color w:val="auto"/>
                <w:kern w:val="0"/>
                <w:sz w:val="24"/>
              </w:rPr>
              <w:t>设施宜采用相同的防渗、防腐工艺（包括防渗、防腐结构或材料），防渗、防腐材料应覆盖所有可能与废物及其渗滤液、渗漏液等接触的构筑物表面；采用不同防渗、防腐工艺应分别建设</w:t>
            </w:r>
            <w:r>
              <w:rPr>
                <w:rFonts w:hint="eastAsia"/>
                <w:color w:val="auto"/>
                <w:kern w:val="0"/>
                <w:sz w:val="24"/>
                <w:lang w:eastAsia="zh-CN"/>
              </w:rPr>
              <w:t>储存</w:t>
            </w:r>
            <w:r>
              <w:rPr>
                <w:rFonts w:hint="eastAsia"/>
                <w:color w:val="auto"/>
                <w:kern w:val="0"/>
                <w:sz w:val="24"/>
              </w:rPr>
              <w:t>分区。⑥</w:t>
            </w:r>
            <w:r>
              <w:rPr>
                <w:rFonts w:hint="eastAsia"/>
                <w:color w:val="auto"/>
                <w:kern w:val="0"/>
                <w:sz w:val="24"/>
                <w:lang w:eastAsia="zh-CN"/>
              </w:rPr>
              <w:t>储存</w:t>
            </w:r>
            <w:r>
              <w:rPr>
                <w:rFonts w:hint="eastAsia"/>
                <w:color w:val="auto"/>
                <w:kern w:val="0"/>
                <w:sz w:val="24"/>
              </w:rPr>
              <w:t>设施应采取技术和管理措施防止无关人员进入。</w:t>
            </w:r>
          </w:p>
          <w:p w14:paraId="044B9187">
            <w:pPr>
              <w:pStyle w:val="6"/>
              <w:spacing w:line="500" w:lineRule="exact"/>
              <w:ind w:firstLine="480"/>
              <w:rPr>
                <w:rFonts w:hint="eastAsia"/>
                <w:color w:val="auto"/>
                <w:kern w:val="0"/>
                <w:sz w:val="24"/>
              </w:rPr>
            </w:pPr>
            <w:r>
              <w:rPr>
                <w:rFonts w:hint="eastAsia"/>
                <w:color w:val="auto"/>
                <w:kern w:val="0"/>
                <w:sz w:val="24"/>
                <w:lang w:eastAsia="zh-CN"/>
              </w:rPr>
              <w:t>储存</w:t>
            </w:r>
            <w:r>
              <w:rPr>
                <w:rFonts w:hint="eastAsia"/>
                <w:color w:val="auto"/>
                <w:kern w:val="0"/>
                <w:sz w:val="24"/>
              </w:rPr>
              <w:t>库要求：①</w:t>
            </w:r>
            <w:r>
              <w:rPr>
                <w:rFonts w:hint="eastAsia"/>
                <w:color w:val="auto"/>
                <w:kern w:val="0"/>
                <w:sz w:val="24"/>
                <w:lang w:eastAsia="zh-CN"/>
              </w:rPr>
              <w:t>储存</w:t>
            </w:r>
            <w:r>
              <w:rPr>
                <w:rFonts w:hint="eastAsia"/>
                <w:color w:val="auto"/>
                <w:kern w:val="0"/>
                <w:sz w:val="24"/>
              </w:rPr>
              <w:t>库内不同</w:t>
            </w:r>
            <w:r>
              <w:rPr>
                <w:rFonts w:hint="eastAsia"/>
                <w:color w:val="auto"/>
                <w:kern w:val="0"/>
                <w:sz w:val="24"/>
                <w:lang w:eastAsia="zh-CN"/>
              </w:rPr>
              <w:t>储存</w:t>
            </w:r>
            <w:r>
              <w:rPr>
                <w:rFonts w:hint="eastAsia"/>
                <w:color w:val="auto"/>
                <w:kern w:val="0"/>
                <w:sz w:val="24"/>
              </w:rPr>
              <w:t>分区之间应采取隔离措施。隔离措施可根据危险废物特性采用过道、隔板或隔墙等方式。②在</w:t>
            </w:r>
            <w:r>
              <w:rPr>
                <w:rFonts w:hint="eastAsia"/>
                <w:color w:val="auto"/>
                <w:kern w:val="0"/>
                <w:sz w:val="24"/>
                <w:lang w:eastAsia="zh-CN"/>
              </w:rPr>
              <w:t>储存</w:t>
            </w:r>
            <w:r>
              <w:rPr>
                <w:rFonts w:hint="eastAsia"/>
                <w:color w:val="auto"/>
                <w:kern w:val="0"/>
                <w:sz w:val="24"/>
              </w:rPr>
              <w:t>库内或通过</w:t>
            </w:r>
            <w:r>
              <w:rPr>
                <w:rFonts w:hint="eastAsia"/>
                <w:color w:val="auto"/>
                <w:kern w:val="0"/>
                <w:sz w:val="24"/>
                <w:lang w:eastAsia="zh-CN"/>
              </w:rPr>
              <w:t>储存</w:t>
            </w:r>
            <w:r>
              <w:rPr>
                <w:rFonts w:hint="eastAsia"/>
                <w:color w:val="auto"/>
                <w:kern w:val="0"/>
                <w:sz w:val="24"/>
              </w:rPr>
              <w:t>分区方式</w:t>
            </w:r>
            <w:r>
              <w:rPr>
                <w:rFonts w:hint="eastAsia"/>
                <w:color w:val="auto"/>
                <w:kern w:val="0"/>
                <w:sz w:val="24"/>
                <w:lang w:eastAsia="zh-CN"/>
              </w:rPr>
              <w:t>储存</w:t>
            </w:r>
            <w:r>
              <w:rPr>
                <w:rFonts w:hint="eastAsia"/>
                <w:color w:val="auto"/>
                <w:kern w:val="0"/>
                <w:sz w:val="24"/>
              </w:rPr>
              <w:t>液态危险废物的，应具有液体泄漏堵截设施，堵截设施最小容积不应低于对应</w:t>
            </w:r>
            <w:r>
              <w:rPr>
                <w:rFonts w:hint="eastAsia"/>
                <w:color w:val="auto"/>
                <w:kern w:val="0"/>
                <w:sz w:val="24"/>
                <w:lang w:eastAsia="zh-CN"/>
              </w:rPr>
              <w:t>储存区域</w:t>
            </w:r>
            <w:r>
              <w:rPr>
                <w:rFonts w:hint="eastAsia"/>
                <w:color w:val="auto"/>
                <w:kern w:val="0"/>
                <w:sz w:val="24"/>
              </w:rPr>
              <w:t>最大液态废物容器容积或液态废物总储</w:t>
            </w:r>
            <w:r>
              <w:rPr>
                <w:rFonts w:hint="eastAsia"/>
                <w:color w:val="auto"/>
                <w:kern w:val="0"/>
                <w:sz w:val="24"/>
                <w:lang w:eastAsia="zh-CN"/>
              </w:rPr>
              <w:t>量的</w:t>
            </w:r>
            <w:r>
              <w:rPr>
                <w:rFonts w:hint="eastAsia"/>
                <w:color w:val="auto"/>
                <w:kern w:val="0"/>
                <w:sz w:val="24"/>
              </w:rPr>
              <w:t>1/10（二者取较大者）；用于</w:t>
            </w:r>
            <w:r>
              <w:rPr>
                <w:rFonts w:hint="eastAsia"/>
                <w:color w:val="auto"/>
                <w:kern w:val="0"/>
                <w:sz w:val="24"/>
                <w:lang w:eastAsia="zh-CN"/>
              </w:rPr>
              <w:t>储存</w:t>
            </w:r>
            <w:r>
              <w:rPr>
                <w:rFonts w:hint="eastAsia"/>
                <w:color w:val="auto"/>
                <w:kern w:val="0"/>
                <w:sz w:val="24"/>
              </w:rPr>
              <w:t>可能产生渗滤液的危险废物的</w:t>
            </w:r>
            <w:r>
              <w:rPr>
                <w:rFonts w:hint="eastAsia"/>
                <w:color w:val="auto"/>
                <w:kern w:val="0"/>
                <w:sz w:val="24"/>
                <w:lang w:eastAsia="zh-CN"/>
              </w:rPr>
              <w:t>储存</w:t>
            </w:r>
            <w:r>
              <w:rPr>
                <w:rFonts w:hint="eastAsia"/>
                <w:color w:val="auto"/>
                <w:kern w:val="0"/>
                <w:sz w:val="24"/>
              </w:rPr>
              <w:t>库或</w:t>
            </w:r>
            <w:r>
              <w:rPr>
                <w:rFonts w:hint="eastAsia"/>
                <w:color w:val="auto"/>
                <w:kern w:val="0"/>
                <w:sz w:val="24"/>
                <w:lang w:eastAsia="zh-CN"/>
              </w:rPr>
              <w:t>储存</w:t>
            </w:r>
            <w:r>
              <w:rPr>
                <w:rFonts w:hint="eastAsia"/>
                <w:color w:val="auto"/>
                <w:kern w:val="0"/>
                <w:sz w:val="24"/>
              </w:rPr>
              <w:t>分区应设计渗滤液收集设施，收集设施容积应满足渗滤液的收集要求。</w:t>
            </w:r>
          </w:p>
          <w:p w14:paraId="7680CB21">
            <w:pPr>
              <w:pStyle w:val="6"/>
              <w:numPr>
                <w:ilvl w:val="0"/>
                <w:numId w:val="8"/>
              </w:numPr>
              <w:spacing w:line="500" w:lineRule="exact"/>
              <w:ind w:firstLine="480"/>
              <w:rPr>
                <w:rFonts w:hint="eastAsia"/>
                <w:color w:val="auto"/>
                <w:kern w:val="0"/>
                <w:sz w:val="24"/>
              </w:rPr>
            </w:pPr>
            <w:r>
              <w:rPr>
                <w:rFonts w:hint="eastAsia"/>
                <w:color w:val="auto"/>
                <w:kern w:val="0"/>
                <w:sz w:val="24"/>
                <w:lang w:eastAsia="zh-CN"/>
              </w:rPr>
              <w:t>危险废物暂存间</w:t>
            </w:r>
            <w:r>
              <w:rPr>
                <w:rFonts w:hint="eastAsia"/>
                <w:color w:val="auto"/>
                <w:kern w:val="0"/>
                <w:sz w:val="24"/>
              </w:rPr>
              <w:t>按《危险废物识别标志设置技术规范》（HJ 1276—2022）的规定设置警示标志。</w:t>
            </w:r>
          </w:p>
          <w:p w14:paraId="79A6DF0F">
            <w:pPr>
              <w:pStyle w:val="6"/>
              <w:numPr>
                <w:ilvl w:val="0"/>
                <w:numId w:val="8"/>
              </w:numPr>
              <w:spacing w:line="500" w:lineRule="exact"/>
              <w:ind w:firstLine="480"/>
              <w:rPr>
                <w:rFonts w:hint="eastAsia"/>
                <w:kern w:val="0"/>
                <w:sz w:val="24"/>
              </w:rPr>
            </w:pPr>
            <w:r>
              <w:rPr>
                <w:rFonts w:hint="eastAsia"/>
                <w:kern w:val="0"/>
                <w:sz w:val="24"/>
              </w:rPr>
              <w:t>建立档案制度，详细记录入场的固体废物的种类和数量等信息，供随时查阅；危险废物</w:t>
            </w:r>
            <w:r>
              <w:rPr>
                <w:rFonts w:hint="eastAsia"/>
                <w:kern w:val="0"/>
                <w:sz w:val="24"/>
                <w:lang w:eastAsia="zh-CN"/>
              </w:rPr>
              <w:t>储存</w:t>
            </w:r>
            <w:r>
              <w:rPr>
                <w:rFonts w:hint="eastAsia"/>
                <w:kern w:val="0"/>
                <w:sz w:val="24"/>
              </w:rPr>
              <w:t>前应进行检验，确保同预定接收的危险废物一致，并注册登记，</w:t>
            </w:r>
            <w:r>
              <w:rPr>
                <w:rFonts w:hint="eastAsia"/>
                <w:kern w:val="0"/>
                <w:sz w:val="24"/>
                <w:lang w:eastAsia="zh-CN"/>
              </w:rPr>
              <w:t>做好</w:t>
            </w:r>
            <w:r>
              <w:rPr>
                <w:rFonts w:hint="eastAsia"/>
                <w:kern w:val="0"/>
                <w:sz w:val="24"/>
              </w:rPr>
              <w:t>记录，记录上须注明危险废物的名称、来源、数量、特性和包装容器的类别、入库日期、存放库位、废物出库日期及</w:t>
            </w:r>
            <w:r>
              <w:rPr>
                <w:rFonts w:hint="eastAsia"/>
                <w:kern w:val="0"/>
                <w:sz w:val="24"/>
                <w:lang w:eastAsia="zh-CN"/>
              </w:rPr>
              <w:t>接收单位</w:t>
            </w:r>
            <w:r>
              <w:rPr>
                <w:rFonts w:hint="eastAsia"/>
                <w:kern w:val="0"/>
                <w:sz w:val="24"/>
              </w:rPr>
              <w:t>名称。同时</w:t>
            </w:r>
            <w:r>
              <w:rPr>
                <w:rFonts w:hint="eastAsia"/>
                <w:kern w:val="0"/>
                <w:sz w:val="24"/>
                <w:lang w:eastAsia="zh-CN"/>
              </w:rPr>
              <w:t>做好</w:t>
            </w:r>
            <w:r>
              <w:rPr>
                <w:rFonts w:hint="eastAsia"/>
                <w:kern w:val="0"/>
                <w:sz w:val="24"/>
              </w:rPr>
              <w:t>危险废物的出入库管理记录和标识，必须定期对</w:t>
            </w:r>
            <w:r>
              <w:rPr>
                <w:rFonts w:hint="eastAsia"/>
                <w:kern w:val="0"/>
                <w:sz w:val="24"/>
                <w:lang w:eastAsia="zh-CN"/>
              </w:rPr>
              <w:t>储存</w:t>
            </w:r>
            <w:r>
              <w:rPr>
                <w:rFonts w:hint="eastAsia"/>
                <w:kern w:val="0"/>
                <w:sz w:val="24"/>
              </w:rPr>
              <w:t>危险废物的包装容器及</w:t>
            </w:r>
            <w:r>
              <w:rPr>
                <w:rFonts w:hint="eastAsia"/>
                <w:kern w:val="0"/>
                <w:sz w:val="24"/>
                <w:lang w:eastAsia="zh-CN"/>
              </w:rPr>
              <w:t>储存</w:t>
            </w:r>
            <w:r>
              <w:rPr>
                <w:rFonts w:hint="eastAsia"/>
                <w:kern w:val="0"/>
                <w:sz w:val="24"/>
              </w:rPr>
              <w:t>设施进行检查，发现破损，应及时采取措施清理更换；危险废物</w:t>
            </w:r>
            <w:r>
              <w:rPr>
                <w:rFonts w:hint="eastAsia"/>
                <w:kern w:val="0"/>
                <w:sz w:val="24"/>
                <w:lang w:eastAsia="zh-CN"/>
              </w:rPr>
              <w:t>储存</w:t>
            </w:r>
            <w:r>
              <w:rPr>
                <w:rFonts w:hint="eastAsia"/>
                <w:kern w:val="0"/>
                <w:sz w:val="24"/>
              </w:rPr>
              <w:t>设施内清理出来的泄漏物，一律按危险废物处理；落实固废处置方案，签订协议，尽可能及时外运，避免长期堆存。</w:t>
            </w:r>
          </w:p>
          <w:p w14:paraId="4013696E">
            <w:pPr>
              <w:keepNext/>
              <w:keepLines/>
              <w:widowControl w:val="0"/>
              <w:tabs>
                <w:tab w:val="left" w:pos="563"/>
                <w:tab w:val="left" w:pos="1358"/>
                <w:tab w:val="left" w:pos="2153"/>
                <w:tab w:val="left" w:pos="2183"/>
                <w:tab w:val="left" w:pos="4008"/>
              </w:tabs>
              <w:spacing w:line="500" w:lineRule="exact"/>
              <w:jc w:val="center"/>
              <w:outlineLvl w:val="3"/>
              <w:rPr>
                <w:rFonts w:hint="eastAsia" w:ascii="Times New Roman" w:hAnsi="Times New Roman" w:eastAsia="宋体" w:cs="Times New Roman"/>
                <w:b/>
                <w:bCs/>
                <w:color w:val="000000"/>
                <w:kern w:val="0"/>
                <w:sz w:val="24"/>
                <w:szCs w:val="24"/>
                <w:lang w:val="zh-CN" w:eastAsia="zh-CN" w:bidi="ar-SA"/>
              </w:rPr>
            </w:pPr>
            <w:r>
              <w:rPr>
                <w:rFonts w:hint="eastAsia" w:ascii="Times New Roman" w:hAnsi="Times New Roman" w:eastAsia="宋体" w:cs="Times New Roman"/>
                <w:b/>
                <w:bCs/>
                <w:color w:val="000000"/>
                <w:kern w:val="0"/>
                <w:sz w:val="24"/>
                <w:szCs w:val="24"/>
                <w:lang w:val="zh-CN" w:eastAsia="zh-CN" w:bidi="ar-SA"/>
              </w:rPr>
              <w:t>表4-</w:t>
            </w:r>
            <w:r>
              <w:rPr>
                <w:rFonts w:hint="eastAsia" w:ascii="Times New Roman" w:hAnsi="Times New Roman" w:eastAsia="宋体" w:cs="Times New Roman"/>
                <w:b/>
                <w:bCs/>
                <w:color w:val="000000"/>
                <w:kern w:val="0"/>
                <w:sz w:val="24"/>
                <w:szCs w:val="24"/>
                <w:lang w:val="en-US" w:eastAsia="zh-CN" w:bidi="ar-SA"/>
              </w:rPr>
              <w:t>2</w:t>
            </w:r>
            <w:r>
              <w:rPr>
                <w:rFonts w:hint="eastAsia" w:cs="Times New Roman"/>
                <w:b/>
                <w:bCs/>
                <w:color w:val="000000"/>
                <w:kern w:val="0"/>
                <w:sz w:val="24"/>
                <w:szCs w:val="24"/>
                <w:lang w:val="en-US" w:eastAsia="zh-CN" w:bidi="ar-SA"/>
              </w:rPr>
              <w:t>0</w:t>
            </w:r>
            <w:r>
              <w:rPr>
                <w:rFonts w:hint="eastAsia" w:ascii="Times New Roman" w:hAnsi="Times New Roman" w:eastAsia="宋体" w:cs="Times New Roman"/>
                <w:b/>
                <w:bCs/>
                <w:color w:val="000000"/>
                <w:kern w:val="0"/>
                <w:sz w:val="24"/>
                <w:szCs w:val="24"/>
                <w:lang w:val="zh-CN" w:eastAsia="zh-CN" w:bidi="ar-SA"/>
              </w:rPr>
              <w:t xml:space="preserve"> 危险废物暂存点运行记录台账表</w:t>
            </w:r>
          </w:p>
          <w:tbl>
            <w:tblPr>
              <w:tblStyle w:val="19"/>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689"/>
              <w:gridCol w:w="681"/>
              <w:gridCol w:w="839"/>
              <w:gridCol w:w="547"/>
              <w:gridCol w:w="681"/>
              <w:gridCol w:w="547"/>
              <w:gridCol w:w="547"/>
              <w:gridCol w:w="547"/>
              <w:gridCol w:w="414"/>
              <w:gridCol w:w="681"/>
              <w:gridCol w:w="681"/>
              <w:gridCol w:w="681"/>
              <w:gridCol w:w="920"/>
            </w:tblGrid>
            <w:tr w14:paraId="29DEE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209" w:type="dxa"/>
                  <w:gridSpan w:val="3"/>
                  <w:tcBorders>
                    <w:top w:val="single" w:color="auto" w:sz="6" w:space="0"/>
                    <w:left w:val="single" w:color="auto" w:sz="6" w:space="0"/>
                    <w:bottom w:val="single" w:color="auto" w:sz="6" w:space="0"/>
                    <w:right w:val="single" w:color="auto" w:sz="6" w:space="0"/>
                  </w:tcBorders>
                  <w:noWrap w:val="0"/>
                  <w:vAlign w:val="center"/>
                </w:tcPr>
                <w:p w14:paraId="10073086">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固体废物暂存点名称</w:t>
                  </w:r>
                </w:p>
              </w:tc>
              <w:tc>
                <w:tcPr>
                  <w:tcW w:w="6246" w:type="dxa"/>
                  <w:gridSpan w:val="10"/>
                  <w:tcBorders>
                    <w:top w:val="single" w:color="auto" w:sz="6" w:space="0"/>
                    <w:left w:val="single" w:color="auto" w:sz="6" w:space="0"/>
                    <w:bottom w:val="single" w:color="auto" w:sz="6" w:space="0"/>
                    <w:right w:val="single" w:color="auto" w:sz="6" w:space="0"/>
                  </w:tcBorders>
                  <w:noWrap w:val="0"/>
                  <w:vAlign w:val="center"/>
                </w:tcPr>
                <w:p w14:paraId="6E02E888">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记录内容</w:t>
                  </w:r>
                </w:p>
              </w:tc>
            </w:tr>
            <w:tr w14:paraId="706CA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689" w:type="dxa"/>
                  <w:tcBorders>
                    <w:top w:val="single" w:color="auto" w:sz="6" w:space="0"/>
                    <w:left w:val="single" w:color="auto" w:sz="6" w:space="0"/>
                    <w:bottom w:val="single" w:color="auto" w:sz="6" w:space="0"/>
                    <w:right w:val="single" w:color="auto" w:sz="6" w:space="0"/>
                  </w:tcBorders>
                  <w:noWrap w:val="0"/>
                  <w:vAlign w:val="center"/>
                </w:tcPr>
                <w:p w14:paraId="07A8D9E7">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暂存点编号</w:t>
                  </w:r>
                </w:p>
              </w:tc>
              <w:tc>
                <w:tcPr>
                  <w:tcW w:w="681" w:type="dxa"/>
                  <w:tcBorders>
                    <w:top w:val="single" w:color="auto" w:sz="6" w:space="0"/>
                    <w:left w:val="single" w:color="auto" w:sz="6" w:space="0"/>
                    <w:bottom w:val="single" w:color="auto" w:sz="6" w:space="0"/>
                    <w:right w:val="single" w:color="auto" w:sz="6" w:space="0"/>
                  </w:tcBorders>
                  <w:noWrap w:val="0"/>
                  <w:vAlign w:val="center"/>
                </w:tcPr>
                <w:p w14:paraId="797FC0B9">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暂存点位置</w:t>
                  </w:r>
                </w:p>
              </w:tc>
              <w:tc>
                <w:tcPr>
                  <w:tcW w:w="839" w:type="dxa"/>
                  <w:tcBorders>
                    <w:top w:val="single" w:color="auto" w:sz="6" w:space="0"/>
                    <w:left w:val="single" w:color="auto" w:sz="6" w:space="0"/>
                    <w:bottom w:val="single" w:color="auto" w:sz="6" w:space="0"/>
                    <w:right w:val="single" w:color="auto" w:sz="6" w:space="0"/>
                  </w:tcBorders>
                  <w:noWrap w:val="0"/>
                  <w:vAlign w:val="center"/>
                </w:tcPr>
                <w:p w14:paraId="02FA020D">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面积（</w:t>
                  </w:r>
                  <w:r>
                    <w:rPr>
                      <w:rFonts w:ascii="Times New Roman" w:hAnsi="Times New Roman" w:cs="Times New Roman"/>
                      <w:sz w:val="21"/>
                      <w:szCs w:val="21"/>
                    </w:rPr>
                    <w:t>m</w:t>
                  </w:r>
                  <w:r>
                    <w:rPr>
                      <w:rFonts w:ascii="Times New Roman" w:hAnsi="Times New Roman" w:cs="Times New Roman"/>
                      <w:sz w:val="21"/>
                      <w:szCs w:val="21"/>
                      <w:vertAlign w:val="superscript"/>
                    </w:rPr>
                    <w:t>2</w:t>
                  </w:r>
                  <w:r>
                    <w:rPr>
                      <w:rFonts w:hint="eastAsia" w:ascii="Times New Roman" w:hAnsi="Times New Roman" w:cs="Times New Roman"/>
                      <w:sz w:val="21"/>
                      <w:szCs w:val="21"/>
                    </w:rPr>
                    <w:t>）</w:t>
                  </w:r>
                </w:p>
              </w:tc>
              <w:tc>
                <w:tcPr>
                  <w:tcW w:w="547" w:type="dxa"/>
                  <w:tcBorders>
                    <w:top w:val="single" w:color="auto" w:sz="6" w:space="0"/>
                    <w:left w:val="single" w:color="auto" w:sz="6" w:space="0"/>
                    <w:bottom w:val="single" w:color="auto" w:sz="6" w:space="0"/>
                    <w:right w:val="single" w:color="auto" w:sz="6" w:space="0"/>
                  </w:tcBorders>
                  <w:noWrap w:val="0"/>
                  <w:vAlign w:val="center"/>
                </w:tcPr>
                <w:p w14:paraId="6C45F670">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固废名称</w:t>
                  </w:r>
                </w:p>
              </w:tc>
              <w:tc>
                <w:tcPr>
                  <w:tcW w:w="681" w:type="dxa"/>
                  <w:tcBorders>
                    <w:top w:val="single" w:color="auto" w:sz="6" w:space="0"/>
                    <w:left w:val="single" w:color="auto" w:sz="6" w:space="0"/>
                    <w:bottom w:val="single" w:color="auto" w:sz="6" w:space="0"/>
                    <w:right w:val="single" w:color="auto" w:sz="6" w:space="0"/>
                  </w:tcBorders>
                  <w:noWrap w:val="0"/>
                  <w:vAlign w:val="center"/>
                </w:tcPr>
                <w:p w14:paraId="7978BFB6">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来源</w:t>
                  </w:r>
                </w:p>
              </w:tc>
              <w:tc>
                <w:tcPr>
                  <w:tcW w:w="547" w:type="dxa"/>
                  <w:tcBorders>
                    <w:top w:val="single" w:color="auto" w:sz="6" w:space="0"/>
                    <w:left w:val="single" w:color="auto" w:sz="6" w:space="0"/>
                    <w:bottom w:val="single" w:color="auto" w:sz="6" w:space="0"/>
                    <w:right w:val="single" w:color="auto" w:sz="6" w:space="0"/>
                  </w:tcBorders>
                  <w:noWrap w:val="0"/>
                  <w:vAlign w:val="center"/>
                </w:tcPr>
                <w:p w14:paraId="49D70A2A">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存放容器</w:t>
                  </w:r>
                </w:p>
              </w:tc>
              <w:tc>
                <w:tcPr>
                  <w:tcW w:w="547" w:type="dxa"/>
                  <w:tcBorders>
                    <w:top w:val="single" w:color="auto" w:sz="6" w:space="0"/>
                    <w:left w:val="single" w:color="auto" w:sz="6" w:space="0"/>
                    <w:bottom w:val="single" w:color="auto" w:sz="6" w:space="0"/>
                    <w:right w:val="single" w:color="auto" w:sz="6" w:space="0"/>
                  </w:tcBorders>
                  <w:noWrap w:val="0"/>
                  <w:vAlign w:val="center"/>
                </w:tcPr>
                <w:p w14:paraId="44B298C9">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入库量</w:t>
                  </w:r>
                </w:p>
              </w:tc>
              <w:tc>
                <w:tcPr>
                  <w:tcW w:w="547" w:type="dxa"/>
                  <w:tcBorders>
                    <w:top w:val="single" w:color="auto" w:sz="6" w:space="0"/>
                    <w:left w:val="single" w:color="auto" w:sz="6" w:space="0"/>
                    <w:bottom w:val="single" w:color="auto" w:sz="6" w:space="0"/>
                    <w:right w:val="single" w:color="auto" w:sz="6" w:space="0"/>
                  </w:tcBorders>
                  <w:noWrap w:val="0"/>
                  <w:vAlign w:val="center"/>
                </w:tcPr>
                <w:p w14:paraId="423D8B48">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入库时间</w:t>
                  </w:r>
                </w:p>
              </w:tc>
              <w:tc>
                <w:tcPr>
                  <w:tcW w:w="414" w:type="dxa"/>
                  <w:tcBorders>
                    <w:top w:val="single" w:color="auto" w:sz="6" w:space="0"/>
                    <w:left w:val="single" w:color="auto" w:sz="6" w:space="0"/>
                    <w:bottom w:val="single" w:color="auto" w:sz="6" w:space="0"/>
                    <w:right w:val="single" w:color="auto" w:sz="6" w:space="0"/>
                  </w:tcBorders>
                  <w:noWrap w:val="0"/>
                  <w:vAlign w:val="center"/>
                </w:tcPr>
                <w:p w14:paraId="45A2BE48">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清运量</w:t>
                  </w:r>
                </w:p>
              </w:tc>
              <w:tc>
                <w:tcPr>
                  <w:tcW w:w="681" w:type="dxa"/>
                  <w:tcBorders>
                    <w:top w:val="single" w:color="auto" w:sz="6" w:space="0"/>
                    <w:left w:val="single" w:color="auto" w:sz="6" w:space="0"/>
                    <w:bottom w:val="single" w:color="auto" w:sz="6" w:space="0"/>
                    <w:right w:val="single" w:color="auto" w:sz="6" w:space="0"/>
                  </w:tcBorders>
                  <w:noWrap w:val="0"/>
                  <w:vAlign w:val="center"/>
                </w:tcPr>
                <w:p w14:paraId="1CB20EE6">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清运出库时间</w:t>
                  </w:r>
                </w:p>
              </w:tc>
              <w:tc>
                <w:tcPr>
                  <w:tcW w:w="681" w:type="dxa"/>
                  <w:tcBorders>
                    <w:top w:val="single" w:color="auto" w:sz="6" w:space="0"/>
                    <w:left w:val="single" w:color="auto" w:sz="6" w:space="0"/>
                    <w:bottom w:val="single" w:color="auto" w:sz="6" w:space="0"/>
                    <w:right w:val="single" w:color="auto" w:sz="6" w:space="0"/>
                  </w:tcBorders>
                  <w:noWrap w:val="0"/>
                  <w:vAlign w:val="center"/>
                </w:tcPr>
                <w:p w14:paraId="0FD11C24">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去向</w:t>
                  </w:r>
                </w:p>
              </w:tc>
              <w:tc>
                <w:tcPr>
                  <w:tcW w:w="681" w:type="dxa"/>
                  <w:tcBorders>
                    <w:top w:val="single" w:color="auto" w:sz="6" w:space="0"/>
                    <w:left w:val="single" w:color="auto" w:sz="6" w:space="0"/>
                    <w:bottom w:val="single" w:color="auto" w:sz="6" w:space="0"/>
                    <w:right w:val="single" w:color="auto" w:sz="6" w:space="0"/>
                  </w:tcBorders>
                  <w:noWrap w:val="0"/>
                  <w:vAlign w:val="center"/>
                </w:tcPr>
                <w:p w14:paraId="52BE86AB">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库存量</w:t>
                  </w:r>
                </w:p>
              </w:tc>
              <w:tc>
                <w:tcPr>
                  <w:tcW w:w="920" w:type="dxa"/>
                  <w:tcBorders>
                    <w:top w:val="single" w:color="auto" w:sz="6" w:space="0"/>
                    <w:left w:val="single" w:color="auto" w:sz="6" w:space="0"/>
                    <w:bottom w:val="single" w:color="auto" w:sz="6" w:space="0"/>
                    <w:right w:val="single" w:color="auto" w:sz="6" w:space="0"/>
                  </w:tcBorders>
                  <w:noWrap w:val="0"/>
                  <w:vAlign w:val="center"/>
                </w:tcPr>
                <w:p w14:paraId="272B3FC3">
                  <w:pPr>
                    <w:widowControl w:val="0"/>
                    <w:adjustRightInd w:val="0"/>
                    <w:snapToGrid w:val="0"/>
                    <w:spacing w:line="240" w:lineRule="exact"/>
                    <w:jc w:val="center"/>
                    <w:rPr>
                      <w:rFonts w:ascii="Times New Roman" w:hAnsi="Times New Roman" w:cs="Times New Roman"/>
                      <w:kern w:val="2"/>
                      <w:sz w:val="21"/>
                      <w:szCs w:val="21"/>
                    </w:rPr>
                  </w:pPr>
                  <w:r>
                    <w:rPr>
                      <w:rFonts w:hint="eastAsia" w:ascii="Times New Roman" w:hAnsi="Times New Roman" w:cs="Times New Roman"/>
                      <w:sz w:val="21"/>
                      <w:szCs w:val="21"/>
                    </w:rPr>
                    <w:t>记录人</w:t>
                  </w:r>
                </w:p>
              </w:tc>
            </w:tr>
            <w:tr w14:paraId="30364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689" w:type="dxa"/>
                  <w:tcBorders>
                    <w:top w:val="single" w:color="auto" w:sz="6" w:space="0"/>
                    <w:left w:val="single" w:color="auto" w:sz="6" w:space="0"/>
                    <w:bottom w:val="single" w:color="auto" w:sz="6" w:space="0"/>
                    <w:right w:val="single" w:color="auto" w:sz="6" w:space="0"/>
                  </w:tcBorders>
                  <w:noWrap w:val="0"/>
                  <w:vAlign w:val="center"/>
                </w:tcPr>
                <w:p w14:paraId="1EA540C4">
                  <w:pPr>
                    <w:widowControl w:val="0"/>
                    <w:adjustRightInd w:val="0"/>
                    <w:snapToGrid w:val="0"/>
                    <w:spacing w:line="240" w:lineRule="exact"/>
                    <w:jc w:val="center"/>
                    <w:rPr>
                      <w:rFonts w:ascii="Times New Roman" w:hAnsi="Times New Roman" w:cs="Times New Roman"/>
                      <w:kern w:val="2"/>
                      <w:sz w:val="21"/>
                      <w:szCs w:val="21"/>
                    </w:rPr>
                  </w:pPr>
                </w:p>
              </w:tc>
              <w:tc>
                <w:tcPr>
                  <w:tcW w:w="681" w:type="dxa"/>
                  <w:tcBorders>
                    <w:top w:val="single" w:color="auto" w:sz="6" w:space="0"/>
                    <w:left w:val="single" w:color="auto" w:sz="6" w:space="0"/>
                    <w:bottom w:val="single" w:color="auto" w:sz="6" w:space="0"/>
                    <w:right w:val="single" w:color="auto" w:sz="6" w:space="0"/>
                  </w:tcBorders>
                  <w:noWrap w:val="0"/>
                  <w:vAlign w:val="center"/>
                </w:tcPr>
                <w:p w14:paraId="294DB400">
                  <w:pPr>
                    <w:widowControl w:val="0"/>
                    <w:adjustRightInd w:val="0"/>
                    <w:snapToGrid w:val="0"/>
                    <w:spacing w:line="240" w:lineRule="exact"/>
                    <w:jc w:val="center"/>
                    <w:rPr>
                      <w:rFonts w:ascii="Times New Roman" w:hAnsi="Times New Roman" w:cs="Times New Roman"/>
                      <w:kern w:val="2"/>
                      <w:sz w:val="21"/>
                      <w:szCs w:val="21"/>
                    </w:rPr>
                  </w:pPr>
                </w:p>
              </w:tc>
              <w:tc>
                <w:tcPr>
                  <w:tcW w:w="839" w:type="dxa"/>
                  <w:tcBorders>
                    <w:top w:val="single" w:color="auto" w:sz="6" w:space="0"/>
                    <w:left w:val="single" w:color="auto" w:sz="6" w:space="0"/>
                    <w:bottom w:val="single" w:color="auto" w:sz="6" w:space="0"/>
                    <w:right w:val="single" w:color="auto" w:sz="6" w:space="0"/>
                  </w:tcBorders>
                  <w:noWrap w:val="0"/>
                  <w:vAlign w:val="center"/>
                </w:tcPr>
                <w:p w14:paraId="7934002C">
                  <w:pPr>
                    <w:widowControl w:val="0"/>
                    <w:adjustRightInd w:val="0"/>
                    <w:snapToGrid w:val="0"/>
                    <w:spacing w:line="240" w:lineRule="exact"/>
                    <w:jc w:val="center"/>
                    <w:rPr>
                      <w:rFonts w:ascii="Times New Roman" w:hAnsi="Times New Roman" w:cs="Times New Roman"/>
                      <w:kern w:val="2"/>
                      <w:sz w:val="21"/>
                      <w:szCs w:val="21"/>
                    </w:rPr>
                  </w:pPr>
                </w:p>
              </w:tc>
              <w:tc>
                <w:tcPr>
                  <w:tcW w:w="547" w:type="dxa"/>
                  <w:tcBorders>
                    <w:top w:val="single" w:color="auto" w:sz="6" w:space="0"/>
                    <w:left w:val="single" w:color="auto" w:sz="6" w:space="0"/>
                    <w:bottom w:val="single" w:color="auto" w:sz="6" w:space="0"/>
                    <w:right w:val="single" w:color="auto" w:sz="6" w:space="0"/>
                  </w:tcBorders>
                  <w:noWrap w:val="0"/>
                  <w:vAlign w:val="center"/>
                </w:tcPr>
                <w:p w14:paraId="65034211">
                  <w:pPr>
                    <w:widowControl w:val="0"/>
                    <w:adjustRightInd w:val="0"/>
                    <w:snapToGrid w:val="0"/>
                    <w:spacing w:line="240" w:lineRule="exact"/>
                    <w:jc w:val="center"/>
                    <w:rPr>
                      <w:rFonts w:ascii="Times New Roman" w:hAnsi="Times New Roman" w:cs="Times New Roman"/>
                      <w:kern w:val="2"/>
                      <w:sz w:val="21"/>
                      <w:szCs w:val="21"/>
                    </w:rPr>
                  </w:pPr>
                </w:p>
              </w:tc>
              <w:tc>
                <w:tcPr>
                  <w:tcW w:w="681" w:type="dxa"/>
                  <w:tcBorders>
                    <w:top w:val="single" w:color="auto" w:sz="6" w:space="0"/>
                    <w:left w:val="single" w:color="auto" w:sz="6" w:space="0"/>
                    <w:bottom w:val="single" w:color="auto" w:sz="6" w:space="0"/>
                    <w:right w:val="single" w:color="auto" w:sz="6" w:space="0"/>
                  </w:tcBorders>
                  <w:noWrap w:val="0"/>
                  <w:vAlign w:val="center"/>
                </w:tcPr>
                <w:p w14:paraId="3958C95C">
                  <w:pPr>
                    <w:widowControl w:val="0"/>
                    <w:adjustRightInd w:val="0"/>
                    <w:snapToGrid w:val="0"/>
                    <w:spacing w:line="240" w:lineRule="exact"/>
                    <w:jc w:val="center"/>
                    <w:rPr>
                      <w:rFonts w:ascii="Times New Roman" w:hAnsi="Times New Roman" w:cs="Times New Roman"/>
                      <w:kern w:val="2"/>
                      <w:sz w:val="21"/>
                      <w:szCs w:val="21"/>
                    </w:rPr>
                  </w:pPr>
                </w:p>
              </w:tc>
              <w:tc>
                <w:tcPr>
                  <w:tcW w:w="547" w:type="dxa"/>
                  <w:tcBorders>
                    <w:top w:val="single" w:color="auto" w:sz="6" w:space="0"/>
                    <w:left w:val="single" w:color="auto" w:sz="6" w:space="0"/>
                    <w:bottom w:val="single" w:color="auto" w:sz="6" w:space="0"/>
                    <w:right w:val="single" w:color="auto" w:sz="6" w:space="0"/>
                  </w:tcBorders>
                  <w:noWrap w:val="0"/>
                  <w:vAlign w:val="center"/>
                </w:tcPr>
                <w:p w14:paraId="320EEDF9">
                  <w:pPr>
                    <w:widowControl w:val="0"/>
                    <w:adjustRightInd w:val="0"/>
                    <w:snapToGrid w:val="0"/>
                    <w:spacing w:line="240" w:lineRule="exact"/>
                    <w:jc w:val="center"/>
                    <w:rPr>
                      <w:rFonts w:ascii="Times New Roman" w:hAnsi="Times New Roman" w:cs="Times New Roman"/>
                      <w:kern w:val="2"/>
                      <w:sz w:val="21"/>
                      <w:szCs w:val="21"/>
                    </w:rPr>
                  </w:pPr>
                </w:p>
              </w:tc>
              <w:tc>
                <w:tcPr>
                  <w:tcW w:w="547" w:type="dxa"/>
                  <w:tcBorders>
                    <w:top w:val="single" w:color="auto" w:sz="6" w:space="0"/>
                    <w:left w:val="single" w:color="auto" w:sz="6" w:space="0"/>
                    <w:bottom w:val="single" w:color="auto" w:sz="6" w:space="0"/>
                    <w:right w:val="single" w:color="auto" w:sz="6" w:space="0"/>
                  </w:tcBorders>
                  <w:noWrap w:val="0"/>
                  <w:vAlign w:val="center"/>
                </w:tcPr>
                <w:p w14:paraId="639F9EA1">
                  <w:pPr>
                    <w:widowControl w:val="0"/>
                    <w:adjustRightInd w:val="0"/>
                    <w:snapToGrid w:val="0"/>
                    <w:spacing w:line="240" w:lineRule="exact"/>
                    <w:jc w:val="center"/>
                    <w:rPr>
                      <w:rFonts w:ascii="Times New Roman" w:hAnsi="Times New Roman" w:cs="Times New Roman"/>
                      <w:kern w:val="2"/>
                      <w:sz w:val="21"/>
                      <w:szCs w:val="21"/>
                    </w:rPr>
                  </w:pPr>
                </w:p>
              </w:tc>
              <w:tc>
                <w:tcPr>
                  <w:tcW w:w="547" w:type="dxa"/>
                  <w:tcBorders>
                    <w:top w:val="single" w:color="auto" w:sz="6" w:space="0"/>
                    <w:left w:val="single" w:color="auto" w:sz="6" w:space="0"/>
                    <w:bottom w:val="single" w:color="auto" w:sz="6" w:space="0"/>
                    <w:right w:val="single" w:color="auto" w:sz="6" w:space="0"/>
                  </w:tcBorders>
                  <w:noWrap w:val="0"/>
                  <w:vAlign w:val="center"/>
                </w:tcPr>
                <w:p w14:paraId="4C048D7B">
                  <w:pPr>
                    <w:widowControl w:val="0"/>
                    <w:adjustRightInd w:val="0"/>
                    <w:snapToGrid w:val="0"/>
                    <w:spacing w:line="240" w:lineRule="exact"/>
                    <w:jc w:val="center"/>
                    <w:rPr>
                      <w:rFonts w:ascii="Times New Roman" w:hAnsi="Times New Roman" w:cs="Times New Roman"/>
                      <w:kern w:val="2"/>
                      <w:sz w:val="21"/>
                      <w:szCs w:val="21"/>
                    </w:rPr>
                  </w:pPr>
                </w:p>
              </w:tc>
              <w:tc>
                <w:tcPr>
                  <w:tcW w:w="414" w:type="dxa"/>
                  <w:tcBorders>
                    <w:top w:val="single" w:color="auto" w:sz="6" w:space="0"/>
                    <w:left w:val="single" w:color="auto" w:sz="6" w:space="0"/>
                    <w:bottom w:val="single" w:color="auto" w:sz="6" w:space="0"/>
                    <w:right w:val="single" w:color="auto" w:sz="6" w:space="0"/>
                  </w:tcBorders>
                  <w:noWrap w:val="0"/>
                  <w:vAlign w:val="center"/>
                </w:tcPr>
                <w:p w14:paraId="1C377459">
                  <w:pPr>
                    <w:widowControl w:val="0"/>
                    <w:adjustRightInd w:val="0"/>
                    <w:snapToGrid w:val="0"/>
                    <w:spacing w:line="240" w:lineRule="exact"/>
                    <w:jc w:val="center"/>
                    <w:rPr>
                      <w:rFonts w:ascii="Times New Roman" w:hAnsi="Times New Roman" w:cs="Times New Roman"/>
                      <w:kern w:val="2"/>
                      <w:sz w:val="21"/>
                      <w:szCs w:val="21"/>
                    </w:rPr>
                  </w:pPr>
                </w:p>
              </w:tc>
              <w:tc>
                <w:tcPr>
                  <w:tcW w:w="681" w:type="dxa"/>
                  <w:tcBorders>
                    <w:top w:val="single" w:color="auto" w:sz="6" w:space="0"/>
                    <w:left w:val="single" w:color="auto" w:sz="6" w:space="0"/>
                    <w:bottom w:val="single" w:color="auto" w:sz="6" w:space="0"/>
                    <w:right w:val="single" w:color="auto" w:sz="6" w:space="0"/>
                  </w:tcBorders>
                  <w:noWrap w:val="0"/>
                  <w:vAlign w:val="center"/>
                </w:tcPr>
                <w:p w14:paraId="38F661B1">
                  <w:pPr>
                    <w:widowControl w:val="0"/>
                    <w:adjustRightInd w:val="0"/>
                    <w:snapToGrid w:val="0"/>
                    <w:spacing w:line="240" w:lineRule="exact"/>
                    <w:jc w:val="center"/>
                    <w:rPr>
                      <w:rFonts w:ascii="Times New Roman" w:hAnsi="Times New Roman" w:cs="Times New Roman"/>
                      <w:kern w:val="2"/>
                      <w:sz w:val="21"/>
                      <w:szCs w:val="21"/>
                    </w:rPr>
                  </w:pPr>
                </w:p>
              </w:tc>
              <w:tc>
                <w:tcPr>
                  <w:tcW w:w="681" w:type="dxa"/>
                  <w:tcBorders>
                    <w:top w:val="single" w:color="auto" w:sz="6" w:space="0"/>
                    <w:left w:val="single" w:color="auto" w:sz="6" w:space="0"/>
                    <w:bottom w:val="single" w:color="auto" w:sz="6" w:space="0"/>
                    <w:right w:val="single" w:color="auto" w:sz="6" w:space="0"/>
                  </w:tcBorders>
                  <w:noWrap w:val="0"/>
                  <w:vAlign w:val="center"/>
                </w:tcPr>
                <w:p w14:paraId="08C2EF7B">
                  <w:pPr>
                    <w:widowControl w:val="0"/>
                    <w:adjustRightInd w:val="0"/>
                    <w:snapToGrid w:val="0"/>
                    <w:spacing w:line="240" w:lineRule="exact"/>
                    <w:jc w:val="center"/>
                    <w:rPr>
                      <w:rFonts w:ascii="Times New Roman" w:hAnsi="Times New Roman" w:cs="Times New Roman"/>
                      <w:kern w:val="2"/>
                      <w:sz w:val="21"/>
                      <w:szCs w:val="21"/>
                    </w:rPr>
                  </w:pPr>
                </w:p>
              </w:tc>
              <w:tc>
                <w:tcPr>
                  <w:tcW w:w="681" w:type="dxa"/>
                  <w:tcBorders>
                    <w:top w:val="single" w:color="auto" w:sz="6" w:space="0"/>
                    <w:left w:val="single" w:color="auto" w:sz="6" w:space="0"/>
                    <w:bottom w:val="single" w:color="auto" w:sz="6" w:space="0"/>
                    <w:right w:val="single" w:color="auto" w:sz="6" w:space="0"/>
                  </w:tcBorders>
                  <w:noWrap w:val="0"/>
                  <w:vAlign w:val="center"/>
                </w:tcPr>
                <w:p w14:paraId="45B12DEE">
                  <w:pPr>
                    <w:widowControl w:val="0"/>
                    <w:adjustRightInd w:val="0"/>
                    <w:snapToGrid w:val="0"/>
                    <w:spacing w:line="240" w:lineRule="exact"/>
                    <w:jc w:val="center"/>
                    <w:rPr>
                      <w:rFonts w:ascii="Times New Roman" w:hAnsi="Times New Roman" w:cs="Times New Roman"/>
                      <w:kern w:val="2"/>
                      <w:sz w:val="21"/>
                      <w:szCs w:val="21"/>
                    </w:rPr>
                  </w:pPr>
                </w:p>
              </w:tc>
              <w:tc>
                <w:tcPr>
                  <w:tcW w:w="920" w:type="dxa"/>
                  <w:tcBorders>
                    <w:top w:val="single" w:color="auto" w:sz="6" w:space="0"/>
                    <w:left w:val="single" w:color="auto" w:sz="6" w:space="0"/>
                    <w:bottom w:val="single" w:color="auto" w:sz="6" w:space="0"/>
                    <w:right w:val="single" w:color="auto" w:sz="6" w:space="0"/>
                  </w:tcBorders>
                  <w:noWrap w:val="0"/>
                  <w:vAlign w:val="center"/>
                </w:tcPr>
                <w:p w14:paraId="7E3517BC">
                  <w:pPr>
                    <w:widowControl w:val="0"/>
                    <w:adjustRightInd w:val="0"/>
                    <w:snapToGrid w:val="0"/>
                    <w:spacing w:line="240" w:lineRule="exact"/>
                    <w:jc w:val="center"/>
                    <w:rPr>
                      <w:rFonts w:ascii="Times New Roman" w:hAnsi="Times New Roman" w:cs="Times New Roman"/>
                      <w:kern w:val="2"/>
                      <w:sz w:val="21"/>
                      <w:szCs w:val="21"/>
                    </w:rPr>
                  </w:pPr>
                </w:p>
              </w:tc>
            </w:tr>
            <w:tr w14:paraId="79145B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689" w:type="dxa"/>
                  <w:tcBorders>
                    <w:top w:val="single" w:color="auto" w:sz="6" w:space="0"/>
                    <w:left w:val="single" w:color="auto" w:sz="6" w:space="0"/>
                    <w:bottom w:val="single" w:color="auto" w:sz="6" w:space="0"/>
                    <w:right w:val="single" w:color="auto" w:sz="6" w:space="0"/>
                  </w:tcBorders>
                  <w:noWrap w:val="0"/>
                  <w:vAlign w:val="center"/>
                </w:tcPr>
                <w:p w14:paraId="6BA22915">
                  <w:pPr>
                    <w:widowControl w:val="0"/>
                    <w:adjustRightInd w:val="0"/>
                    <w:snapToGrid w:val="0"/>
                    <w:spacing w:line="240" w:lineRule="exact"/>
                    <w:jc w:val="center"/>
                    <w:rPr>
                      <w:rFonts w:ascii="Times New Roman" w:hAnsi="Times New Roman" w:cs="Times New Roman"/>
                      <w:kern w:val="2"/>
                      <w:sz w:val="21"/>
                      <w:szCs w:val="21"/>
                    </w:rPr>
                  </w:pPr>
                </w:p>
              </w:tc>
              <w:tc>
                <w:tcPr>
                  <w:tcW w:w="681" w:type="dxa"/>
                  <w:tcBorders>
                    <w:top w:val="single" w:color="auto" w:sz="6" w:space="0"/>
                    <w:left w:val="single" w:color="auto" w:sz="6" w:space="0"/>
                    <w:bottom w:val="single" w:color="auto" w:sz="6" w:space="0"/>
                    <w:right w:val="single" w:color="auto" w:sz="6" w:space="0"/>
                  </w:tcBorders>
                  <w:noWrap w:val="0"/>
                  <w:vAlign w:val="center"/>
                </w:tcPr>
                <w:p w14:paraId="58D29E79">
                  <w:pPr>
                    <w:widowControl w:val="0"/>
                    <w:adjustRightInd w:val="0"/>
                    <w:snapToGrid w:val="0"/>
                    <w:spacing w:line="240" w:lineRule="exact"/>
                    <w:jc w:val="center"/>
                    <w:rPr>
                      <w:rFonts w:ascii="Times New Roman" w:hAnsi="Times New Roman" w:cs="Times New Roman"/>
                      <w:kern w:val="2"/>
                      <w:sz w:val="21"/>
                      <w:szCs w:val="21"/>
                    </w:rPr>
                  </w:pPr>
                </w:p>
              </w:tc>
              <w:tc>
                <w:tcPr>
                  <w:tcW w:w="839" w:type="dxa"/>
                  <w:tcBorders>
                    <w:top w:val="single" w:color="auto" w:sz="6" w:space="0"/>
                    <w:left w:val="single" w:color="auto" w:sz="6" w:space="0"/>
                    <w:bottom w:val="single" w:color="auto" w:sz="6" w:space="0"/>
                    <w:right w:val="single" w:color="auto" w:sz="6" w:space="0"/>
                  </w:tcBorders>
                  <w:noWrap w:val="0"/>
                  <w:vAlign w:val="center"/>
                </w:tcPr>
                <w:p w14:paraId="581D3231">
                  <w:pPr>
                    <w:widowControl w:val="0"/>
                    <w:adjustRightInd w:val="0"/>
                    <w:snapToGrid w:val="0"/>
                    <w:spacing w:line="240" w:lineRule="exact"/>
                    <w:jc w:val="center"/>
                    <w:rPr>
                      <w:rFonts w:ascii="Times New Roman" w:hAnsi="Times New Roman" w:cs="Times New Roman"/>
                      <w:kern w:val="2"/>
                      <w:sz w:val="21"/>
                      <w:szCs w:val="21"/>
                    </w:rPr>
                  </w:pPr>
                </w:p>
              </w:tc>
              <w:tc>
                <w:tcPr>
                  <w:tcW w:w="547" w:type="dxa"/>
                  <w:tcBorders>
                    <w:top w:val="single" w:color="auto" w:sz="6" w:space="0"/>
                    <w:left w:val="single" w:color="auto" w:sz="6" w:space="0"/>
                    <w:bottom w:val="single" w:color="auto" w:sz="6" w:space="0"/>
                    <w:right w:val="single" w:color="auto" w:sz="6" w:space="0"/>
                  </w:tcBorders>
                  <w:noWrap w:val="0"/>
                  <w:vAlign w:val="center"/>
                </w:tcPr>
                <w:p w14:paraId="152FB337">
                  <w:pPr>
                    <w:widowControl w:val="0"/>
                    <w:adjustRightInd w:val="0"/>
                    <w:snapToGrid w:val="0"/>
                    <w:spacing w:line="240" w:lineRule="exact"/>
                    <w:jc w:val="center"/>
                    <w:rPr>
                      <w:rFonts w:ascii="Times New Roman" w:hAnsi="Times New Roman" w:cs="Times New Roman"/>
                      <w:kern w:val="2"/>
                      <w:sz w:val="21"/>
                      <w:szCs w:val="21"/>
                    </w:rPr>
                  </w:pPr>
                </w:p>
              </w:tc>
              <w:tc>
                <w:tcPr>
                  <w:tcW w:w="681" w:type="dxa"/>
                  <w:tcBorders>
                    <w:top w:val="single" w:color="auto" w:sz="6" w:space="0"/>
                    <w:left w:val="single" w:color="auto" w:sz="6" w:space="0"/>
                    <w:bottom w:val="single" w:color="auto" w:sz="6" w:space="0"/>
                    <w:right w:val="single" w:color="auto" w:sz="6" w:space="0"/>
                  </w:tcBorders>
                  <w:noWrap w:val="0"/>
                  <w:vAlign w:val="center"/>
                </w:tcPr>
                <w:p w14:paraId="6FFB477D">
                  <w:pPr>
                    <w:widowControl w:val="0"/>
                    <w:adjustRightInd w:val="0"/>
                    <w:snapToGrid w:val="0"/>
                    <w:spacing w:line="240" w:lineRule="exact"/>
                    <w:jc w:val="center"/>
                    <w:rPr>
                      <w:rFonts w:ascii="Times New Roman" w:hAnsi="Times New Roman" w:cs="Times New Roman"/>
                      <w:kern w:val="2"/>
                      <w:sz w:val="21"/>
                      <w:szCs w:val="21"/>
                    </w:rPr>
                  </w:pPr>
                </w:p>
              </w:tc>
              <w:tc>
                <w:tcPr>
                  <w:tcW w:w="547" w:type="dxa"/>
                  <w:tcBorders>
                    <w:top w:val="single" w:color="auto" w:sz="6" w:space="0"/>
                    <w:left w:val="single" w:color="auto" w:sz="6" w:space="0"/>
                    <w:bottom w:val="single" w:color="auto" w:sz="6" w:space="0"/>
                    <w:right w:val="single" w:color="auto" w:sz="6" w:space="0"/>
                  </w:tcBorders>
                  <w:noWrap w:val="0"/>
                  <w:vAlign w:val="center"/>
                </w:tcPr>
                <w:p w14:paraId="28352D04">
                  <w:pPr>
                    <w:widowControl w:val="0"/>
                    <w:adjustRightInd w:val="0"/>
                    <w:snapToGrid w:val="0"/>
                    <w:spacing w:line="240" w:lineRule="exact"/>
                    <w:jc w:val="center"/>
                    <w:rPr>
                      <w:rFonts w:ascii="Times New Roman" w:hAnsi="Times New Roman" w:cs="Times New Roman"/>
                      <w:kern w:val="2"/>
                      <w:sz w:val="21"/>
                      <w:szCs w:val="21"/>
                    </w:rPr>
                  </w:pPr>
                </w:p>
              </w:tc>
              <w:tc>
                <w:tcPr>
                  <w:tcW w:w="547" w:type="dxa"/>
                  <w:tcBorders>
                    <w:top w:val="single" w:color="auto" w:sz="6" w:space="0"/>
                    <w:left w:val="single" w:color="auto" w:sz="6" w:space="0"/>
                    <w:bottom w:val="single" w:color="auto" w:sz="6" w:space="0"/>
                    <w:right w:val="single" w:color="auto" w:sz="6" w:space="0"/>
                  </w:tcBorders>
                  <w:noWrap w:val="0"/>
                  <w:vAlign w:val="center"/>
                </w:tcPr>
                <w:p w14:paraId="79449E69">
                  <w:pPr>
                    <w:widowControl w:val="0"/>
                    <w:adjustRightInd w:val="0"/>
                    <w:snapToGrid w:val="0"/>
                    <w:spacing w:line="240" w:lineRule="exact"/>
                    <w:jc w:val="center"/>
                    <w:rPr>
                      <w:rFonts w:ascii="Times New Roman" w:hAnsi="Times New Roman" w:cs="Times New Roman"/>
                      <w:kern w:val="2"/>
                      <w:sz w:val="21"/>
                      <w:szCs w:val="21"/>
                    </w:rPr>
                  </w:pPr>
                </w:p>
              </w:tc>
              <w:tc>
                <w:tcPr>
                  <w:tcW w:w="547" w:type="dxa"/>
                  <w:tcBorders>
                    <w:top w:val="single" w:color="auto" w:sz="6" w:space="0"/>
                    <w:left w:val="single" w:color="auto" w:sz="6" w:space="0"/>
                    <w:bottom w:val="single" w:color="auto" w:sz="6" w:space="0"/>
                    <w:right w:val="single" w:color="auto" w:sz="6" w:space="0"/>
                  </w:tcBorders>
                  <w:noWrap w:val="0"/>
                  <w:vAlign w:val="center"/>
                </w:tcPr>
                <w:p w14:paraId="448E10BE">
                  <w:pPr>
                    <w:widowControl w:val="0"/>
                    <w:adjustRightInd w:val="0"/>
                    <w:snapToGrid w:val="0"/>
                    <w:spacing w:line="240" w:lineRule="exact"/>
                    <w:jc w:val="center"/>
                    <w:rPr>
                      <w:rFonts w:ascii="Times New Roman" w:hAnsi="Times New Roman" w:cs="Times New Roman"/>
                      <w:kern w:val="2"/>
                      <w:sz w:val="21"/>
                      <w:szCs w:val="21"/>
                    </w:rPr>
                  </w:pPr>
                </w:p>
              </w:tc>
              <w:tc>
                <w:tcPr>
                  <w:tcW w:w="414" w:type="dxa"/>
                  <w:tcBorders>
                    <w:top w:val="single" w:color="auto" w:sz="6" w:space="0"/>
                    <w:left w:val="single" w:color="auto" w:sz="6" w:space="0"/>
                    <w:bottom w:val="single" w:color="auto" w:sz="6" w:space="0"/>
                    <w:right w:val="single" w:color="auto" w:sz="6" w:space="0"/>
                  </w:tcBorders>
                  <w:noWrap w:val="0"/>
                  <w:vAlign w:val="center"/>
                </w:tcPr>
                <w:p w14:paraId="30FB8DFE">
                  <w:pPr>
                    <w:widowControl w:val="0"/>
                    <w:adjustRightInd w:val="0"/>
                    <w:snapToGrid w:val="0"/>
                    <w:spacing w:line="240" w:lineRule="exact"/>
                    <w:jc w:val="center"/>
                    <w:rPr>
                      <w:rFonts w:ascii="Times New Roman" w:hAnsi="Times New Roman" w:cs="Times New Roman"/>
                      <w:kern w:val="2"/>
                      <w:sz w:val="21"/>
                      <w:szCs w:val="21"/>
                    </w:rPr>
                  </w:pPr>
                </w:p>
              </w:tc>
              <w:tc>
                <w:tcPr>
                  <w:tcW w:w="681" w:type="dxa"/>
                  <w:tcBorders>
                    <w:top w:val="single" w:color="auto" w:sz="6" w:space="0"/>
                    <w:left w:val="single" w:color="auto" w:sz="6" w:space="0"/>
                    <w:bottom w:val="single" w:color="auto" w:sz="6" w:space="0"/>
                    <w:right w:val="single" w:color="auto" w:sz="6" w:space="0"/>
                  </w:tcBorders>
                  <w:noWrap w:val="0"/>
                  <w:vAlign w:val="center"/>
                </w:tcPr>
                <w:p w14:paraId="10187EEE">
                  <w:pPr>
                    <w:widowControl w:val="0"/>
                    <w:adjustRightInd w:val="0"/>
                    <w:snapToGrid w:val="0"/>
                    <w:spacing w:line="240" w:lineRule="exact"/>
                    <w:jc w:val="center"/>
                    <w:rPr>
                      <w:rFonts w:ascii="Times New Roman" w:hAnsi="Times New Roman" w:cs="Times New Roman"/>
                      <w:kern w:val="2"/>
                      <w:sz w:val="21"/>
                      <w:szCs w:val="21"/>
                    </w:rPr>
                  </w:pPr>
                </w:p>
              </w:tc>
              <w:tc>
                <w:tcPr>
                  <w:tcW w:w="681" w:type="dxa"/>
                  <w:tcBorders>
                    <w:top w:val="single" w:color="auto" w:sz="6" w:space="0"/>
                    <w:left w:val="single" w:color="auto" w:sz="6" w:space="0"/>
                    <w:bottom w:val="single" w:color="auto" w:sz="6" w:space="0"/>
                    <w:right w:val="single" w:color="auto" w:sz="6" w:space="0"/>
                  </w:tcBorders>
                  <w:noWrap w:val="0"/>
                  <w:vAlign w:val="center"/>
                </w:tcPr>
                <w:p w14:paraId="4FF93EAB">
                  <w:pPr>
                    <w:widowControl w:val="0"/>
                    <w:adjustRightInd w:val="0"/>
                    <w:snapToGrid w:val="0"/>
                    <w:spacing w:line="240" w:lineRule="exact"/>
                    <w:jc w:val="center"/>
                    <w:rPr>
                      <w:rFonts w:ascii="Times New Roman" w:hAnsi="Times New Roman" w:cs="Times New Roman"/>
                      <w:kern w:val="2"/>
                      <w:sz w:val="21"/>
                      <w:szCs w:val="21"/>
                    </w:rPr>
                  </w:pPr>
                </w:p>
              </w:tc>
              <w:tc>
                <w:tcPr>
                  <w:tcW w:w="681" w:type="dxa"/>
                  <w:tcBorders>
                    <w:top w:val="single" w:color="auto" w:sz="6" w:space="0"/>
                    <w:left w:val="single" w:color="auto" w:sz="6" w:space="0"/>
                    <w:bottom w:val="single" w:color="auto" w:sz="6" w:space="0"/>
                    <w:right w:val="single" w:color="auto" w:sz="6" w:space="0"/>
                  </w:tcBorders>
                  <w:noWrap w:val="0"/>
                  <w:vAlign w:val="center"/>
                </w:tcPr>
                <w:p w14:paraId="7DBACAB3">
                  <w:pPr>
                    <w:widowControl w:val="0"/>
                    <w:adjustRightInd w:val="0"/>
                    <w:snapToGrid w:val="0"/>
                    <w:spacing w:line="240" w:lineRule="exact"/>
                    <w:jc w:val="center"/>
                    <w:rPr>
                      <w:rFonts w:ascii="Times New Roman" w:hAnsi="Times New Roman" w:cs="Times New Roman"/>
                      <w:kern w:val="2"/>
                      <w:sz w:val="21"/>
                      <w:szCs w:val="21"/>
                    </w:rPr>
                  </w:pPr>
                </w:p>
              </w:tc>
              <w:tc>
                <w:tcPr>
                  <w:tcW w:w="920" w:type="dxa"/>
                  <w:tcBorders>
                    <w:top w:val="single" w:color="auto" w:sz="6" w:space="0"/>
                    <w:left w:val="single" w:color="auto" w:sz="6" w:space="0"/>
                    <w:bottom w:val="single" w:color="auto" w:sz="6" w:space="0"/>
                    <w:right w:val="single" w:color="auto" w:sz="6" w:space="0"/>
                  </w:tcBorders>
                  <w:noWrap w:val="0"/>
                  <w:vAlign w:val="center"/>
                </w:tcPr>
                <w:p w14:paraId="642FA897">
                  <w:pPr>
                    <w:widowControl w:val="0"/>
                    <w:adjustRightInd w:val="0"/>
                    <w:snapToGrid w:val="0"/>
                    <w:spacing w:line="240" w:lineRule="exact"/>
                    <w:jc w:val="center"/>
                    <w:rPr>
                      <w:rFonts w:ascii="Times New Roman" w:hAnsi="Times New Roman" w:cs="Times New Roman"/>
                      <w:kern w:val="2"/>
                      <w:sz w:val="21"/>
                      <w:szCs w:val="21"/>
                    </w:rPr>
                  </w:pPr>
                </w:p>
              </w:tc>
            </w:tr>
          </w:tbl>
          <w:p w14:paraId="31D4D655">
            <w:pPr>
              <w:pStyle w:val="6"/>
              <w:spacing w:line="500" w:lineRule="exact"/>
              <w:ind w:firstLine="480"/>
              <w:rPr>
                <w:rFonts w:hint="default" w:eastAsia="宋体"/>
                <w:kern w:val="0"/>
                <w:sz w:val="24"/>
                <w:lang w:val="en-US" w:eastAsia="zh-CN"/>
              </w:rPr>
            </w:pPr>
            <w:r>
              <w:rPr>
                <w:rFonts w:hint="eastAsia"/>
                <w:kern w:val="0"/>
                <w:sz w:val="24"/>
              </w:rPr>
              <w:t>转移危险废物时，应当按照《危险废物转移管理办法》（生态环境部 公安部 交通运输部 部令 第23号）通过国家危险废物信息管理系统填写、运行危险废物电子转移联单，并依照国家有关规定公开危险废物转移相关污染环境防治信息。环境管理台账记录保存期限不得少于5年。</w:t>
            </w:r>
          </w:p>
          <w:p w14:paraId="3E824F0C">
            <w:pPr>
              <w:pStyle w:val="6"/>
              <w:spacing w:line="500" w:lineRule="exact"/>
              <w:ind w:firstLine="480"/>
              <w:rPr>
                <w:rFonts w:hint="eastAsia"/>
                <w:kern w:val="0"/>
                <w:sz w:val="24"/>
              </w:rPr>
            </w:pPr>
            <w:r>
              <w:rPr>
                <w:rFonts w:hint="eastAsia"/>
                <w:kern w:val="0"/>
                <w:sz w:val="24"/>
              </w:rPr>
              <w:t>采取上述措施后项目固体废物均可得到妥善、合理</w:t>
            </w:r>
            <w:r>
              <w:rPr>
                <w:rFonts w:hint="eastAsia"/>
                <w:kern w:val="0"/>
                <w:sz w:val="24"/>
                <w:lang w:eastAsia="zh-CN"/>
              </w:rPr>
              <w:t>地</w:t>
            </w:r>
            <w:r>
              <w:rPr>
                <w:rFonts w:hint="eastAsia"/>
                <w:kern w:val="0"/>
                <w:sz w:val="24"/>
              </w:rPr>
              <w:t>处置，符合国家对固体废物处置的“减量化、资源化和无害化”的基本原则，处置率达100%，对周围环境的影响可接受。</w:t>
            </w:r>
          </w:p>
          <w:p w14:paraId="7FBEEA25">
            <w:pPr>
              <w:pStyle w:val="6"/>
              <w:spacing w:line="500" w:lineRule="exact"/>
              <w:ind w:firstLine="0" w:firstLineChars="0"/>
              <w:rPr>
                <w:b/>
                <w:bCs/>
                <w:sz w:val="24"/>
              </w:rPr>
            </w:pPr>
            <w:r>
              <w:rPr>
                <w:b/>
                <w:bCs/>
                <w:sz w:val="24"/>
              </w:rPr>
              <w:t>5.土壤和地下水</w:t>
            </w:r>
          </w:p>
          <w:p w14:paraId="6B421619">
            <w:pPr>
              <w:pStyle w:val="6"/>
              <w:spacing w:line="500" w:lineRule="exact"/>
              <w:ind w:firstLine="0" w:firstLineChars="0"/>
              <w:rPr>
                <w:b/>
                <w:bCs/>
                <w:sz w:val="24"/>
              </w:rPr>
            </w:pPr>
            <w:r>
              <w:rPr>
                <w:rFonts w:hint="eastAsia"/>
                <w:b/>
                <w:bCs/>
                <w:sz w:val="24"/>
              </w:rPr>
              <w:t>5.1污染源类型和污染途径</w:t>
            </w:r>
          </w:p>
          <w:p w14:paraId="21D42976">
            <w:pPr>
              <w:pStyle w:val="6"/>
              <w:spacing w:line="500" w:lineRule="exact"/>
              <w:ind w:firstLine="480"/>
              <w:rPr>
                <w:rFonts w:hint="eastAsia"/>
                <w:kern w:val="0"/>
                <w:sz w:val="24"/>
              </w:rPr>
            </w:pPr>
            <w:r>
              <w:rPr>
                <w:rFonts w:hint="eastAsia"/>
                <w:kern w:val="0"/>
                <w:sz w:val="24"/>
              </w:rPr>
              <w:t>项目对地下水及土壤可能产生的污染源为</w:t>
            </w:r>
            <w:r>
              <w:rPr>
                <w:rFonts w:hint="eastAsia"/>
                <w:kern w:val="0"/>
                <w:sz w:val="24"/>
                <w:lang w:val="en-US" w:eastAsia="zh-CN"/>
              </w:rPr>
              <w:t>危险</w:t>
            </w:r>
            <w:r>
              <w:rPr>
                <w:rFonts w:hint="eastAsia"/>
                <w:kern w:val="0"/>
                <w:sz w:val="24"/>
                <w:highlight w:val="none"/>
                <w:lang w:val="en-US" w:eastAsia="zh-CN"/>
              </w:rPr>
              <w:t>化学品</w:t>
            </w:r>
            <w:r>
              <w:rPr>
                <w:rFonts w:hint="eastAsia"/>
                <w:kern w:val="0"/>
                <w:sz w:val="24"/>
                <w:highlight w:val="none"/>
                <w:lang w:eastAsia="zh-CN"/>
              </w:rPr>
              <w:t>泄漏</w:t>
            </w:r>
            <w:r>
              <w:rPr>
                <w:rFonts w:hint="eastAsia"/>
                <w:kern w:val="0"/>
                <w:sz w:val="24"/>
              </w:rPr>
              <w:t>、化粪池</w:t>
            </w:r>
            <w:r>
              <w:rPr>
                <w:rFonts w:hint="eastAsia"/>
                <w:kern w:val="0"/>
                <w:sz w:val="24"/>
                <w:highlight w:val="none"/>
                <w:lang w:eastAsia="zh-CN"/>
              </w:rPr>
              <w:t>泄漏</w:t>
            </w:r>
            <w:r>
              <w:rPr>
                <w:rFonts w:hint="eastAsia"/>
                <w:kern w:val="0"/>
                <w:sz w:val="24"/>
              </w:rPr>
              <w:t>等事故排放情况而对地下水和土壤产生污染。</w:t>
            </w:r>
          </w:p>
          <w:p w14:paraId="49F06B79">
            <w:pPr>
              <w:pStyle w:val="6"/>
              <w:spacing w:line="500" w:lineRule="exact"/>
              <w:ind w:firstLine="480"/>
              <w:rPr>
                <w:rFonts w:hint="eastAsia"/>
                <w:b/>
                <w:bCs/>
                <w:kern w:val="0"/>
                <w:sz w:val="24"/>
                <w:lang w:val="en-GB"/>
              </w:rPr>
            </w:pPr>
            <w:r>
              <w:rPr>
                <w:rFonts w:hint="eastAsia"/>
                <w:kern w:val="0"/>
                <w:sz w:val="24"/>
              </w:rPr>
              <w:t>本项目地下水土壤污染情况见表4-2</w:t>
            </w:r>
            <w:r>
              <w:rPr>
                <w:rFonts w:hint="eastAsia"/>
                <w:kern w:val="0"/>
                <w:sz w:val="24"/>
                <w:lang w:val="en-US" w:eastAsia="zh-CN"/>
              </w:rPr>
              <w:t>1</w:t>
            </w:r>
            <w:r>
              <w:rPr>
                <w:rFonts w:hint="eastAsia"/>
                <w:kern w:val="0"/>
                <w:sz w:val="24"/>
              </w:rPr>
              <w:t>。</w:t>
            </w:r>
          </w:p>
          <w:p w14:paraId="6C348061">
            <w:pPr>
              <w:pStyle w:val="6"/>
              <w:spacing w:line="500" w:lineRule="exact"/>
              <w:ind w:firstLine="0" w:firstLineChars="0"/>
              <w:jc w:val="center"/>
              <w:rPr>
                <w:rFonts w:hint="eastAsia"/>
                <w:b/>
                <w:bCs/>
                <w:kern w:val="0"/>
                <w:sz w:val="24"/>
                <w:lang w:val="en-GB"/>
              </w:rPr>
            </w:pPr>
            <w:r>
              <w:rPr>
                <w:rFonts w:hint="eastAsia"/>
                <w:b/>
                <w:bCs/>
                <w:kern w:val="0"/>
                <w:sz w:val="24"/>
                <w:lang w:val="en-GB"/>
              </w:rPr>
              <w:t>表</w:t>
            </w:r>
            <w:r>
              <w:rPr>
                <w:rFonts w:hint="eastAsia"/>
                <w:b/>
                <w:bCs/>
                <w:kern w:val="0"/>
                <w:sz w:val="24"/>
              </w:rPr>
              <w:t>4-</w:t>
            </w:r>
            <w:r>
              <w:rPr>
                <w:rFonts w:hint="eastAsia"/>
                <w:b/>
                <w:bCs/>
                <w:kern w:val="0"/>
                <w:sz w:val="24"/>
                <w:lang w:val="en-US" w:eastAsia="zh-CN"/>
              </w:rPr>
              <w:t>21</w:t>
            </w:r>
            <w:r>
              <w:rPr>
                <w:rFonts w:hint="eastAsia"/>
                <w:b/>
                <w:bCs/>
                <w:kern w:val="0"/>
                <w:sz w:val="24"/>
              </w:rPr>
              <w:t xml:space="preserve">  </w:t>
            </w:r>
            <w:r>
              <w:rPr>
                <w:rFonts w:hint="eastAsia"/>
                <w:b/>
                <w:bCs/>
                <w:kern w:val="0"/>
                <w:sz w:val="24"/>
                <w:lang w:val="en-GB"/>
              </w:rPr>
              <w:t>地下水、土壤环境污染源和污染途径一览表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1410"/>
              <w:gridCol w:w="1410"/>
              <w:gridCol w:w="1336"/>
              <w:gridCol w:w="1485"/>
              <w:gridCol w:w="1411"/>
            </w:tblGrid>
            <w:tr w14:paraId="1D27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8" w:type="dxa"/>
                  <w:noWrap w:val="0"/>
                  <w:vAlign w:val="center"/>
                </w:tcPr>
                <w:p w14:paraId="25FFCB33">
                  <w:pPr>
                    <w:adjustRightInd w:val="0"/>
                    <w:snapToGrid w:val="0"/>
                    <w:spacing w:line="240" w:lineRule="exact"/>
                    <w:jc w:val="center"/>
                  </w:pPr>
                  <w:r>
                    <w:t>污染源</w:t>
                  </w:r>
                </w:p>
              </w:tc>
              <w:tc>
                <w:tcPr>
                  <w:tcW w:w="1410" w:type="dxa"/>
                  <w:noWrap w:val="0"/>
                  <w:vAlign w:val="center"/>
                </w:tcPr>
                <w:p w14:paraId="619E42B9">
                  <w:pPr>
                    <w:adjustRightInd w:val="0"/>
                    <w:snapToGrid w:val="0"/>
                    <w:spacing w:line="240" w:lineRule="exact"/>
                    <w:jc w:val="center"/>
                  </w:pPr>
                  <w:r>
                    <w:t>工艺流程</w:t>
                  </w:r>
                  <w:r>
                    <w:rPr>
                      <w:rFonts w:hint="eastAsia"/>
                    </w:rPr>
                    <w:t>/节点</w:t>
                  </w:r>
                </w:p>
              </w:tc>
              <w:tc>
                <w:tcPr>
                  <w:tcW w:w="1410" w:type="dxa"/>
                  <w:noWrap w:val="0"/>
                  <w:vAlign w:val="center"/>
                </w:tcPr>
                <w:p w14:paraId="70585C2D">
                  <w:pPr>
                    <w:adjustRightInd w:val="0"/>
                    <w:snapToGrid w:val="0"/>
                    <w:spacing w:line="240" w:lineRule="exact"/>
                    <w:jc w:val="center"/>
                  </w:pPr>
                  <w:r>
                    <w:t>污染途径</w:t>
                  </w:r>
                </w:p>
              </w:tc>
              <w:tc>
                <w:tcPr>
                  <w:tcW w:w="1336" w:type="dxa"/>
                  <w:noWrap w:val="0"/>
                  <w:vAlign w:val="center"/>
                </w:tcPr>
                <w:p w14:paraId="5FE069AB">
                  <w:pPr>
                    <w:adjustRightInd w:val="0"/>
                    <w:snapToGrid w:val="0"/>
                    <w:spacing w:line="240" w:lineRule="exact"/>
                    <w:jc w:val="center"/>
                  </w:pPr>
                  <w:r>
                    <w:t>全部污染物指标</w:t>
                  </w:r>
                </w:p>
              </w:tc>
              <w:tc>
                <w:tcPr>
                  <w:tcW w:w="1485" w:type="dxa"/>
                  <w:noWrap w:val="0"/>
                  <w:vAlign w:val="center"/>
                </w:tcPr>
                <w:p w14:paraId="3A8D1410">
                  <w:pPr>
                    <w:adjustRightInd w:val="0"/>
                    <w:snapToGrid w:val="0"/>
                    <w:spacing w:line="240" w:lineRule="exact"/>
                    <w:jc w:val="center"/>
                  </w:pPr>
                  <w:r>
                    <w:t>特征因子</w:t>
                  </w:r>
                </w:p>
              </w:tc>
              <w:tc>
                <w:tcPr>
                  <w:tcW w:w="1411" w:type="dxa"/>
                  <w:noWrap w:val="0"/>
                  <w:vAlign w:val="center"/>
                </w:tcPr>
                <w:p w14:paraId="0546D09F">
                  <w:pPr>
                    <w:adjustRightInd w:val="0"/>
                    <w:snapToGrid w:val="0"/>
                    <w:spacing w:line="240" w:lineRule="exact"/>
                    <w:jc w:val="center"/>
                  </w:pPr>
                  <w:r>
                    <w:t>备注</w:t>
                  </w:r>
                </w:p>
              </w:tc>
            </w:tr>
            <w:tr w14:paraId="5521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8" w:type="dxa"/>
                  <w:noWrap w:val="0"/>
                  <w:vAlign w:val="center"/>
                </w:tcPr>
                <w:p w14:paraId="55DF3E82">
                  <w:pPr>
                    <w:adjustRightInd w:val="0"/>
                    <w:snapToGrid w:val="0"/>
                    <w:spacing w:line="240" w:lineRule="exact"/>
                    <w:jc w:val="center"/>
                    <w:rPr>
                      <w:rFonts w:hint="default" w:eastAsia="宋体"/>
                      <w:color w:val="auto"/>
                      <w:lang w:val="en-US" w:eastAsia="zh-CN"/>
                    </w:rPr>
                  </w:pPr>
                  <w:r>
                    <w:rPr>
                      <w:rFonts w:hint="eastAsia" w:eastAsia="宋体"/>
                      <w:color w:val="auto"/>
                      <w:lang w:val="en-US" w:eastAsia="zh-CN"/>
                    </w:rPr>
                    <w:t>氢氧化钾溶液、氢氧化锂溶液、氢氧化钠溶液、盐酸、磷酸、多聚磷酸等泄漏</w:t>
                  </w:r>
                </w:p>
              </w:tc>
              <w:tc>
                <w:tcPr>
                  <w:tcW w:w="1410" w:type="dxa"/>
                  <w:noWrap w:val="0"/>
                  <w:vAlign w:val="center"/>
                </w:tcPr>
                <w:p w14:paraId="7D91EB31">
                  <w:pPr>
                    <w:adjustRightInd w:val="0"/>
                    <w:snapToGrid w:val="0"/>
                    <w:spacing w:line="240" w:lineRule="exact"/>
                    <w:jc w:val="center"/>
                    <w:rPr>
                      <w:rFonts w:hint="default"/>
                      <w:color w:val="auto"/>
                      <w:lang w:val="en-US" w:eastAsia="zh-CN"/>
                    </w:rPr>
                  </w:pPr>
                  <w:r>
                    <w:rPr>
                      <w:rFonts w:hint="eastAsia"/>
                      <w:color w:val="auto"/>
                      <w:lang w:val="en-US" w:eastAsia="zh-CN"/>
                    </w:rPr>
                    <w:t>储存</w:t>
                  </w:r>
                </w:p>
              </w:tc>
              <w:tc>
                <w:tcPr>
                  <w:tcW w:w="1410" w:type="dxa"/>
                  <w:noWrap w:val="0"/>
                  <w:vAlign w:val="center"/>
                </w:tcPr>
                <w:p w14:paraId="73403781">
                  <w:pPr>
                    <w:adjustRightInd w:val="0"/>
                    <w:snapToGrid w:val="0"/>
                    <w:spacing w:line="240" w:lineRule="exact"/>
                    <w:jc w:val="center"/>
                  </w:pPr>
                  <w:r>
                    <w:t>垂直入渗</w:t>
                  </w:r>
                </w:p>
              </w:tc>
              <w:tc>
                <w:tcPr>
                  <w:tcW w:w="1336" w:type="dxa"/>
                  <w:noWrap w:val="0"/>
                  <w:vAlign w:val="center"/>
                </w:tcPr>
                <w:p w14:paraId="427C0D55">
                  <w:pPr>
                    <w:adjustRightInd w:val="0"/>
                    <w:snapToGrid w:val="0"/>
                    <w:spacing w:line="240" w:lineRule="exact"/>
                    <w:jc w:val="center"/>
                    <w:rPr>
                      <w:rFonts w:hint="default" w:eastAsia="宋体"/>
                      <w:lang w:val="en-US" w:eastAsia="zh-CN"/>
                    </w:rPr>
                  </w:pPr>
                  <w:r>
                    <w:rPr>
                      <w:rFonts w:hint="eastAsia"/>
                      <w:lang w:val="en-US" w:eastAsia="zh-CN"/>
                    </w:rPr>
                    <w:t>pH值</w:t>
                  </w:r>
                </w:p>
              </w:tc>
              <w:tc>
                <w:tcPr>
                  <w:tcW w:w="1485" w:type="dxa"/>
                  <w:noWrap w:val="0"/>
                  <w:vAlign w:val="center"/>
                </w:tcPr>
                <w:p w14:paraId="15845DCF">
                  <w:pPr>
                    <w:adjustRightInd w:val="0"/>
                    <w:snapToGrid w:val="0"/>
                    <w:spacing w:line="240" w:lineRule="exact"/>
                    <w:jc w:val="center"/>
                  </w:pPr>
                  <w:r>
                    <w:rPr>
                      <w:rFonts w:hint="eastAsia"/>
                      <w:lang w:val="en-US" w:eastAsia="zh-CN"/>
                    </w:rPr>
                    <w:t>pH值</w:t>
                  </w:r>
                </w:p>
              </w:tc>
              <w:tc>
                <w:tcPr>
                  <w:tcW w:w="1411" w:type="dxa"/>
                  <w:vMerge w:val="restart"/>
                  <w:noWrap w:val="0"/>
                  <w:vAlign w:val="center"/>
                </w:tcPr>
                <w:p w14:paraId="1E46C9B0">
                  <w:pPr>
                    <w:adjustRightInd w:val="0"/>
                    <w:snapToGrid w:val="0"/>
                    <w:spacing w:line="240" w:lineRule="exact"/>
                    <w:jc w:val="center"/>
                  </w:pPr>
                  <w:r>
                    <w:t>事故状态渗漏</w:t>
                  </w:r>
                </w:p>
              </w:tc>
            </w:tr>
            <w:tr w14:paraId="2DD4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8" w:type="dxa"/>
                  <w:noWrap w:val="0"/>
                  <w:vAlign w:val="center"/>
                </w:tcPr>
                <w:p w14:paraId="36B6C69E">
                  <w:pPr>
                    <w:adjustRightInd w:val="0"/>
                    <w:snapToGrid w:val="0"/>
                    <w:spacing w:line="240" w:lineRule="exact"/>
                    <w:jc w:val="center"/>
                    <w:rPr>
                      <w:rFonts w:hint="default" w:eastAsia="宋体"/>
                      <w:lang w:val="en-US" w:eastAsia="zh-CN"/>
                    </w:rPr>
                  </w:pPr>
                  <w:r>
                    <w:rPr>
                      <w:rFonts w:hint="eastAsia"/>
                      <w:lang w:val="en-US" w:eastAsia="zh-CN"/>
                    </w:rPr>
                    <w:t>初期雨水</w:t>
                  </w:r>
                </w:p>
              </w:tc>
              <w:tc>
                <w:tcPr>
                  <w:tcW w:w="1410" w:type="dxa"/>
                  <w:noWrap w:val="0"/>
                  <w:vAlign w:val="center"/>
                </w:tcPr>
                <w:p w14:paraId="59520D0A">
                  <w:pPr>
                    <w:adjustRightInd w:val="0"/>
                    <w:snapToGrid w:val="0"/>
                    <w:spacing w:line="240" w:lineRule="exact"/>
                    <w:jc w:val="center"/>
                    <w:rPr>
                      <w:rFonts w:hint="default" w:eastAsia="宋体"/>
                      <w:lang w:val="en-US" w:eastAsia="zh-CN"/>
                    </w:rPr>
                  </w:pPr>
                  <w:r>
                    <w:rPr>
                      <w:rFonts w:hint="eastAsia"/>
                      <w:lang w:val="en-US" w:eastAsia="zh-CN"/>
                    </w:rPr>
                    <w:t>初期雨水池</w:t>
                  </w:r>
                </w:p>
              </w:tc>
              <w:tc>
                <w:tcPr>
                  <w:tcW w:w="1410" w:type="dxa"/>
                  <w:noWrap w:val="0"/>
                  <w:vAlign w:val="center"/>
                </w:tcPr>
                <w:p w14:paraId="0B8DF140">
                  <w:pPr>
                    <w:adjustRightInd w:val="0"/>
                    <w:snapToGrid w:val="0"/>
                    <w:spacing w:line="240" w:lineRule="exact"/>
                    <w:jc w:val="center"/>
                  </w:pPr>
                  <w:r>
                    <w:t>垂直入渗</w:t>
                  </w:r>
                </w:p>
              </w:tc>
              <w:tc>
                <w:tcPr>
                  <w:tcW w:w="1336" w:type="dxa"/>
                  <w:noWrap w:val="0"/>
                  <w:vAlign w:val="center"/>
                </w:tcPr>
                <w:p w14:paraId="423A5328">
                  <w:pPr>
                    <w:adjustRightInd w:val="0"/>
                    <w:snapToGrid w:val="0"/>
                    <w:spacing w:line="240" w:lineRule="exact"/>
                    <w:jc w:val="center"/>
                  </w:pPr>
                  <w:r>
                    <w:rPr>
                      <w:rFonts w:hint="eastAsia"/>
                    </w:rPr>
                    <w:t>COD、</w:t>
                  </w:r>
                  <w:r>
                    <w:rPr>
                      <w:rFonts w:hint="eastAsia"/>
                      <w:lang w:val="en-US" w:eastAsia="zh-CN"/>
                    </w:rPr>
                    <w:t>SS</w:t>
                  </w:r>
                </w:p>
              </w:tc>
              <w:tc>
                <w:tcPr>
                  <w:tcW w:w="1485" w:type="dxa"/>
                  <w:noWrap w:val="0"/>
                  <w:vAlign w:val="center"/>
                </w:tcPr>
                <w:p w14:paraId="7A811C4C">
                  <w:pPr>
                    <w:adjustRightInd w:val="0"/>
                    <w:snapToGrid w:val="0"/>
                    <w:spacing w:line="240" w:lineRule="exact"/>
                    <w:jc w:val="center"/>
                    <w:rPr>
                      <w:rFonts w:hint="eastAsia" w:eastAsia="宋体"/>
                      <w:lang w:eastAsia="zh-CN"/>
                    </w:rPr>
                  </w:pPr>
                  <w:r>
                    <w:rPr>
                      <w:rFonts w:hint="eastAsia"/>
                    </w:rPr>
                    <w:t>COD、</w:t>
                  </w:r>
                  <w:r>
                    <w:rPr>
                      <w:rFonts w:hint="eastAsia"/>
                      <w:lang w:val="en-US" w:eastAsia="zh-CN"/>
                    </w:rPr>
                    <w:t>SS</w:t>
                  </w:r>
                </w:p>
              </w:tc>
              <w:tc>
                <w:tcPr>
                  <w:tcW w:w="1411" w:type="dxa"/>
                  <w:vMerge w:val="continue"/>
                  <w:noWrap w:val="0"/>
                  <w:vAlign w:val="center"/>
                </w:tcPr>
                <w:p w14:paraId="1C082CC2">
                  <w:pPr>
                    <w:adjustRightInd w:val="0"/>
                    <w:snapToGrid w:val="0"/>
                    <w:spacing w:line="240" w:lineRule="exact"/>
                    <w:jc w:val="center"/>
                  </w:pPr>
                </w:p>
              </w:tc>
            </w:tr>
          </w:tbl>
          <w:p w14:paraId="790CC7AA">
            <w:pPr>
              <w:pStyle w:val="6"/>
              <w:spacing w:line="500" w:lineRule="exact"/>
              <w:ind w:firstLine="0" w:firstLineChars="0"/>
              <w:rPr>
                <w:rFonts w:hint="eastAsia"/>
                <w:b/>
                <w:bCs/>
                <w:sz w:val="24"/>
              </w:rPr>
            </w:pPr>
            <w:r>
              <w:rPr>
                <w:rFonts w:hint="eastAsia"/>
                <w:b/>
                <w:bCs/>
                <w:sz w:val="24"/>
              </w:rPr>
              <w:t>5.2防控措施</w:t>
            </w:r>
          </w:p>
          <w:p w14:paraId="31F715B7">
            <w:pPr>
              <w:pStyle w:val="6"/>
              <w:spacing w:line="500" w:lineRule="exact"/>
              <w:ind w:firstLine="480"/>
              <w:rPr>
                <w:rFonts w:hint="default" w:eastAsia="宋体"/>
                <w:kern w:val="0"/>
                <w:sz w:val="24"/>
                <w:lang w:val="en-US" w:eastAsia="zh-CN"/>
              </w:rPr>
            </w:pPr>
            <w:r>
              <w:rPr>
                <w:rFonts w:hint="eastAsia"/>
                <w:kern w:val="0"/>
                <w:sz w:val="24"/>
                <w:lang w:val="en-US" w:eastAsia="zh-CN"/>
              </w:rPr>
              <w:t>现有工程厂区内已采取如下防控措施：</w:t>
            </w:r>
          </w:p>
          <w:p w14:paraId="52095487">
            <w:pPr>
              <w:pStyle w:val="6"/>
              <w:spacing w:line="500" w:lineRule="exact"/>
              <w:ind w:firstLine="0" w:firstLineChars="0"/>
              <w:jc w:val="center"/>
              <w:rPr>
                <w:rFonts w:hint="eastAsia"/>
                <w:b/>
                <w:bCs/>
                <w:kern w:val="0"/>
                <w:sz w:val="24"/>
                <w:lang w:val="en-GB"/>
              </w:rPr>
            </w:pPr>
            <w:r>
              <w:rPr>
                <w:rFonts w:hint="eastAsia"/>
                <w:b/>
                <w:bCs/>
                <w:kern w:val="0"/>
                <w:sz w:val="24"/>
                <w:lang w:val="en-GB"/>
              </w:rPr>
              <w:t>表</w:t>
            </w:r>
            <w:r>
              <w:rPr>
                <w:rFonts w:hint="eastAsia"/>
                <w:b/>
                <w:bCs/>
                <w:kern w:val="0"/>
                <w:sz w:val="24"/>
              </w:rPr>
              <w:t>4-</w:t>
            </w:r>
            <w:r>
              <w:rPr>
                <w:rFonts w:hint="eastAsia"/>
                <w:b/>
                <w:bCs/>
                <w:kern w:val="0"/>
                <w:sz w:val="24"/>
                <w:lang w:val="en-US" w:eastAsia="zh-CN"/>
              </w:rPr>
              <w:t>22</w:t>
            </w:r>
            <w:r>
              <w:rPr>
                <w:rFonts w:hint="eastAsia"/>
                <w:b/>
                <w:bCs/>
                <w:kern w:val="0"/>
                <w:sz w:val="24"/>
              </w:rPr>
              <w:t xml:space="preserve">  </w:t>
            </w:r>
            <w:r>
              <w:rPr>
                <w:rFonts w:hint="eastAsia"/>
                <w:b/>
                <w:bCs/>
                <w:kern w:val="0"/>
                <w:sz w:val="24"/>
                <w:lang w:val="en-US" w:eastAsia="zh-CN"/>
              </w:rPr>
              <w:t>现有工程</w:t>
            </w:r>
            <w:r>
              <w:rPr>
                <w:rFonts w:hint="eastAsia"/>
                <w:b/>
                <w:bCs/>
                <w:kern w:val="0"/>
                <w:sz w:val="24"/>
                <w:lang w:val="en-GB"/>
              </w:rPr>
              <w:t>厂区工程防渗措施一览表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57"/>
              <w:gridCol w:w="2823"/>
              <w:gridCol w:w="2362"/>
              <w:gridCol w:w="2069"/>
            </w:tblGrid>
            <w:tr w14:paraId="0AD98F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8" w:type="pct"/>
                  <w:noWrap w:val="0"/>
                  <w:vAlign w:val="center"/>
                </w:tcPr>
                <w:p w14:paraId="500DA4F3">
                  <w:pPr>
                    <w:spacing w:line="240" w:lineRule="auto"/>
                    <w:jc w:val="center"/>
                    <w:rPr>
                      <w:rFonts w:hint="eastAsia" w:eastAsia="宋体"/>
                      <w:szCs w:val="22"/>
                      <w:lang w:eastAsia="zh-CN"/>
                    </w:rPr>
                  </w:pPr>
                  <w:r>
                    <w:rPr>
                      <w:rFonts w:hint="eastAsia"/>
                      <w:szCs w:val="22"/>
                      <w:lang w:eastAsia="zh-CN"/>
                    </w:rPr>
                    <w:t>单元</w:t>
                  </w:r>
                </w:p>
              </w:tc>
              <w:tc>
                <w:tcPr>
                  <w:tcW w:w="1658" w:type="pct"/>
                  <w:noWrap w:val="0"/>
                  <w:vAlign w:val="center"/>
                </w:tcPr>
                <w:p w14:paraId="45A94EF1">
                  <w:pPr>
                    <w:spacing w:line="240" w:lineRule="auto"/>
                    <w:jc w:val="center"/>
                    <w:rPr>
                      <w:szCs w:val="22"/>
                    </w:rPr>
                  </w:pPr>
                  <w:r>
                    <w:rPr>
                      <w:szCs w:val="22"/>
                    </w:rPr>
                    <w:t>污染区</w:t>
                  </w:r>
                </w:p>
              </w:tc>
              <w:tc>
                <w:tcPr>
                  <w:tcW w:w="1387" w:type="pct"/>
                  <w:noWrap w:val="0"/>
                  <w:vAlign w:val="center"/>
                </w:tcPr>
                <w:p w14:paraId="17003807">
                  <w:pPr>
                    <w:spacing w:line="240" w:lineRule="auto"/>
                    <w:jc w:val="center"/>
                    <w:rPr>
                      <w:szCs w:val="22"/>
                    </w:rPr>
                  </w:pPr>
                  <w:r>
                    <w:rPr>
                      <w:szCs w:val="22"/>
                    </w:rPr>
                    <w:t>防渗结构</w:t>
                  </w:r>
                </w:p>
              </w:tc>
              <w:tc>
                <w:tcPr>
                  <w:tcW w:w="1215" w:type="pct"/>
                  <w:noWrap w:val="0"/>
                  <w:vAlign w:val="center"/>
                </w:tcPr>
                <w:p w14:paraId="4592DF4B">
                  <w:pPr>
                    <w:spacing w:line="240" w:lineRule="auto"/>
                    <w:jc w:val="center"/>
                    <w:rPr>
                      <w:szCs w:val="22"/>
                    </w:rPr>
                  </w:pPr>
                  <w:r>
                    <w:rPr>
                      <w:szCs w:val="22"/>
                    </w:rPr>
                    <w:t>防渗技术要求</w:t>
                  </w:r>
                </w:p>
              </w:tc>
            </w:tr>
            <w:tr w14:paraId="559B52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8" w:type="pct"/>
                  <w:noWrap w:val="0"/>
                  <w:vAlign w:val="center"/>
                </w:tcPr>
                <w:p w14:paraId="30187F0F">
                  <w:pPr>
                    <w:spacing w:line="240" w:lineRule="auto"/>
                    <w:jc w:val="center"/>
                    <w:rPr>
                      <w:rFonts w:hint="eastAsia"/>
                      <w:szCs w:val="21"/>
                      <w:lang w:eastAsia="zh-CN"/>
                    </w:rPr>
                  </w:pPr>
                  <w:r>
                    <w:rPr>
                      <w:rFonts w:hint="eastAsia"/>
                      <w:szCs w:val="21"/>
                      <w:lang w:eastAsia="zh-CN"/>
                    </w:rPr>
                    <w:t>一般防渗区</w:t>
                  </w:r>
                </w:p>
              </w:tc>
              <w:tc>
                <w:tcPr>
                  <w:tcW w:w="1658" w:type="pct"/>
                  <w:noWrap w:val="0"/>
                  <w:vAlign w:val="center"/>
                </w:tcPr>
                <w:p w14:paraId="4F8BBD10">
                  <w:pPr>
                    <w:spacing w:line="240" w:lineRule="auto"/>
                    <w:jc w:val="center"/>
                    <w:rPr>
                      <w:rFonts w:hint="default" w:eastAsia="宋体"/>
                      <w:szCs w:val="21"/>
                      <w:lang w:val="en-US" w:eastAsia="zh-CN"/>
                    </w:rPr>
                  </w:pPr>
                  <w:r>
                    <w:rPr>
                      <w:rFonts w:hint="eastAsia"/>
                      <w:szCs w:val="21"/>
                      <w:lang w:val="en-US" w:eastAsia="zh-CN"/>
                    </w:rPr>
                    <w:t>1号、2号仓库地面、</w:t>
                  </w:r>
                  <w:r>
                    <w:rPr>
                      <w:rFonts w:hint="eastAsia"/>
                      <w:szCs w:val="21"/>
                      <w:lang w:eastAsia="zh-CN"/>
                    </w:rPr>
                    <w:t>化粪池</w:t>
                  </w:r>
                </w:p>
              </w:tc>
              <w:tc>
                <w:tcPr>
                  <w:tcW w:w="1387" w:type="pct"/>
                  <w:noWrap w:val="0"/>
                  <w:vAlign w:val="center"/>
                </w:tcPr>
                <w:p w14:paraId="194B2FD7">
                  <w:pPr>
                    <w:spacing w:line="240" w:lineRule="auto"/>
                    <w:jc w:val="center"/>
                    <w:rPr>
                      <w:szCs w:val="22"/>
                    </w:rPr>
                  </w:pPr>
                  <w:r>
                    <w:rPr>
                      <w:szCs w:val="22"/>
                    </w:rPr>
                    <w:t>水泥混凝土硬化地面，厚度在20～25cm</w:t>
                  </w:r>
                </w:p>
              </w:tc>
              <w:tc>
                <w:tcPr>
                  <w:tcW w:w="1215" w:type="pct"/>
                  <w:noWrap w:val="0"/>
                  <w:vAlign w:val="center"/>
                </w:tcPr>
                <w:p w14:paraId="2AB0A69C">
                  <w:pPr>
                    <w:spacing w:line="240" w:lineRule="auto"/>
                    <w:jc w:val="center"/>
                    <w:rPr>
                      <w:szCs w:val="22"/>
                    </w:rPr>
                  </w:pPr>
                  <w:r>
                    <w:rPr>
                      <w:szCs w:val="22"/>
                    </w:rPr>
                    <w:t>等效黏土防渗层Mb≥1.5m，K≤1.0×10</w:t>
                  </w:r>
                  <w:r>
                    <w:rPr>
                      <w:rFonts w:hint="eastAsia"/>
                      <w:szCs w:val="22"/>
                      <w:lang w:eastAsia="zh-CN"/>
                    </w:rPr>
                    <w:t>—</w:t>
                  </w:r>
                  <w:r>
                    <w:rPr>
                      <w:szCs w:val="22"/>
                      <w:vertAlign w:val="superscript"/>
                    </w:rPr>
                    <w:t>7</w:t>
                  </w:r>
                  <w:r>
                    <w:rPr>
                      <w:szCs w:val="22"/>
                    </w:rPr>
                    <w:t>cm/s</w:t>
                  </w:r>
                </w:p>
              </w:tc>
            </w:tr>
            <w:tr w14:paraId="064D21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8" w:type="pct"/>
                  <w:noWrap w:val="0"/>
                  <w:vAlign w:val="center"/>
                </w:tcPr>
                <w:p w14:paraId="039DA9D5">
                  <w:pPr>
                    <w:spacing w:line="240" w:lineRule="auto"/>
                    <w:jc w:val="center"/>
                    <w:rPr>
                      <w:rFonts w:hint="eastAsia" w:eastAsia="宋体"/>
                      <w:szCs w:val="22"/>
                      <w:lang w:eastAsia="zh-CN"/>
                    </w:rPr>
                  </w:pPr>
                  <w:r>
                    <w:rPr>
                      <w:rFonts w:hint="eastAsia"/>
                      <w:szCs w:val="22"/>
                      <w:lang w:eastAsia="zh-CN"/>
                    </w:rPr>
                    <w:t>简单防渗区</w:t>
                  </w:r>
                </w:p>
              </w:tc>
              <w:tc>
                <w:tcPr>
                  <w:tcW w:w="1658" w:type="pct"/>
                  <w:noWrap w:val="0"/>
                  <w:vAlign w:val="center"/>
                </w:tcPr>
                <w:p w14:paraId="0855EBB1">
                  <w:pPr>
                    <w:spacing w:line="240" w:lineRule="auto"/>
                    <w:jc w:val="center"/>
                    <w:rPr>
                      <w:szCs w:val="22"/>
                    </w:rPr>
                  </w:pPr>
                  <w:r>
                    <w:rPr>
                      <w:szCs w:val="22"/>
                    </w:rPr>
                    <w:t>厂区</w:t>
                  </w:r>
                  <w:r>
                    <w:rPr>
                      <w:rFonts w:hint="eastAsia"/>
                      <w:szCs w:val="22"/>
                      <w:lang w:eastAsia="zh-CN"/>
                    </w:rPr>
                    <w:t>其他</w:t>
                  </w:r>
                  <w:r>
                    <w:rPr>
                      <w:szCs w:val="22"/>
                    </w:rPr>
                    <w:t>地面</w:t>
                  </w:r>
                </w:p>
              </w:tc>
              <w:tc>
                <w:tcPr>
                  <w:tcW w:w="1387" w:type="pct"/>
                  <w:noWrap w:val="0"/>
                  <w:vAlign w:val="center"/>
                </w:tcPr>
                <w:p w14:paraId="3AF88CAF">
                  <w:pPr>
                    <w:spacing w:line="240" w:lineRule="auto"/>
                    <w:jc w:val="center"/>
                    <w:rPr>
                      <w:szCs w:val="22"/>
                    </w:rPr>
                  </w:pPr>
                  <w:r>
                    <w:rPr>
                      <w:szCs w:val="22"/>
                    </w:rPr>
                    <w:t>水泥混凝土硬化地面</w:t>
                  </w:r>
                </w:p>
              </w:tc>
              <w:tc>
                <w:tcPr>
                  <w:tcW w:w="1215" w:type="pct"/>
                  <w:noWrap w:val="0"/>
                  <w:vAlign w:val="center"/>
                </w:tcPr>
                <w:p w14:paraId="3A84867F">
                  <w:pPr>
                    <w:spacing w:line="240" w:lineRule="auto"/>
                    <w:jc w:val="center"/>
                    <w:rPr>
                      <w:szCs w:val="22"/>
                    </w:rPr>
                  </w:pPr>
                  <w:r>
                    <w:rPr>
                      <w:szCs w:val="22"/>
                    </w:rPr>
                    <w:t>一般地面硬化</w:t>
                  </w:r>
                </w:p>
              </w:tc>
            </w:tr>
          </w:tbl>
          <w:p w14:paraId="18517227">
            <w:pPr>
              <w:pStyle w:val="6"/>
              <w:spacing w:line="500" w:lineRule="exact"/>
              <w:rPr>
                <w:rFonts w:hint="eastAsia"/>
                <w:kern w:val="0"/>
                <w:sz w:val="24"/>
              </w:rPr>
            </w:pPr>
            <w:r>
              <w:rPr>
                <w:rFonts w:hint="eastAsia"/>
                <w:kern w:val="0"/>
                <w:sz w:val="24"/>
              </w:rPr>
              <w:t>为了保护区域地下水和土壤环境，项目拟采取以下防治措施：</w:t>
            </w:r>
          </w:p>
          <w:p w14:paraId="7F33ADD5">
            <w:pPr>
              <w:pStyle w:val="6"/>
              <w:spacing w:line="500" w:lineRule="exact"/>
              <w:ind w:firstLine="480"/>
              <w:rPr>
                <w:rFonts w:hint="eastAsia"/>
                <w:kern w:val="0"/>
                <w:sz w:val="24"/>
              </w:rPr>
            </w:pPr>
            <w:r>
              <w:rPr>
                <w:rFonts w:hint="eastAsia"/>
                <w:kern w:val="0"/>
                <w:sz w:val="24"/>
              </w:rPr>
              <w:t>①源头控制</w:t>
            </w:r>
          </w:p>
          <w:p w14:paraId="23C333F1">
            <w:pPr>
              <w:pStyle w:val="6"/>
              <w:spacing w:line="500" w:lineRule="exact"/>
              <w:ind w:firstLine="480"/>
              <w:rPr>
                <w:rFonts w:hint="eastAsia"/>
                <w:kern w:val="0"/>
                <w:sz w:val="24"/>
              </w:rPr>
            </w:pPr>
            <w:r>
              <w:rPr>
                <w:rFonts w:hint="eastAsia"/>
                <w:kern w:val="0"/>
                <w:sz w:val="24"/>
                <w:lang w:val="en-US" w:eastAsia="zh-CN"/>
              </w:rPr>
              <w:t>危险化学品储存场所地面、初期雨水池、事故应急池等地面和池壁参照《石油化工工程防渗技术规范》（GB50934-2013）</w:t>
            </w:r>
            <w:r>
              <w:rPr>
                <w:rFonts w:hint="eastAsia"/>
                <w:kern w:val="0"/>
                <w:sz w:val="24"/>
              </w:rPr>
              <w:t>相关要求进行防渗，定期检查各区地面、池壁防渗抹面，一旦发现可能存在的</w:t>
            </w:r>
            <w:r>
              <w:rPr>
                <w:rFonts w:hint="eastAsia"/>
                <w:kern w:val="0"/>
                <w:sz w:val="24"/>
                <w:lang w:val="en-US" w:eastAsia="zh-CN"/>
              </w:rPr>
              <w:t>包装/</w:t>
            </w:r>
            <w:r>
              <w:rPr>
                <w:rFonts w:hint="eastAsia"/>
                <w:kern w:val="0"/>
                <w:sz w:val="24"/>
              </w:rPr>
              <w:t>装置破损、变形，地面或池壁裂缝，应立即组织抢修或更换设备。</w:t>
            </w:r>
          </w:p>
          <w:p w14:paraId="204A8439">
            <w:pPr>
              <w:pStyle w:val="6"/>
              <w:spacing w:line="500" w:lineRule="exact"/>
              <w:ind w:firstLine="480"/>
              <w:rPr>
                <w:rFonts w:hint="eastAsia"/>
                <w:kern w:val="0"/>
                <w:sz w:val="24"/>
              </w:rPr>
            </w:pPr>
            <w:r>
              <w:rPr>
                <w:rFonts w:hint="eastAsia"/>
                <w:kern w:val="0"/>
                <w:sz w:val="24"/>
              </w:rPr>
              <w:t>②分区防控</w:t>
            </w:r>
          </w:p>
          <w:p w14:paraId="3C1F784F">
            <w:pPr>
              <w:pStyle w:val="6"/>
              <w:spacing w:line="500" w:lineRule="exact"/>
              <w:ind w:firstLine="480"/>
              <w:rPr>
                <w:rFonts w:hint="eastAsia"/>
                <w:color w:val="auto"/>
                <w:kern w:val="0"/>
                <w:sz w:val="24"/>
              </w:rPr>
            </w:pPr>
            <w:r>
              <w:rPr>
                <w:rFonts w:hint="eastAsia"/>
                <w:color w:val="auto"/>
                <w:kern w:val="0"/>
                <w:sz w:val="24"/>
              </w:rPr>
              <w:t>根据厂址各污染物存贮建筑物可能泄漏至地下或地面区域的污染物的性质、污染控制难易程度和建筑物的构筑方式，将建设项目区划分为重点污染防治区、一般污染防治区和其他区域，防止厂区水污染物渗漏污染地下水环境。</w:t>
            </w:r>
          </w:p>
          <w:p w14:paraId="4E497B63">
            <w:pPr>
              <w:pStyle w:val="6"/>
              <w:spacing w:line="500" w:lineRule="exact"/>
              <w:ind w:firstLine="480"/>
              <w:rPr>
                <w:rFonts w:hint="eastAsia" w:ascii="Times New Roman" w:hAnsi="Times New Roman" w:eastAsia="宋体" w:cs="Times New Roman"/>
                <w:b/>
                <w:bCs/>
                <w:color w:val="auto"/>
                <w:kern w:val="0"/>
                <w:sz w:val="24"/>
                <w:lang w:val="en-US" w:eastAsia="zh-CN"/>
              </w:rPr>
            </w:pPr>
            <w:r>
              <w:rPr>
                <w:rFonts w:hint="eastAsia"/>
                <w:color w:val="auto"/>
                <w:kern w:val="0"/>
                <w:sz w:val="24"/>
                <w:lang w:val="en-US" w:eastAsia="zh-CN"/>
              </w:rPr>
              <w:t>参照</w:t>
            </w:r>
            <w:r>
              <w:rPr>
                <w:rFonts w:hint="eastAsia"/>
                <w:color w:val="auto"/>
                <w:kern w:val="0"/>
                <w:sz w:val="24"/>
              </w:rPr>
              <w:t>《石油化工工程防渗技术规范》</w:t>
            </w:r>
            <w:r>
              <w:rPr>
                <w:rFonts w:hint="eastAsia"/>
                <w:color w:val="auto"/>
                <w:kern w:val="0"/>
                <w:sz w:val="24"/>
                <w:lang w:eastAsia="zh-CN"/>
              </w:rPr>
              <w:t>（GB50934-2013）</w:t>
            </w:r>
            <w:r>
              <w:rPr>
                <w:rFonts w:hint="eastAsia"/>
                <w:color w:val="auto"/>
                <w:kern w:val="0"/>
                <w:sz w:val="24"/>
                <w:lang w:val="en-US" w:eastAsia="zh-CN"/>
              </w:rPr>
              <w:t>和</w:t>
            </w:r>
            <w:r>
              <w:rPr>
                <w:rFonts w:hint="eastAsia"/>
                <w:color w:val="auto"/>
                <w:kern w:val="0"/>
                <w:sz w:val="24"/>
              </w:rPr>
              <w:t>《</w:t>
            </w:r>
            <w:r>
              <w:rPr>
                <w:rFonts w:hint="eastAsia"/>
                <w:color w:val="auto"/>
                <w:kern w:val="0"/>
                <w:sz w:val="24"/>
                <w:lang w:eastAsia="zh-CN"/>
              </w:rPr>
              <w:t>危险废物贮存污染标准</w:t>
            </w:r>
            <w:r>
              <w:rPr>
                <w:rFonts w:hint="eastAsia"/>
                <w:color w:val="auto"/>
                <w:kern w:val="0"/>
                <w:sz w:val="24"/>
              </w:rPr>
              <w:t>》（GB18597-20</w:t>
            </w:r>
            <w:r>
              <w:rPr>
                <w:rFonts w:hint="eastAsia"/>
                <w:color w:val="auto"/>
                <w:kern w:val="0"/>
                <w:sz w:val="24"/>
                <w:lang w:val="en-US" w:eastAsia="zh-CN"/>
              </w:rPr>
              <w:t>23</w:t>
            </w:r>
            <w:r>
              <w:rPr>
                <w:rFonts w:hint="eastAsia"/>
                <w:color w:val="auto"/>
                <w:kern w:val="0"/>
                <w:sz w:val="24"/>
              </w:rPr>
              <w:t>），</w:t>
            </w:r>
            <w:r>
              <w:rPr>
                <w:rFonts w:hint="eastAsia"/>
                <w:color w:val="auto"/>
                <w:kern w:val="0"/>
                <w:sz w:val="24"/>
                <w:lang w:val="en-US" w:eastAsia="zh-CN"/>
              </w:rPr>
              <w:t>储存场所</w:t>
            </w:r>
            <w:r>
              <w:rPr>
                <w:rFonts w:hint="eastAsia"/>
                <w:color w:val="auto"/>
                <w:kern w:val="0"/>
                <w:sz w:val="24"/>
              </w:rPr>
              <w:t>典型污染防治分区见表</w:t>
            </w:r>
            <w:r>
              <w:rPr>
                <w:rFonts w:hint="eastAsia"/>
                <w:color w:val="auto"/>
                <w:kern w:val="0"/>
                <w:sz w:val="24"/>
                <w:lang w:val="en-US" w:eastAsia="zh-CN"/>
              </w:rPr>
              <w:t>4-23</w:t>
            </w:r>
            <w:r>
              <w:rPr>
                <w:rFonts w:hint="eastAsia"/>
                <w:color w:val="auto"/>
                <w:kern w:val="0"/>
                <w:sz w:val="24"/>
              </w:rPr>
              <w:t>。</w:t>
            </w:r>
          </w:p>
          <w:p w14:paraId="61175EBC">
            <w:pPr>
              <w:pStyle w:val="6"/>
              <w:spacing w:line="500" w:lineRule="exact"/>
              <w:ind w:firstLine="0" w:firstLineChars="0"/>
              <w:jc w:val="center"/>
              <w:rPr>
                <w:rFonts w:hint="eastAsia" w:ascii="Times New Roman" w:hAnsi="Times New Roman" w:eastAsia="宋体" w:cs="Times New Roman"/>
                <w:b/>
                <w:bCs/>
                <w:color w:val="auto"/>
                <w:kern w:val="0"/>
                <w:sz w:val="24"/>
                <w:lang w:val="en-GB"/>
              </w:rPr>
            </w:pPr>
            <w:r>
              <w:rPr>
                <w:rFonts w:hint="eastAsia" w:ascii="Times New Roman" w:hAnsi="Times New Roman" w:eastAsia="宋体" w:cs="Times New Roman"/>
                <w:b/>
                <w:bCs/>
                <w:color w:val="auto"/>
                <w:kern w:val="0"/>
                <w:sz w:val="24"/>
                <w:lang w:val="en-US" w:eastAsia="zh-CN"/>
              </w:rPr>
              <w:t>表4-2</w:t>
            </w:r>
            <w:r>
              <w:rPr>
                <w:rFonts w:hint="eastAsia" w:cs="Times New Roman"/>
                <w:b/>
                <w:bCs/>
                <w:color w:val="auto"/>
                <w:kern w:val="0"/>
                <w:sz w:val="24"/>
                <w:lang w:val="en-US" w:eastAsia="zh-CN"/>
              </w:rPr>
              <w:t>3</w:t>
            </w:r>
            <w:r>
              <w:rPr>
                <w:rFonts w:hint="eastAsia" w:ascii="Times New Roman" w:hAnsi="Times New Roman" w:eastAsia="宋体" w:cs="Times New Roman"/>
                <w:b/>
                <w:bCs/>
                <w:color w:val="auto"/>
                <w:kern w:val="0"/>
                <w:sz w:val="24"/>
                <w:lang w:val="en-US" w:eastAsia="zh-CN"/>
              </w:rPr>
              <w:t xml:space="preserve"> </w:t>
            </w:r>
            <w:r>
              <w:rPr>
                <w:rFonts w:hint="eastAsia" w:ascii="Times New Roman" w:hAnsi="Times New Roman" w:eastAsia="宋体" w:cs="Times New Roman"/>
                <w:b/>
                <w:bCs/>
                <w:color w:val="auto"/>
                <w:kern w:val="0"/>
                <w:sz w:val="24"/>
                <w:u w:val="none"/>
                <w:lang w:val="en-US" w:eastAsia="zh-CN"/>
              </w:rPr>
              <w:t xml:space="preserve"> GB50934-2013</w:t>
            </w:r>
            <w:r>
              <w:rPr>
                <w:rFonts w:hint="eastAsia" w:ascii="Times New Roman" w:hAnsi="Times New Roman" w:eastAsia="宋体" w:cs="Times New Roman"/>
                <w:b/>
                <w:bCs/>
                <w:color w:val="auto"/>
                <w:kern w:val="0"/>
                <w:sz w:val="24"/>
                <w:lang w:val="en-GB"/>
              </w:rPr>
              <w:t>典型污染防治分区</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612"/>
              <w:gridCol w:w="3120"/>
              <w:gridCol w:w="877"/>
              <w:gridCol w:w="2123"/>
            </w:tblGrid>
            <w:tr w14:paraId="43E3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51089E5D">
                  <w:pPr>
                    <w:pStyle w:val="6"/>
                    <w:spacing w:line="0" w:lineRule="atLeast"/>
                    <w:ind w:left="0" w:leftChars="0" w:firstLine="0" w:firstLineChars="0"/>
                    <w:jc w:val="center"/>
                    <w:rPr>
                      <w:rFonts w:hint="eastAsia" w:ascii="Times New Roman" w:hAnsi="宋体" w:eastAsia="宋体" w:cs="Times New Roman"/>
                      <w:color w:val="auto"/>
                    </w:rPr>
                  </w:pPr>
                  <w:r>
                    <w:rPr>
                      <w:rFonts w:hint="eastAsia" w:ascii="Times New Roman" w:hAnsi="宋体" w:eastAsia="宋体" w:cs="Times New Roman"/>
                      <w:color w:val="auto"/>
                    </w:rPr>
                    <w:t>序号</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5FB4B3CA">
                  <w:pPr>
                    <w:pStyle w:val="6"/>
                    <w:spacing w:line="0" w:lineRule="atLeast"/>
                    <w:ind w:left="0" w:leftChars="0" w:firstLine="0" w:firstLineChars="0"/>
                    <w:jc w:val="center"/>
                    <w:rPr>
                      <w:rFonts w:hint="default" w:ascii="Times New Roman" w:hAnsi="宋体" w:eastAsia="宋体" w:cs="Times New Roman"/>
                      <w:color w:val="auto"/>
                      <w:lang w:val="en-US" w:eastAsia="zh-CN"/>
                    </w:rPr>
                  </w:pPr>
                  <w:r>
                    <w:rPr>
                      <w:rFonts w:hint="eastAsia" w:ascii="Times New Roman" w:hAnsi="宋体" w:eastAsia="宋体" w:cs="Times New Roman"/>
                      <w:color w:val="auto"/>
                      <w:lang w:val="en-US" w:eastAsia="zh-CN"/>
                    </w:rPr>
                    <w:t>单元</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70286538">
                  <w:pPr>
                    <w:pStyle w:val="6"/>
                    <w:spacing w:line="0" w:lineRule="atLeast"/>
                    <w:ind w:left="0" w:leftChars="0" w:firstLine="0" w:firstLineChars="0"/>
                    <w:jc w:val="center"/>
                    <w:rPr>
                      <w:rFonts w:hint="eastAsia" w:ascii="Times New Roman" w:hAnsi="宋体" w:eastAsia="宋体" w:cs="Times New Roman"/>
                      <w:color w:val="auto"/>
                    </w:rPr>
                  </w:pPr>
                  <w:r>
                    <w:rPr>
                      <w:rFonts w:hint="eastAsia" w:ascii="Times New Roman" w:hAnsi="宋体" w:eastAsia="宋体" w:cs="Times New Roman"/>
                      <w:color w:val="auto"/>
                    </w:rPr>
                    <w:t>污染防治区域及部位</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59CAE0EB">
                  <w:pPr>
                    <w:pStyle w:val="6"/>
                    <w:spacing w:line="0" w:lineRule="atLeast"/>
                    <w:ind w:left="0" w:leftChars="0" w:firstLine="0" w:firstLineChars="0"/>
                    <w:jc w:val="center"/>
                    <w:rPr>
                      <w:rFonts w:hint="eastAsia" w:ascii="Times New Roman" w:hAnsi="宋体" w:eastAsia="宋体" w:cs="Times New Roman"/>
                      <w:color w:val="auto"/>
                    </w:rPr>
                  </w:pPr>
                  <w:r>
                    <w:rPr>
                      <w:rFonts w:hint="eastAsia" w:ascii="Times New Roman" w:hAnsi="宋体" w:eastAsia="宋体" w:cs="Times New Roman"/>
                      <w:color w:val="auto"/>
                    </w:rPr>
                    <w:t>防渗分区等级</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24F191A0">
                  <w:pPr>
                    <w:pStyle w:val="6"/>
                    <w:spacing w:line="0" w:lineRule="atLeast"/>
                    <w:ind w:left="0" w:leftChars="0" w:firstLine="0" w:firstLineChars="0"/>
                    <w:jc w:val="center"/>
                    <w:rPr>
                      <w:rFonts w:hint="eastAsia" w:ascii="Times New Roman" w:hAnsi="宋体" w:eastAsia="宋体" w:cs="Times New Roman"/>
                      <w:color w:val="auto"/>
                    </w:rPr>
                  </w:pPr>
                  <w:r>
                    <w:rPr>
                      <w:rFonts w:hint="eastAsia" w:ascii="Times New Roman" w:hAnsi="宋体" w:eastAsia="宋体" w:cs="Times New Roman"/>
                      <w:color w:val="auto"/>
                    </w:rPr>
                    <w:t>备注</w:t>
                  </w:r>
                </w:p>
              </w:tc>
            </w:tr>
            <w:tr w14:paraId="1E49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7AE83F6D">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1</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45AC8828">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地下管道</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213DD7A5">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生产污水（初期雨水）、污油、各种废溶剂等地下管道</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5F48B51B">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重点</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2B3DF571">
                  <w:pPr>
                    <w:pStyle w:val="6"/>
                    <w:spacing w:line="0" w:lineRule="atLeast"/>
                    <w:ind w:left="0" w:leftChars="0" w:firstLine="0" w:firstLineChars="0"/>
                    <w:jc w:val="center"/>
                    <w:rPr>
                      <w:rFonts w:hint="eastAsia" w:ascii="Times New Roman" w:hAnsi="宋体" w:eastAsia="宋体" w:cs="Times New Roman"/>
                    </w:rPr>
                  </w:pPr>
                </w:p>
              </w:tc>
            </w:tr>
            <w:tr w14:paraId="0C7C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3C6FB9DE">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3</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F239EA0">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生产污水井及各种污水池</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020BF8E9">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生产污水的检查井、水封井、渗漏液检查井、污水池和初期雨水池底板及壁板</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2F4D1542">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重点</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588FA5FA">
                  <w:pPr>
                    <w:pStyle w:val="6"/>
                    <w:spacing w:line="0" w:lineRule="atLeast"/>
                    <w:ind w:left="0" w:leftChars="0" w:firstLine="0" w:firstLineChars="0"/>
                    <w:jc w:val="center"/>
                    <w:rPr>
                      <w:rFonts w:hint="eastAsia" w:ascii="Times New Roman" w:hAnsi="宋体" w:eastAsia="宋体" w:cs="Times New Roman"/>
                    </w:rPr>
                  </w:pPr>
                </w:p>
              </w:tc>
            </w:tr>
            <w:tr w14:paraId="0B39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44126267">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4</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1044EBF0">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生产废水预处理</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42E2129C">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生产废水预处理池的底板及壁板</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7D1A8A38">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重点</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692C45FC">
                  <w:pPr>
                    <w:pStyle w:val="6"/>
                    <w:spacing w:line="0" w:lineRule="atLeast"/>
                    <w:ind w:left="0" w:leftChars="0" w:firstLine="0" w:firstLineChars="0"/>
                    <w:jc w:val="center"/>
                    <w:rPr>
                      <w:rFonts w:hint="eastAsia" w:ascii="Times New Roman" w:hAnsi="宋体" w:eastAsia="宋体" w:cs="Times New Roman"/>
                    </w:rPr>
                  </w:pPr>
                </w:p>
              </w:tc>
            </w:tr>
            <w:tr w14:paraId="6C9A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5BDD5804">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5</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8FD412B">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生产污水沟</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22413083">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机泵边沟、油站和生产污水明沟的底板及壁板</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4B56F8B7">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一般</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3B055956">
                  <w:pPr>
                    <w:pStyle w:val="6"/>
                    <w:spacing w:line="0" w:lineRule="atLeast"/>
                    <w:ind w:left="0" w:leftChars="0" w:firstLine="0" w:firstLineChars="0"/>
                    <w:jc w:val="center"/>
                    <w:rPr>
                      <w:rFonts w:hint="eastAsia" w:ascii="Times New Roman" w:hAnsi="宋体" w:eastAsia="宋体" w:cs="Times New Roman"/>
                    </w:rPr>
                  </w:pPr>
                </w:p>
              </w:tc>
            </w:tr>
            <w:tr w14:paraId="6ACC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0E4D6ECD">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6</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88F08DE">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地面</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4330C159">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有污染介质</w:t>
                  </w:r>
                  <w:r>
                    <w:rPr>
                      <w:rFonts w:hint="eastAsia" w:ascii="Times New Roman" w:hAnsi="宋体" w:eastAsia="宋体" w:cs="Times New Roman"/>
                      <w:highlight w:val="none"/>
                      <w:lang w:eastAsia="zh-CN"/>
                    </w:rPr>
                    <w:t>泄漏</w:t>
                  </w:r>
                  <w:r>
                    <w:rPr>
                      <w:rFonts w:hint="eastAsia" w:ascii="Times New Roman" w:hAnsi="宋体" w:eastAsia="宋体" w:cs="Times New Roman"/>
                    </w:rPr>
                    <w:t>或排出的围堰内地面</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3944BB42">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一般</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60CEFCDA">
                  <w:pPr>
                    <w:pStyle w:val="6"/>
                    <w:spacing w:line="0" w:lineRule="atLeast"/>
                    <w:ind w:left="0" w:leftChars="0" w:firstLine="0" w:firstLineChars="0"/>
                    <w:jc w:val="center"/>
                    <w:rPr>
                      <w:rFonts w:hint="eastAsia" w:ascii="Times New Roman" w:hAnsi="宋体" w:eastAsia="宋体" w:cs="Times New Roman"/>
                    </w:rPr>
                  </w:pPr>
                  <w:r>
                    <w:rPr>
                      <w:rFonts w:hint="eastAsia" w:ascii="Times New Roman" w:hAnsi="宋体" w:eastAsia="宋体" w:cs="Times New Roman"/>
                    </w:rPr>
                    <w:t>对于接触腐蚀性介质的地面，需要考虑防腐</w:t>
                  </w:r>
                </w:p>
              </w:tc>
            </w:tr>
            <w:tr w14:paraId="4912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12FEBCAE">
                  <w:pPr>
                    <w:jc w:val="center"/>
                    <w:rPr>
                      <w:rFonts w:hint="eastAsia" w:eastAsia="宋体"/>
                      <w:sz w:val="21"/>
                      <w:szCs w:val="21"/>
                      <w:lang w:eastAsia="zh-CN"/>
                    </w:rPr>
                  </w:pPr>
                  <w:r>
                    <w:rPr>
                      <w:rFonts w:hint="eastAsia" w:eastAsia="宋体"/>
                      <w:sz w:val="21"/>
                      <w:szCs w:val="21"/>
                      <w:lang w:val="en-US" w:eastAsia="zh-CN"/>
                    </w:rPr>
                    <w:t>7</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0BB20DA">
                  <w:pPr>
                    <w:jc w:val="center"/>
                    <w:rPr>
                      <w:rFonts w:eastAsia="宋体"/>
                      <w:sz w:val="21"/>
                      <w:szCs w:val="21"/>
                    </w:rPr>
                  </w:pPr>
                  <w:r>
                    <w:rPr>
                      <w:rFonts w:eastAsia="宋体"/>
                      <w:sz w:val="21"/>
                      <w:szCs w:val="21"/>
                    </w:rPr>
                    <w:t>储罐区</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7B638CA0">
                  <w:pPr>
                    <w:jc w:val="center"/>
                    <w:rPr>
                      <w:rFonts w:eastAsia="宋体"/>
                      <w:sz w:val="21"/>
                      <w:szCs w:val="21"/>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3D8EBF5C">
                  <w:pPr>
                    <w:jc w:val="center"/>
                    <w:rPr>
                      <w:rFonts w:eastAsia="宋体"/>
                      <w:sz w:val="21"/>
                      <w:szCs w:val="21"/>
                    </w:rPr>
                  </w:pPr>
                </w:p>
              </w:tc>
              <w:tc>
                <w:tcPr>
                  <w:tcW w:w="2123" w:type="dxa"/>
                  <w:tcBorders>
                    <w:top w:val="single" w:color="auto" w:sz="4" w:space="0"/>
                    <w:left w:val="single" w:color="auto" w:sz="4" w:space="0"/>
                    <w:bottom w:val="single" w:color="auto" w:sz="4" w:space="0"/>
                    <w:right w:val="single" w:color="auto" w:sz="4" w:space="0"/>
                  </w:tcBorders>
                  <w:noWrap w:val="0"/>
                  <w:vAlign w:val="center"/>
                </w:tcPr>
                <w:p w14:paraId="1B45D9D6">
                  <w:pPr>
                    <w:jc w:val="center"/>
                    <w:rPr>
                      <w:rFonts w:eastAsia="宋体"/>
                      <w:sz w:val="21"/>
                      <w:szCs w:val="21"/>
                    </w:rPr>
                  </w:pPr>
                </w:p>
              </w:tc>
            </w:tr>
            <w:tr w14:paraId="6518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vMerge w:val="restart"/>
                  <w:tcBorders>
                    <w:top w:val="nil"/>
                    <w:left w:val="single" w:color="auto" w:sz="4" w:space="0"/>
                    <w:bottom w:val="single" w:color="auto" w:sz="4" w:space="0"/>
                    <w:right w:val="single" w:color="auto" w:sz="4" w:space="0"/>
                  </w:tcBorders>
                  <w:noWrap w:val="0"/>
                  <w:vAlign w:val="center"/>
                </w:tcPr>
                <w:p w14:paraId="0A8FD1DF">
                  <w:pPr>
                    <w:jc w:val="center"/>
                    <w:rPr>
                      <w:rFonts w:eastAsia="宋体"/>
                      <w:sz w:val="21"/>
                      <w:szCs w:val="21"/>
                    </w:rPr>
                  </w:pPr>
                  <w:r>
                    <w:rPr>
                      <w:rFonts w:hint="eastAsia" w:eastAsia="宋体"/>
                      <w:sz w:val="21"/>
                      <w:szCs w:val="21"/>
                      <w:lang w:val="en-US" w:eastAsia="zh-CN"/>
                    </w:rPr>
                    <w:t>7</w:t>
                  </w:r>
                  <w:r>
                    <w:rPr>
                      <w:rFonts w:eastAsia="宋体"/>
                      <w:sz w:val="21"/>
                      <w:szCs w:val="21"/>
                    </w:rPr>
                    <w:t>.1</w:t>
                  </w:r>
                </w:p>
              </w:tc>
              <w:tc>
                <w:tcPr>
                  <w:tcW w:w="1612" w:type="dxa"/>
                  <w:vMerge w:val="restart"/>
                  <w:tcBorders>
                    <w:top w:val="nil"/>
                    <w:left w:val="single" w:color="auto" w:sz="4" w:space="0"/>
                    <w:bottom w:val="single" w:color="auto" w:sz="4" w:space="0"/>
                    <w:right w:val="single" w:color="auto" w:sz="4" w:space="0"/>
                  </w:tcBorders>
                  <w:noWrap w:val="0"/>
                  <w:vAlign w:val="center"/>
                </w:tcPr>
                <w:p w14:paraId="0E591A1C">
                  <w:pPr>
                    <w:jc w:val="center"/>
                    <w:rPr>
                      <w:rFonts w:eastAsia="宋体"/>
                      <w:sz w:val="21"/>
                      <w:szCs w:val="21"/>
                    </w:rPr>
                  </w:pPr>
                  <w:r>
                    <w:rPr>
                      <w:rFonts w:eastAsia="宋体"/>
                      <w:sz w:val="21"/>
                      <w:szCs w:val="21"/>
                    </w:rPr>
                    <w:t>储罐区</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578640A4">
                  <w:pPr>
                    <w:widowControl/>
                    <w:rPr>
                      <w:rFonts w:eastAsia="宋体"/>
                      <w:sz w:val="21"/>
                      <w:szCs w:val="21"/>
                    </w:rPr>
                  </w:pPr>
                  <w:r>
                    <w:rPr>
                      <w:rFonts w:eastAsia="宋体"/>
                      <w:sz w:val="21"/>
                      <w:szCs w:val="21"/>
                    </w:rPr>
                    <w:t>环墙式和护坡式罐基础</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67C1155E">
                  <w:pPr>
                    <w:widowControl/>
                    <w:jc w:val="center"/>
                    <w:rPr>
                      <w:rFonts w:eastAsia="宋体"/>
                      <w:sz w:val="21"/>
                      <w:szCs w:val="21"/>
                    </w:rPr>
                  </w:pPr>
                  <w:r>
                    <w:rPr>
                      <w:rFonts w:eastAsia="宋体"/>
                      <w:sz w:val="21"/>
                      <w:szCs w:val="21"/>
                    </w:rPr>
                    <w:t>重点</w:t>
                  </w:r>
                </w:p>
              </w:tc>
              <w:tc>
                <w:tcPr>
                  <w:tcW w:w="2123" w:type="dxa"/>
                  <w:vMerge w:val="restart"/>
                  <w:tcBorders>
                    <w:top w:val="nil"/>
                    <w:left w:val="single" w:color="auto" w:sz="4" w:space="0"/>
                    <w:bottom w:val="single" w:color="auto" w:sz="4" w:space="0"/>
                    <w:right w:val="single" w:color="auto" w:sz="4" w:space="0"/>
                  </w:tcBorders>
                  <w:noWrap w:val="0"/>
                  <w:vAlign w:val="center"/>
                </w:tcPr>
                <w:p w14:paraId="5892D056">
                  <w:pPr>
                    <w:widowControl/>
                    <w:jc w:val="center"/>
                    <w:rPr>
                      <w:rFonts w:eastAsia="宋体"/>
                      <w:sz w:val="21"/>
                      <w:szCs w:val="21"/>
                    </w:rPr>
                  </w:pPr>
                </w:p>
              </w:tc>
            </w:tr>
            <w:tr w14:paraId="36FE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vMerge w:val="continue"/>
                  <w:tcBorders>
                    <w:top w:val="nil"/>
                    <w:left w:val="single" w:color="auto" w:sz="4" w:space="0"/>
                    <w:bottom w:val="single" w:color="auto" w:sz="4" w:space="0"/>
                    <w:right w:val="single" w:color="auto" w:sz="4" w:space="0"/>
                  </w:tcBorders>
                  <w:noWrap w:val="0"/>
                  <w:vAlign w:val="center"/>
                </w:tcPr>
                <w:p w14:paraId="0C64890E">
                  <w:pPr>
                    <w:jc w:val="center"/>
                    <w:rPr>
                      <w:rFonts w:eastAsia="宋体"/>
                      <w:sz w:val="21"/>
                      <w:szCs w:val="21"/>
                    </w:rPr>
                  </w:pPr>
                </w:p>
              </w:tc>
              <w:tc>
                <w:tcPr>
                  <w:tcW w:w="1612" w:type="dxa"/>
                  <w:vMerge w:val="continue"/>
                  <w:tcBorders>
                    <w:top w:val="nil"/>
                    <w:left w:val="single" w:color="auto" w:sz="4" w:space="0"/>
                    <w:bottom w:val="single" w:color="auto" w:sz="4" w:space="0"/>
                    <w:right w:val="single" w:color="auto" w:sz="4" w:space="0"/>
                  </w:tcBorders>
                  <w:noWrap w:val="0"/>
                  <w:vAlign w:val="center"/>
                </w:tcPr>
                <w:p w14:paraId="639B879D">
                  <w:pPr>
                    <w:jc w:val="center"/>
                    <w:rPr>
                      <w:rFonts w:eastAsia="宋体"/>
                      <w:sz w:val="21"/>
                      <w:szCs w:val="21"/>
                    </w:rPr>
                  </w:pPr>
                </w:p>
              </w:tc>
              <w:tc>
                <w:tcPr>
                  <w:tcW w:w="3120" w:type="dxa"/>
                  <w:tcBorders>
                    <w:top w:val="single" w:color="auto" w:sz="4" w:space="0"/>
                    <w:left w:val="single" w:color="auto" w:sz="4" w:space="0"/>
                    <w:bottom w:val="single" w:color="auto" w:sz="4" w:space="0"/>
                    <w:right w:val="single" w:color="auto" w:sz="4" w:space="0"/>
                  </w:tcBorders>
                  <w:noWrap w:val="0"/>
                  <w:vAlign w:val="center"/>
                </w:tcPr>
                <w:p w14:paraId="563966FF">
                  <w:pPr>
                    <w:jc w:val="center"/>
                    <w:rPr>
                      <w:rFonts w:eastAsia="宋体"/>
                      <w:sz w:val="21"/>
                      <w:szCs w:val="21"/>
                    </w:rPr>
                  </w:pPr>
                  <w:r>
                    <w:rPr>
                      <w:rFonts w:eastAsia="宋体"/>
                      <w:sz w:val="21"/>
                      <w:szCs w:val="21"/>
                    </w:rPr>
                    <w:t>承台式罐基础</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7527CB6A">
                  <w:pPr>
                    <w:jc w:val="center"/>
                    <w:rPr>
                      <w:rFonts w:eastAsia="宋体"/>
                      <w:sz w:val="21"/>
                      <w:szCs w:val="21"/>
                    </w:rPr>
                  </w:pPr>
                  <w:r>
                    <w:rPr>
                      <w:rFonts w:eastAsia="宋体"/>
                      <w:sz w:val="21"/>
                      <w:szCs w:val="21"/>
                    </w:rPr>
                    <w:t>一般</w:t>
                  </w:r>
                </w:p>
              </w:tc>
              <w:tc>
                <w:tcPr>
                  <w:tcW w:w="2123" w:type="dxa"/>
                  <w:vMerge w:val="continue"/>
                  <w:tcBorders>
                    <w:top w:val="nil"/>
                    <w:left w:val="single" w:color="auto" w:sz="4" w:space="0"/>
                    <w:bottom w:val="single" w:color="auto" w:sz="4" w:space="0"/>
                    <w:right w:val="single" w:color="auto" w:sz="4" w:space="0"/>
                  </w:tcBorders>
                  <w:noWrap w:val="0"/>
                  <w:vAlign w:val="center"/>
                </w:tcPr>
                <w:p w14:paraId="4AB6ABB1">
                  <w:pPr>
                    <w:jc w:val="center"/>
                    <w:rPr>
                      <w:rFonts w:eastAsia="宋体"/>
                      <w:sz w:val="21"/>
                      <w:szCs w:val="21"/>
                    </w:rPr>
                  </w:pPr>
                </w:p>
              </w:tc>
            </w:tr>
            <w:tr w14:paraId="188E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vMerge w:val="continue"/>
                  <w:tcBorders>
                    <w:top w:val="nil"/>
                    <w:left w:val="single" w:color="auto" w:sz="4" w:space="0"/>
                    <w:bottom w:val="single" w:color="auto" w:sz="4" w:space="0"/>
                    <w:right w:val="single" w:color="auto" w:sz="4" w:space="0"/>
                  </w:tcBorders>
                  <w:noWrap w:val="0"/>
                  <w:vAlign w:val="center"/>
                </w:tcPr>
                <w:p w14:paraId="68294FD0">
                  <w:pPr>
                    <w:jc w:val="center"/>
                    <w:rPr>
                      <w:rFonts w:eastAsia="宋体"/>
                      <w:sz w:val="21"/>
                      <w:szCs w:val="21"/>
                    </w:rPr>
                  </w:pPr>
                </w:p>
              </w:tc>
              <w:tc>
                <w:tcPr>
                  <w:tcW w:w="1612" w:type="dxa"/>
                  <w:vMerge w:val="continue"/>
                  <w:tcBorders>
                    <w:top w:val="nil"/>
                    <w:left w:val="single" w:color="auto" w:sz="4" w:space="0"/>
                    <w:bottom w:val="single" w:color="auto" w:sz="4" w:space="0"/>
                    <w:right w:val="single" w:color="auto" w:sz="4" w:space="0"/>
                  </w:tcBorders>
                  <w:noWrap w:val="0"/>
                  <w:vAlign w:val="center"/>
                </w:tcPr>
                <w:p w14:paraId="019467DD">
                  <w:pPr>
                    <w:jc w:val="center"/>
                    <w:rPr>
                      <w:rFonts w:eastAsia="宋体"/>
                      <w:sz w:val="21"/>
                      <w:szCs w:val="21"/>
                    </w:rPr>
                  </w:pPr>
                </w:p>
              </w:tc>
              <w:tc>
                <w:tcPr>
                  <w:tcW w:w="3120" w:type="dxa"/>
                  <w:tcBorders>
                    <w:top w:val="single" w:color="auto" w:sz="4" w:space="0"/>
                    <w:left w:val="single" w:color="auto" w:sz="4" w:space="0"/>
                    <w:bottom w:val="single" w:color="auto" w:sz="4" w:space="0"/>
                    <w:right w:val="single" w:color="auto" w:sz="4" w:space="0"/>
                  </w:tcBorders>
                  <w:noWrap w:val="0"/>
                  <w:vAlign w:val="center"/>
                </w:tcPr>
                <w:p w14:paraId="07E7C542">
                  <w:pPr>
                    <w:jc w:val="center"/>
                    <w:rPr>
                      <w:rFonts w:eastAsia="宋体"/>
                      <w:sz w:val="21"/>
                      <w:szCs w:val="21"/>
                    </w:rPr>
                  </w:pPr>
                  <w:r>
                    <w:rPr>
                      <w:rFonts w:eastAsia="宋体"/>
                      <w:sz w:val="21"/>
                      <w:szCs w:val="21"/>
                    </w:rPr>
                    <w:t>储罐到防火堤之间的地面及防火堤</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7822D4F3">
                  <w:pPr>
                    <w:jc w:val="center"/>
                    <w:rPr>
                      <w:rFonts w:eastAsia="宋体"/>
                      <w:sz w:val="21"/>
                      <w:szCs w:val="21"/>
                    </w:rPr>
                  </w:pPr>
                  <w:r>
                    <w:rPr>
                      <w:rFonts w:eastAsia="宋体"/>
                      <w:sz w:val="21"/>
                      <w:szCs w:val="21"/>
                    </w:rPr>
                    <w:t>一般</w:t>
                  </w:r>
                </w:p>
              </w:tc>
              <w:tc>
                <w:tcPr>
                  <w:tcW w:w="2123" w:type="dxa"/>
                  <w:vMerge w:val="continue"/>
                  <w:tcBorders>
                    <w:top w:val="nil"/>
                    <w:left w:val="single" w:color="auto" w:sz="4" w:space="0"/>
                    <w:bottom w:val="single" w:color="auto" w:sz="4" w:space="0"/>
                    <w:right w:val="single" w:color="auto" w:sz="4" w:space="0"/>
                  </w:tcBorders>
                  <w:noWrap w:val="0"/>
                  <w:vAlign w:val="center"/>
                </w:tcPr>
                <w:p w14:paraId="39118F09">
                  <w:pPr>
                    <w:jc w:val="center"/>
                    <w:rPr>
                      <w:rFonts w:eastAsia="宋体"/>
                      <w:sz w:val="21"/>
                      <w:szCs w:val="21"/>
                    </w:rPr>
                  </w:pPr>
                </w:p>
              </w:tc>
            </w:tr>
            <w:tr w14:paraId="1861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04DABE1F">
                  <w:pPr>
                    <w:jc w:val="center"/>
                    <w:rPr>
                      <w:rFonts w:hint="eastAsia" w:eastAsia="宋体"/>
                      <w:sz w:val="21"/>
                      <w:szCs w:val="21"/>
                      <w:lang w:eastAsia="zh-CN"/>
                    </w:rPr>
                  </w:pPr>
                  <w:r>
                    <w:rPr>
                      <w:rFonts w:hint="eastAsia" w:eastAsia="宋体"/>
                      <w:sz w:val="21"/>
                      <w:szCs w:val="21"/>
                      <w:lang w:val="en-US" w:eastAsia="zh-CN"/>
                    </w:rPr>
                    <w:t>8</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12EA950">
                  <w:pPr>
                    <w:jc w:val="center"/>
                    <w:rPr>
                      <w:rFonts w:eastAsia="宋体"/>
                      <w:sz w:val="21"/>
                      <w:szCs w:val="21"/>
                    </w:rPr>
                  </w:pPr>
                  <w:r>
                    <w:rPr>
                      <w:rFonts w:eastAsia="宋体"/>
                      <w:sz w:val="21"/>
                      <w:szCs w:val="21"/>
                    </w:rPr>
                    <w:t>计量站</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10EDDBAF">
                  <w:pPr>
                    <w:rPr>
                      <w:rFonts w:eastAsia="宋体"/>
                      <w:sz w:val="21"/>
                      <w:szCs w:val="21"/>
                    </w:rPr>
                  </w:pPr>
                  <w:r>
                    <w:rPr>
                      <w:rFonts w:eastAsia="宋体"/>
                      <w:sz w:val="21"/>
                      <w:szCs w:val="21"/>
                    </w:rPr>
                    <w:t>油泵及油品计量站界区内的地面</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09C55A60">
                  <w:pPr>
                    <w:jc w:val="center"/>
                    <w:rPr>
                      <w:rFonts w:eastAsia="宋体"/>
                      <w:sz w:val="21"/>
                      <w:szCs w:val="21"/>
                    </w:rPr>
                  </w:pPr>
                  <w:r>
                    <w:rPr>
                      <w:rFonts w:eastAsia="宋体"/>
                      <w:sz w:val="21"/>
                      <w:szCs w:val="21"/>
                    </w:rPr>
                    <w:t>一般</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39F8C0F5">
                  <w:pPr>
                    <w:jc w:val="center"/>
                    <w:rPr>
                      <w:rFonts w:eastAsia="宋体"/>
                      <w:sz w:val="21"/>
                      <w:szCs w:val="21"/>
                    </w:rPr>
                  </w:pPr>
                </w:p>
              </w:tc>
            </w:tr>
            <w:tr w14:paraId="2F94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2B82F300">
                  <w:pPr>
                    <w:jc w:val="center"/>
                    <w:rPr>
                      <w:rFonts w:hint="eastAsia" w:eastAsia="宋体"/>
                      <w:sz w:val="21"/>
                      <w:szCs w:val="21"/>
                      <w:lang w:eastAsia="zh-CN"/>
                    </w:rPr>
                  </w:pPr>
                  <w:r>
                    <w:rPr>
                      <w:rFonts w:hint="eastAsia" w:eastAsia="宋体"/>
                      <w:sz w:val="21"/>
                      <w:szCs w:val="21"/>
                      <w:lang w:val="en-US" w:eastAsia="zh-CN"/>
                    </w:rPr>
                    <w:t>9</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5D652D20">
                  <w:pPr>
                    <w:jc w:val="center"/>
                    <w:rPr>
                      <w:rFonts w:eastAsia="宋体"/>
                      <w:sz w:val="21"/>
                      <w:szCs w:val="21"/>
                    </w:rPr>
                  </w:pPr>
                  <w:r>
                    <w:rPr>
                      <w:rFonts w:eastAsia="宋体"/>
                      <w:sz w:val="21"/>
                      <w:szCs w:val="21"/>
                    </w:rPr>
                    <w:t>油品装卸设施</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3E2FCFCB">
                  <w:pPr>
                    <w:rPr>
                      <w:rFonts w:eastAsia="宋体"/>
                      <w:sz w:val="21"/>
                      <w:szCs w:val="21"/>
                    </w:rPr>
                  </w:pPr>
                </w:p>
              </w:tc>
              <w:tc>
                <w:tcPr>
                  <w:tcW w:w="877" w:type="dxa"/>
                  <w:tcBorders>
                    <w:top w:val="single" w:color="auto" w:sz="4" w:space="0"/>
                    <w:left w:val="single" w:color="auto" w:sz="4" w:space="0"/>
                    <w:bottom w:val="single" w:color="auto" w:sz="4" w:space="0"/>
                    <w:right w:val="single" w:color="auto" w:sz="4" w:space="0"/>
                  </w:tcBorders>
                  <w:noWrap w:val="0"/>
                  <w:vAlign w:val="center"/>
                </w:tcPr>
                <w:p w14:paraId="690285EE">
                  <w:pPr>
                    <w:jc w:val="center"/>
                    <w:rPr>
                      <w:rFonts w:eastAsia="宋体"/>
                      <w:sz w:val="21"/>
                      <w:szCs w:val="21"/>
                    </w:rPr>
                  </w:pPr>
                </w:p>
              </w:tc>
              <w:tc>
                <w:tcPr>
                  <w:tcW w:w="2123" w:type="dxa"/>
                  <w:tcBorders>
                    <w:top w:val="single" w:color="auto" w:sz="4" w:space="0"/>
                    <w:left w:val="single" w:color="auto" w:sz="4" w:space="0"/>
                    <w:bottom w:val="single" w:color="auto" w:sz="4" w:space="0"/>
                    <w:right w:val="single" w:color="auto" w:sz="4" w:space="0"/>
                  </w:tcBorders>
                  <w:noWrap w:val="0"/>
                  <w:vAlign w:val="center"/>
                </w:tcPr>
                <w:p w14:paraId="3DC5C8A0">
                  <w:pPr>
                    <w:jc w:val="center"/>
                    <w:rPr>
                      <w:rFonts w:eastAsia="宋体"/>
                      <w:sz w:val="21"/>
                      <w:szCs w:val="21"/>
                    </w:rPr>
                  </w:pPr>
                </w:p>
              </w:tc>
            </w:tr>
            <w:tr w14:paraId="7C49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5DB3F604">
                  <w:pPr>
                    <w:jc w:val="center"/>
                    <w:rPr>
                      <w:rFonts w:eastAsia="宋体"/>
                      <w:sz w:val="21"/>
                      <w:szCs w:val="21"/>
                    </w:rPr>
                  </w:pPr>
                  <w:r>
                    <w:rPr>
                      <w:rFonts w:hint="eastAsia" w:eastAsia="宋体"/>
                      <w:sz w:val="21"/>
                      <w:szCs w:val="21"/>
                      <w:lang w:val="en-US" w:eastAsia="zh-CN"/>
                    </w:rPr>
                    <w:t>9</w:t>
                  </w:r>
                  <w:r>
                    <w:rPr>
                      <w:rFonts w:eastAsia="宋体"/>
                      <w:sz w:val="21"/>
                      <w:szCs w:val="21"/>
                    </w:rPr>
                    <w:t>.1</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7C83D1D">
                  <w:pPr>
                    <w:jc w:val="center"/>
                    <w:rPr>
                      <w:rFonts w:eastAsia="宋体"/>
                      <w:sz w:val="21"/>
                      <w:szCs w:val="21"/>
                    </w:rPr>
                  </w:pPr>
                  <w:r>
                    <w:rPr>
                      <w:rFonts w:eastAsia="宋体"/>
                      <w:sz w:val="21"/>
                      <w:szCs w:val="21"/>
                    </w:rPr>
                    <w:t>汽车装卸</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00C24F62">
                  <w:pPr>
                    <w:rPr>
                      <w:rFonts w:eastAsia="宋体"/>
                      <w:sz w:val="21"/>
                      <w:szCs w:val="21"/>
                    </w:rPr>
                  </w:pPr>
                  <w:r>
                    <w:rPr>
                      <w:rFonts w:eastAsia="宋体"/>
                      <w:sz w:val="21"/>
                      <w:szCs w:val="21"/>
                    </w:rPr>
                    <w:t>装卸车栈台界区内的地面</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4D39C0A7">
                  <w:pPr>
                    <w:jc w:val="center"/>
                    <w:rPr>
                      <w:rFonts w:eastAsia="宋体"/>
                      <w:sz w:val="21"/>
                      <w:szCs w:val="21"/>
                    </w:rPr>
                  </w:pPr>
                  <w:r>
                    <w:rPr>
                      <w:rFonts w:eastAsia="宋体"/>
                      <w:sz w:val="21"/>
                      <w:szCs w:val="21"/>
                    </w:rPr>
                    <w:t>一般</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1D8A7477">
                  <w:pPr>
                    <w:jc w:val="center"/>
                    <w:rPr>
                      <w:rFonts w:eastAsia="宋体"/>
                      <w:sz w:val="21"/>
                      <w:szCs w:val="21"/>
                    </w:rPr>
                  </w:pPr>
                </w:p>
              </w:tc>
            </w:tr>
            <w:tr w14:paraId="4237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7447C404">
                  <w:pPr>
                    <w:jc w:val="center"/>
                    <w:rPr>
                      <w:rFonts w:eastAsia="宋体"/>
                      <w:sz w:val="21"/>
                      <w:szCs w:val="21"/>
                    </w:rPr>
                  </w:pPr>
                  <w:r>
                    <w:rPr>
                      <w:rFonts w:hint="eastAsia" w:eastAsia="宋体"/>
                      <w:sz w:val="21"/>
                      <w:szCs w:val="21"/>
                      <w:lang w:val="en-US" w:eastAsia="zh-CN"/>
                    </w:rPr>
                    <w:t>9</w:t>
                  </w:r>
                  <w:r>
                    <w:rPr>
                      <w:rFonts w:eastAsia="宋体"/>
                      <w:sz w:val="21"/>
                      <w:szCs w:val="21"/>
                    </w:rPr>
                    <w:t>.2</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48A49BB9">
                  <w:pPr>
                    <w:jc w:val="center"/>
                    <w:rPr>
                      <w:rFonts w:eastAsia="宋体"/>
                      <w:sz w:val="21"/>
                      <w:szCs w:val="21"/>
                    </w:rPr>
                  </w:pPr>
                  <w:r>
                    <w:rPr>
                      <w:rFonts w:eastAsia="宋体"/>
                      <w:sz w:val="21"/>
                      <w:szCs w:val="21"/>
                    </w:rPr>
                    <w:t>油气回收设施</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29C7201E">
                  <w:pPr>
                    <w:rPr>
                      <w:rFonts w:eastAsia="宋体"/>
                      <w:sz w:val="21"/>
                      <w:szCs w:val="21"/>
                    </w:rPr>
                  </w:pPr>
                  <w:r>
                    <w:rPr>
                      <w:rFonts w:eastAsia="宋体"/>
                      <w:sz w:val="21"/>
                      <w:szCs w:val="21"/>
                    </w:rPr>
                    <w:t>油气回收设施界区内的地面</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15AEC39E">
                  <w:pPr>
                    <w:jc w:val="center"/>
                    <w:rPr>
                      <w:rFonts w:eastAsia="宋体"/>
                      <w:sz w:val="21"/>
                      <w:szCs w:val="21"/>
                    </w:rPr>
                  </w:pPr>
                  <w:r>
                    <w:rPr>
                      <w:rFonts w:eastAsia="宋体"/>
                      <w:sz w:val="21"/>
                      <w:szCs w:val="21"/>
                    </w:rPr>
                    <w:t>一般</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4C187911">
                  <w:pPr>
                    <w:jc w:val="center"/>
                    <w:rPr>
                      <w:rFonts w:eastAsia="宋体"/>
                      <w:sz w:val="21"/>
                      <w:szCs w:val="21"/>
                    </w:rPr>
                  </w:pPr>
                </w:p>
              </w:tc>
            </w:tr>
            <w:tr w14:paraId="5697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4D3DC5B9">
                  <w:pPr>
                    <w:jc w:val="center"/>
                    <w:rPr>
                      <w:rFonts w:hint="default" w:eastAsia="宋体"/>
                      <w:sz w:val="21"/>
                      <w:szCs w:val="21"/>
                      <w:lang w:val="en-US" w:eastAsia="zh-CN"/>
                    </w:rPr>
                  </w:pPr>
                  <w:r>
                    <w:rPr>
                      <w:rFonts w:hint="eastAsia" w:eastAsia="宋体"/>
                      <w:sz w:val="21"/>
                      <w:szCs w:val="21"/>
                      <w:lang w:val="en-US" w:eastAsia="zh-CN"/>
                    </w:rPr>
                    <w:t>10</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3AE7516">
                  <w:pPr>
                    <w:jc w:val="center"/>
                    <w:rPr>
                      <w:rFonts w:eastAsia="宋体"/>
                      <w:sz w:val="21"/>
                      <w:szCs w:val="21"/>
                    </w:rPr>
                  </w:pPr>
                  <w:r>
                    <w:rPr>
                      <w:rFonts w:eastAsia="宋体"/>
                      <w:sz w:val="21"/>
                      <w:szCs w:val="21"/>
                    </w:rPr>
                    <w:t>地下罐</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4DFB50CB">
                  <w:pPr>
                    <w:rPr>
                      <w:rFonts w:eastAsia="宋体"/>
                      <w:sz w:val="21"/>
                      <w:szCs w:val="21"/>
                    </w:rPr>
                  </w:pPr>
                  <w:r>
                    <w:rPr>
                      <w:rFonts w:eastAsia="宋体"/>
                      <w:sz w:val="21"/>
                      <w:szCs w:val="21"/>
                    </w:rPr>
                    <w:t>地下罐等基础的底板及壁板</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5173FC3B">
                  <w:pPr>
                    <w:jc w:val="center"/>
                    <w:rPr>
                      <w:rFonts w:eastAsia="宋体"/>
                      <w:sz w:val="21"/>
                      <w:szCs w:val="21"/>
                    </w:rPr>
                  </w:pPr>
                  <w:r>
                    <w:rPr>
                      <w:rFonts w:eastAsia="宋体"/>
                      <w:sz w:val="21"/>
                      <w:szCs w:val="21"/>
                    </w:rPr>
                    <w:t>重点</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537B5430">
                  <w:pPr>
                    <w:jc w:val="center"/>
                    <w:rPr>
                      <w:rFonts w:eastAsia="宋体"/>
                      <w:sz w:val="21"/>
                      <w:szCs w:val="21"/>
                    </w:rPr>
                  </w:pPr>
                </w:p>
              </w:tc>
            </w:tr>
            <w:tr w14:paraId="117A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3DD084B8">
                  <w:pPr>
                    <w:jc w:val="center"/>
                    <w:rPr>
                      <w:rFonts w:hint="default" w:eastAsia="宋体"/>
                      <w:sz w:val="21"/>
                      <w:szCs w:val="21"/>
                      <w:lang w:val="en-US" w:eastAsia="zh-CN"/>
                    </w:rPr>
                  </w:pPr>
                  <w:r>
                    <w:rPr>
                      <w:rFonts w:hint="eastAsia" w:eastAsia="宋体"/>
                      <w:sz w:val="21"/>
                      <w:szCs w:val="21"/>
                      <w:lang w:val="en-US" w:eastAsia="zh-CN"/>
                    </w:rPr>
                    <w:t>11</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A0ADBD6">
                  <w:pPr>
                    <w:jc w:val="center"/>
                    <w:rPr>
                      <w:rFonts w:eastAsia="宋体"/>
                      <w:sz w:val="21"/>
                      <w:szCs w:val="21"/>
                    </w:rPr>
                  </w:pPr>
                  <w:r>
                    <w:rPr>
                      <w:rFonts w:eastAsia="宋体"/>
                      <w:sz w:val="21"/>
                      <w:szCs w:val="21"/>
                    </w:rPr>
                    <w:t>地下管道</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0B510338">
                  <w:pPr>
                    <w:rPr>
                      <w:rFonts w:eastAsia="宋体"/>
                      <w:sz w:val="21"/>
                      <w:szCs w:val="21"/>
                    </w:rPr>
                  </w:pPr>
                  <w:r>
                    <w:rPr>
                      <w:rFonts w:eastAsia="宋体"/>
                      <w:sz w:val="21"/>
                      <w:szCs w:val="21"/>
                    </w:rPr>
                    <w:t>生产污水等地下管道</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1FFC98EE">
                  <w:pPr>
                    <w:jc w:val="center"/>
                    <w:rPr>
                      <w:rFonts w:eastAsia="宋体"/>
                      <w:sz w:val="21"/>
                      <w:szCs w:val="21"/>
                    </w:rPr>
                  </w:pPr>
                  <w:r>
                    <w:rPr>
                      <w:rFonts w:eastAsia="宋体"/>
                      <w:sz w:val="21"/>
                      <w:szCs w:val="21"/>
                    </w:rPr>
                    <w:t>重点</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7C077BCA">
                  <w:pPr>
                    <w:jc w:val="center"/>
                    <w:rPr>
                      <w:rFonts w:eastAsia="宋体"/>
                      <w:sz w:val="21"/>
                      <w:szCs w:val="21"/>
                    </w:rPr>
                  </w:pPr>
                </w:p>
              </w:tc>
            </w:tr>
            <w:tr w14:paraId="004B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3ED16799">
                  <w:pPr>
                    <w:jc w:val="center"/>
                    <w:rPr>
                      <w:rFonts w:hint="default" w:eastAsia="宋体"/>
                      <w:sz w:val="21"/>
                      <w:szCs w:val="21"/>
                      <w:lang w:val="en-US" w:eastAsia="zh-CN"/>
                    </w:rPr>
                  </w:pPr>
                  <w:r>
                    <w:rPr>
                      <w:rFonts w:hint="eastAsia" w:eastAsia="宋体"/>
                      <w:sz w:val="21"/>
                      <w:szCs w:val="21"/>
                      <w:lang w:val="en-US" w:eastAsia="zh-CN"/>
                    </w:rPr>
                    <w:t>12</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70BA7A47">
                  <w:pPr>
                    <w:jc w:val="center"/>
                    <w:rPr>
                      <w:rFonts w:eastAsia="宋体"/>
                      <w:sz w:val="21"/>
                      <w:szCs w:val="21"/>
                    </w:rPr>
                  </w:pPr>
                  <w:r>
                    <w:rPr>
                      <w:rFonts w:eastAsia="宋体"/>
                      <w:sz w:val="21"/>
                      <w:szCs w:val="21"/>
                    </w:rPr>
                    <w:t>雨水监控池</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37C9A9CA">
                  <w:pPr>
                    <w:jc w:val="center"/>
                    <w:rPr>
                      <w:rFonts w:eastAsia="宋体"/>
                      <w:sz w:val="21"/>
                      <w:szCs w:val="21"/>
                    </w:rPr>
                  </w:pPr>
                  <w:r>
                    <w:rPr>
                      <w:rFonts w:eastAsia="宋体"/>
                      <w:sz w:val="21"/>
                      <w:szCs w:val="21"/>
                    </w:rPr>
                    <w:t>雨水监控池的底板及壁板</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62E6D55A">
                  <w:pPr>
                    <w:jc w:val="center"/>
                    <w:rPr>
                      <w:rFonts w:eastAsia="宋体"/>
                      <w:sz w:val="21"/>
                      <w:szCs w:val="21"/>
                    </w:rPr>
                  </w:pPr>
                  <w:r>
                    <w:rPr>
                      <w:rFonts w:eastAsia="宋体"/>
                      <w:sz w:val="21"/>
                      <w:szCs w:val="21"/>
                    </w:rPr>
                    <w:t>重点</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324A1E9D">
                  <w:pPr>
                    <w:jc w:val="center"/>
                    <w:rPr>
                      <w:rFonts w:eastAsia="宋体"/>
                      <w:sz w:val="21"/>
                      <w:szCs w:val="21"/>
                    </w:rPr>
                  </w:pPr>
                </w:p>
              </w:tc>
            </w:tr>
            <w:tr w14:paraId="68C8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70354359">
                  <w:pPr>
                    <w:jc w:val="center"/>
                    <w:rPr>
                      <w:rFonts w:hint="default" w:eastAsia="宋体"/>
                      <w:sz w:val="21"/>
                      <w:szCs w:val="21"/>
                      <w:lang w:val="en-US" w:eastAsia="zh-CN"/>
                    </w:rPr>
                  </w:pPr>
                  <w:r>
                    <w:rPr>
                      <w:rFonts w:hint="eastAsia" w:eastAsia="宋体"/>
                      <w:sz w:val="21"/>
                      <w:szCs w:val="21"/>
                      <w:lang w:val="en-US" w:eastAsia="zh-CN"/>
                    </w:rPr>
                    <w:t>13</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1C6CA773">
                  <w:pPr>
                    <w:jc w:val="center"/>
                    <w:rPr>
                      <w:rFonts w:eastAsia="宋体"/>
                      <w:sz w:val="21"/>
                      <w:szCs w:val="21"/>
                    </w:rPr>
                  </w:pPr>
                  <w:r>
                    <w:rPr>
                      <w:rFonts w:eastAsia="宋体"/>
                      <w:sz w:val="21"/>
                      <w:szCs w:val="21"/>
                    </w:rPr>
                    <w:t>事故水池</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6EFD8CE5">
                  <w:pPr>
                    <w:jc w:val="center"/>
                    <w:rPr>
                      <w:rFonts w:eastAsia="宋体"/>
                      <w:sz w:val="21"/>
                      <w:szCs w:val="21"/>
                    </w:rPr>
                  </w:pPr>
                  <w:r>
                    <w:rPr>
                      <w:rFonts w:eastAsia="宋体"/>
                      <w:sz w:val="21"/>
                      <w:szCs w:val="21"/>
                    </w:rPr>
                    <w:t>事故水池的底板及壁板</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1D1CE3ED">
                  <w:pPr>
                    <w:jc w:val="center"/>
                    <w:rPr>
                      <w:rFonts w:eastAsia="宋体"/>
                      <w:sz w:val="21"/>
                      <w:szCs w:val="21"/>
                    </w:rPr>
                  </w:pPr>
                  <w:r>
                    <w:rPr>
                      <w:rFonts w:eastAsia="宋体"/>
                      <w:sz w:val="21"/>
                      <w:szCs w:val="21"/>
                    </w:rPr>
                    <w:t>重点</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1C6CBD7E">
                  <w:pPr>
                    <w:jc w:val="center"/>
                    <w:rPr>
                      <w:rFonts w:eastAsia="宋体"/>
                      <w:sz w:val="21"/>
                      <w:szCs w:val="21"/>
                    </w:rPr>
                  </w:pPr>
                </w:p>
              </w:tc>
            </w:tr>
            <w:tr w14:paraId="7083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71E5DD30">
                  <w:pPr>
                    <w:jc w:val="center"/>
                    <w:rPr>
                      <w:rFonts w:hint="default" w:eastAsia="宋体"/>
                      <w:sz w:val="21"/>
                      <w:szCs w:val="21"/>
                      <w:lang w:val="en-US" w:eastAsia="zh-CN"/>
                    </w:rPr>
                  </w:pPr>
                  <w:r>
                    <w:rPr>
                      <w:rFonts w:hint="eastAsia" w:eastAsia="宋体"/>
                      <w:sz w:val="21"/>
                      <w:szCs w:val="21"/>
                      <w:lang w:val="en-US" w:eastAsia="zh-CN"/>
                    </w:rPr>
                    <w:t>14</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B9CB737">
                  <w:pPr>
                    <w:jc w:val="center"/>
                    <w:rPr>
                      <w:rFonts w:eastAsia="宋体"/>
                      <w:sz w:val="21"/>
                      <w:szCs w:val="21"/>
                    </w:rPr>
                  </w:pPr>
                  <w:r>
                    <w:rPr>
                      <w:rFonts w:eastAsia="宋体"/>
                      <w:sz w:val="21"/>
                      <w:szCs w:val="21"/>
                    </w:rPr>
                    <w:t>一般化学品库</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6C6FF84D">
                  <w:pPr>
                    <w:jc w:val="center"/>
                    <w:rPr>
                      <w:rFonts w:eastAsia="宋体"/>
                      <w:sz w:val="21"/>
                      <w:szCs w:val="21"/>
                    </w:rPr>
                  </w:pPr>
                  <w:r>
                    <w:rPr>
                      <w:rFonts w:eastAsia="宋体"/>
                      <w:sz w:val="21"/>
                      <w:szCs w:val="21"/>
                    </w:rPr>
                    <w:t>仓库内的地面</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4302261C">
                  <w:pPr>
                    <w:jc w:val="center"/>
                    <w:rPr>
                      <w:rFonts w:eastAsia="宋体"/>
                      <w:sz w:val="21"/>
                      <w:szCs w:val="21"/>
                    </w:rPr>
                  </w:pPr>
                  <w:r>
                    <w:rPr>
                      <w:rFonts w:eastAsia="宋体"/>
                      <w:sz w:val="21"/>
                      <w:szCs w:val="21"/>
                    </w:rPr>
                    <w:t>一般</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34984833">
                  <w:pPr>
                    <w:jc w:val="center"/>
                    <w:rPr>
                      <w:rFonts w:eastAsia="宋体"/>
                      <w:sz w:val="21"/>
                      <w:szCs w:val="21"/>
                    </w:rPr>
                  </w:pPr>
                </w:p>
              </w:tc>
            </w:tr>
            <w:tr w14:paraId="2912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64E90959">
                  <w:pPr>
                    <w:jc w:val="center"/>
                    <w:rPr>
                      <w:rFonts w:hint="default" w:eastAsia="宋体"/>
                      <w:sz w:val="21"/>
                      <w:szCs w:val="21"/>
                      <w:lang w:val="en-US" w:eastAsia="zh-CN"/>
                    </w:rPr>
                  </w:pPr>
                  <w:r>
                    <w:rPr>
                      <w:rFonts w:hint="eastAsia" w:eastAsia="宋体"/>
                      <w:sz w:val="21"/>
                      <w:szCs w:val="21"/>
                      <w:lang w:val="en-US" w:eastAsia="zh-CN"/>
                    </w:rPr>
                    <w:t>15</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75E2A5A8">
                  <w:pPr>
                    <w:jc w:val="center"/>
                    <w:rPr>
                      <w:rFonts w:eastAsia="宋体"/>
                      <w:sz w:val="21"/>
                      <w:szCs w:val="21"/>
                    </w:rPr>
                  </w:pPr>
                  <w:r>
                    <w:rPr>
                      <w:rFonts w:eastAsia="宋体"/>
                      <w:sz w:val="21"/>
                      <w:szCs w:val="21"/>
                    </w:rPr>
                    <w:t>危险化学品库</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4824D1C5">
                  <w:pPr>
                    <w:jc w:val="center"/>
                    <w:rPr>
                      <w:rFonts w:eastAsia="宋体"/>
                      <w:sz w:val="21"/>
                      <w:szCs w:val="21"/>
                    </w:rPr>
                  </w:pPr>
                  <w:r>
                    <w:rPr>
                      <w:rFonts w:eastAsia="宋体"/>
                      <w:sz w:val="21"/>
                      <w:szCs w:val="21"/>
                    </w:rPr>
                    <w:t>化学品库的室内地面</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6E155CCC">
                  <w:pPr>
                    <w:jc w:val="center"/>
                    <w:rPr>
                      <w:rFonts w:eastAsia="宋体"/>
                      <w:sz w:val="21"/>
                      <w:szCs w:val="21"/>
                    </w:rPr>
                  </w:pPr>
                  <w:r>
                    <w:rPr>
                      <w:rFonts w:eastAsia="宋体"/>
                      <w:sz w:val="21"/>
                      <w:szCs w:val="21"/>
                    </w:rPr>
                    <w:t>重点</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6CD7BF46">
                  <w:pPr>
                    <w:jc w:val="center"/>
                    <w:rPr>
                      <w:rFonts w:eastAsia="宋体"/>
                      <w:sz w:val="21"/>
                      <w:szCs w:val="21"/>
                    </w:rPr>
                  </w:pPr>
                </w:p>
              </w:tc>
            </w:tr>
            <w:tr w14:paraId="1745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6F902F2E">
                  <w:pPr>
                    <w:jc w:val="center"/>
                    <w:rPr>
                      <w:rFonts w:hint="default" w:eastAsia="宋体"/>
                      <w:sz w:val="21"/>
                      <w:szCs w:val="21"/>
                      <w:lang w:val="en-US" w:eastAsia="zh-CN"/>
                    </w:rPr>
                  </w:pPr>
                  <w:r>
                    <w:rPr>
                      <w:rFonts w:hint="eastAsia" w:eastAsia="宋体"/>
                      <w:sz w:val="21"/>
                      <w:szCs w:val="21"/>
                      <w:lang w:val="en-US" w:eastAsia="zh-CN"/>
                    </w:rPr>
                    <w:t>16</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C255916">
                  <w:pPr>
                    <w:jc w:val="center"/>
                    <w:rPr>
                      <w:rFonts w:eastAsia="宋体"/>
                      <w:sz w:val="21"/>
                      <w:szCs w:val="21"/>
                    </w:rPr>
                  </w:pPr>
                  <w:r>
                    <w:rPr>
                      <w:rFonts w:eastAsia="宋体"/>
                      <w:sz w:val="21"/>
                      <w:szCs w:val="21"/>
                    </w:rPr>
                    <w:t>一般固废库</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756317BC">
                  <w:pPr>
                    <w:jc w:val="center"/>
                    <w:rPr>
                      <w:rFonts w:eastAsia="宋体"/>
                      <w:sz w:val="21"/>
                      <w:szCs w:val="21"/>
                    </w:rPr>
                  </w:pPr>
                  <w:r>
                    <w:rPr>
                      <w:rFonts w:eastAsia="宋体"/>
                      <w:sz w:val="21"/>
                      <w:szCs w:val="21"/>
                    </w:rPr>
                    <w:t>库内地面</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04209BE9">
                  <w:pPr>
                    <w:jc w:val="center"/>
                    <w:rPr>
                      <w:rFonts w:eastAsia="宋体"/>
                      <w:sz w:val="21"/>
                      <w:szCs w:val="21"/>
                    </w:rPr>
                  </w:pPr>
                  <w:r>
                    <w:rPr>
                      <w:rFonts w:eastAsia="宋体"/>
                      <w:sz w:val="21"/>
                      <w:szCs w:val="21"/>
                    </w:rPr>
                    <w:t>一般</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588C3DB5">
                  <w:pPr>
                    <w:jc w:val="center"/>
                    <w:rPr>
                      <w:rFonts w:eastAsia="宋体"/>
                      <w:sz w:val="21"/>
                      <w:szCs w:val="21"/>
                    </w:rPr>
                  </w:pPr>
                </w:p>
              </w:tc>
            </w:tr>
            <w:tr w14:paraId="1711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tcBorders>
                    <w:top w:val="single" w:color="auto" w:sz="4" w:space="0"/>
                    <w:left w:val="single" w:color="auto" w:sz="4" w:space="0"/>
                    <w:bottom w:val="single" w:color="auto" w:sz="4" w:space="0"/>
                    <w:right w:val="single" w:color="auto" w:sz="4" w:space="0"/>
                  </w:tcBorders>
                  <w:noWrap w:val="0"/>
                  <w:vAlign w:val="center"/>
                </w:tcPr>
                <w:p w14:paraId="6381E463">
                  <w:pPr>
                    <w:jc w:val="center"/>
                    <w:rPr>
                      <w:rFonts w:hint="default" w:eastAsia="宋体"/>
                      <w:sz w:val="21"/>
                      <w:szCs w:val="21"/>
                      <w:lang w:val="en-US" w:eastAsia="zh-CN"/>
                    </w:rPr>
                  </w:pPr>
                  <w:r>
                    <w:rPr>
                      <w:rFonts w:hint="eastAsia" w:eastAsia="宋体"/>
                      <w:sz w:val="21"/>
                      <w:szCs w:val="21"/>
                      <w:lang w:val="en-US" w:eastAsia="zh-CN"/>
                    </w:rPr>
                    <w:t>17</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3ADD534C">
                  <w:pPr>
                    <w:jc w:val="center"/>
                    <w:rPr>
                      <w:rFonts w:eastAsia="宋体"/>
                      <w:sz w:val="21"/>
                      <w:szCs w:val="21"/>
                    </w:rPr>
                  </w:pPr>
                  <w:r>
                    <w:rPr>
                      <w:rFonts w:eastAsia="宋体"/>
                      <w:sz w:val="21"/>
                      <w:szCs w:val="21"/>
                    </w:rPr>
                    <w:t>危险废物库</w:t>
                  </w:r>
                </w:p>
              </w:tc>
              <w:tc>
                <w:tcPr>
                  <w:tcW w:w="3120" w:type="dxa"/>
                  <w:tcBorders>
                    <w:top w:val="single" w:color="auto" w:sz="4" w:space="0"/>
                    <w:left w:val="single" w:color="auto" w:sz="4" w:space="0"/>
                    <w:bottom w:val="single" w:color="auto" w:sz="4" w:space="0"/>
                    <w:right w:val="single" w:color="auto" w:sz="4" w:space="0"/>
                  </w:tcBorders>
                  <w:noWrap w:val="0"/>
                  <w:vAlign w:val="center"/>
                </w:tcPr>
                <w:p w14:paraId="53037B0A">
                  <w:pPr>
                    <w:jc w:val="center"/>
                    <w:rPr>
                      <w:rFonts w:eastAsia="宋体"/>
                      <w:sz w:val="21"/>
                      <w:szCs w:val="21"/>
                    </w:rPr>
                  </w:pPr>
                  <w:r>
                    <w:rPr>
                      <w:rFonts w:eastAsia="宋体"/>
                      <w:sz w:val="21"/>
                      <w:szCs w:val="21"/>
                    </w:rPr>
                    <w:t>库内地面</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2F8A72CC">
                  <w:pPr>
                    <w:jc w:val="center"/>
                    <w:rPr>
                      <w:rFonts w:eastAsia="宋体"/>
                      <w:sz w:val="21"/>
                      <w:szCs w:val="21"/>
                    </w:rPr>
                  </w:pPr>
                  <w:r>
                    <w:rPr>
                      <w:rFonts w:eastAsia="宋体"/>
                      <w:sz w:val="21"/>
                      <w:szCs w:val="21"/>
                    </w:rPr>
                    <w:t>重点</w:t>
                  </w:r>
                </w:p>
              </w:tc>
              <w:tc>
                <w:tcPr>
                  <w:tcW w:w="2123" w:type="dxa"/>
                  <w:tcBorders>
                    <w:top w:val="single" w:color="auto" w:sz="4" w:space="0"/>
                    <w:left w:val="single" w:color="auto" w:sz="4" w:space="0"/>
                    <w:bottom w:val="single" w:color="auto" w:sz="4" w:space="0"/>
                    <w:right w:val="single" w:color="auto" w:sz="4" w:space="0"/>
                  </w:tcBorders>
                  <w:noWrap w:val="0"/>
                  <w:vAlign w:val="center"/>
                </w:tcPr>
                <w:p w14:paraId="29A8E1F9">
                  <w:pPr>
                    <w:jc w:val="center"/>
                    <w:rPr>
                      <w:rFonts w:eastAsia="宋体"/>
                      <w:sz w:val="21"/>
                      <w:szCs w:val="21"/>
                    </w:rPr>
                  </w:pPr>
                </w:p>
              </w:tc>
            </w:tr>
          </w:tbl>
          <w:p w14:paraId="7A80BF2F">
            <w:pPr>
              <w:pStyle w:val="6"/>
              <w:spacing w:line="500" w:lineRule="exact"/>
              <w:ind w:firstLine="480"/>
              <w:rPr>
                <w:rFonts w:hint="eastAsia"/>
                <w:color w:val="auto"/>
                <w:kern w:val="0"/>
                <w:sz w:val="24"/>
                <w:u w:val="none"/>
                <w:lang w:val="en-US" w:eastAsia="zh-CN"/>
              </w:rPr>
            </w:pPr>
            <w:r>
              <w:rPr>
                <w:rFonts w:hint="eastAsia"/>
                <w:color w:val="auto"/>
                <w:kern w:val="0"/>
                <w:sz w:val="24"/>
                <w:u w:val="none"/>
                <w:lang w:val="en-US" w:eastAsia="zh-CN"/>
              </w:rPr>
              <w:t>根据表4-26，项目初期雨水池、事故应急池底板及壁板、危险化学品储存场所</w:t>
            </w:r>
            <w:r>
              <w:rPr>
                <w:rFonts w:hint="eastAsia"/>
                <w:color w:val="auto"/>
                <w:kern w:val="0"/>
                <w:sz w:val="24"/>
                <w:szCs w:val="24"/>
                <w:u w:val="none"/>
                <w:lang w:val="en-US" w:eastAsia="zh-CN"/>
              </w:rPr>
              <w:t>（</w:t>
            </w:r>
            <w:r>
              <w:rPr>
                <w:rFonts w:hint="eastAsia"/>
                <w:color w:val="auto"/>
                <w:sz w:val="24"/>
                <w:szCs w:val="24"/>
                <w:u w:val="none"/>
                <w:lang w:val="en-US" w:eastAsia="zh-CN"/>
              </w:rPr>
              <w:t>2号仓库、4号仓库、5号仓库</w:t>
            </w:r>
            <w:r>
              <w:rPr>
                <w:rFonts w:hint="eastAsia"/>
                <w:color w:val="auto"/>
                <w:kern w:val="0"/>
                <w:sz w:val="24"/>
                <w:szCs w:val="24"/>
                <w:u w:val="none"/>
                <w:lang w:val="en-US" w:eastAsia="zh-CN"/>
              </w:rPr>
              <w:t>）</w:t>
            </w:r>
            <w:r>
              <w:rPr>
                <w:rFonts w:hint="eastAsia"/>
                <w:color w:val="auto"/>
                <w:kern w:val="0"/>
                <w:sz w:val="24"/>
                <w:u w:val="none"/>
                <w:lang w:val="en-US" w:eastAsia="zh-CN"/>
              </w:rPr>
              <w:t>地面、危险品集装箱拆装棚、危险废物暂存间采取重点防渗，集装箱空箱堆场采取简单防渗。</w:t>
            </w:r>
          </w:p>
          <w:p w14:paraId="1F155714">
            <w:pPr>
              <w:pStyle w:val="6"/>
              <w:spacing w:line="500" w:lineRule="exact"/>
              <w:ind w:firstLine="480"/>
              <w:rPr>
                <w:rFonts w:hint="default" w:eastAsia="宋体"/>
                <w:color w:val="auto"/>
                <w:kern w:val="0"/>
                <w:sz w:val="24"/>
                <w:u w:val="none"/>
                <w:lang w:val="en-US" w:eastAsia="zh-CN"/>
              </w:rPr>
            </w:pPr>
            <w:r>
              <w:rPr>
                <w:rFonts w:hint="eastAsia"/>
                <w:color w:val="auto"/>
                <w:kern w:val="0"/>
                <w:sz w:val="24"/>
                <w:u w:val="none"/>
                <w:lang w:val="en-US" w:eastAsia="zh-CN"/>
              </w:rPr>
              <w:t>改建的2号、扩建的4号、5号仓库地面防渗措施不符合要求，建设单位应严格按照表4-27落实项目防渗要求。</w:t>
            </w:r>
          </w:p>
          <w:p w14:paraId="7E411C83">
            <w:pPr>
              <w:pStyle w:val="6"/>
              <w:spacing w:line="500" w:lineRule="exact"/>
              <w:ind w:firstLine="480"/>
              <w:rPr>
                <w:rFonts w:hint="eastAsia"/>
                <w:b w:val="0"/>
                <w:bCs w:val="0"/>
                <w:color w:val="auto"/>
                <w:kern w:val="0"/>
                <w:sz w:val="24"/>
                <w:lang w:val="en-US" w:eastAsia="zh-CN"/>
              </w:rPr>
            </w:pPr>
            <w:r>
              <w:rPr>
                <w:rFonts w:hint="eastAsia"/>
                <w:kern w:val="0"/>
                <w:sz w:val="24"/>
              </w:rPr>
              <w:t>厂区防渗要求见表4-</w:t>
            </w:r>
            <w:r>
              <w:rPr>
                <w:rFonts w:hint="eastAsia"/>
                <w:color w:val="auto"/>
                <w:kern w:val="0"/>
                <w:sz w:val="24"/>
                <w:lang w:val="en-US" w:eastAsia="zh-CN"/>
              </w:rPr>
              <w:t>24</w:t>
            </w:r>
            <w:r>
              <w:rPr>
                <w:rFonts w:hint="eastAsia"/>
                <w:color w:val="auto"/>
                <w:kern w:val="0"/>
                <w:sz w:val="24"/>
              </w:rPr>
              <w:t>。</w:t>
            </w:r>
            <w:r>
              <w:rPr>
                <w:rFonts w:hint="eastAsia"/>
                <w:b w:val="0"/>
                <w:bCs w:val="0"/>
                <w:color w:val="auto"/>
                <w:kern w:val="0"/>
                <w:sz w:val="24"/>
                <w:lang w:val="en-US" w:eastAsia="zh-CN"/>
              </w:rPr>
              <w:t>防渗分区图见附图5。</w:t>
            </w:r>
          </w:p>
          <w:p w14:paraId="3577D42B">
            <w:pPr>
              <w:pStyle w:val="6"/>
              <w:spacing w:line="500" w:lineRule="exact"/>
              <w:ind w:firstLine="0" w:firstLineChars="0"/>
              <w:jc w:val="center"/>
              <w:rPr>
                <w:rFonts w:hint="eastAsia"/>
                <w:b/>
                <w:bCs/>
                <w:kern w:val="0"/>
                <w:sz w:val="24"/>
                <w:lang w:val="en-GB"/>
              </w:rPr>
            </w:pPr>
            <w:r>
              <w:rPr>
                <w:rFonts w:hint="eastAsia"/>
                <w:b/>
                <w:bCs/>
                <w:kern w:val="0"/>
                <w:sz w:val="24"/>
                <w:lang w:val="en-GB"/>
              </w:rPr>
              <w:t>表</w:t>
            </w:r>
            <w:r>
              <w:rPr>
                <w:rFonts w:hint="eastAsia"/>
                <w:b/>
                <w:bCs/>
                <w:kern w:val="0"/>
                <w:sz w:val="24"/>
              </w:rPr>
              <w:t>4-</w:t>
            </w:r>
            <w:r>
              <w:rPr>
                <w:rFonts w:hint="eastAsia"/>
                <w:b/>
                <w:bCs/>
                <w:kern w:val="0"/>
                <w:sz w:val="24"/>
                <w:lang w:val="en-US" w:eastAsia="zh-CN"/>
              </w:rPr>
              <w:t>24</w:t>
            </w:r>
            <w:r>
              <w:rPr>
                <w:rFonts w:hint="eastAsia"/>
                <w:b/>
                <w:bCs/>
                <w:kern w:val="0"/>
                <w:sz w:val="24"/>
              </w:rPr>
              <w:t xml:space="preserve">  </w:t>
            </w:r>
            <w:r>
              <w:rPr>
                <w:rFonts w:hint="eastAsia"/>
                <w:b/>
                <w:bCs/>
                <w:kern w:val="0"/>
                <w:sz w:val="24"/>
                <w:lang w:val="en-GB"/>
              </w:rPr>
              <w:t>厂区工程防渗措施一览表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42"/>
              <w:gridCol w:w="2102"/>
              <w:gridCol w:w="1778"/>
              <w:gridCol w:w="1749"/>
              <w:gridCol w:w="1943"/>
            </w:tblGrid>
            <w:tr w14:paraId="01809A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2" w:type="dxa"/>
                  <w:noWrap w:val="0"/>
                  <w:vAlign w:val="center"/>
                </w:tcPr>
                <w:p w14:paraId="03CEA7CE">
                  <w:pPr>
                    <w:spacing w:line="240" w:lineRule="exact"/>
                    <w:jc w:val="center"/>
                    <w:rPr>
                      <w:rFonts w:hint="eastAsia" w:eastAsia="宋体"/>
                      <w:szCs w:val="22"/>
                      <w:lang w:eastAsia="zh-CN"/>
                    </w:rPr>
                  </w:pPr>
                  <w:r>
                    <w:rPr>
                      <w:rFonts w:hint="eastAsia"/>
                      <w:szCs w:val="22"/>
                      <w:lang w:eastAsia="zh-CN"/>
                    </w:rPr>
                    <w:t>单元</w:t>
                  </w:r>
                </w:p>
              </w:tc>
              <w:tc>
                <w:tcPr>
                  <w:tcW w:w="2160" w:type="dxa"/>
                  <w:noWrap w:val="0"/>
                  <w:vAlign w:val="center"/>
                </w:tcPr>
                <w:p w14:paraId="54565FDD">
                  <w:pPr>
                    <w:spacing w:line="240" w:lineRule="exact"/>
                    <w:jc w:val="center"/>
                    <w:rPr>
                      <w:szCs w:val="22"/>
                    </w:rPr>
                  </w:pPr>
                  <w:r>
                    <w:rPr>
                      <w:szCs w:val="22"/>
                    </w:rPr>
                    <w:t>污染区</w:t>
                  </w:r>
                </w:p>
              </w:tc>
              <w:tc>
                <w:tcPr>
                  <w:tcW w:w="1808" w:type="dxa"/>
                  <w:noWrap w:val="0"/>
                  <w:vAlign w:val="center"/>
                </w:tcPr>
                <w:p w14:paraId="06C911B9">
                  <w:pPr>
                    <w:spacing w:line="240" w:lineRule="exact"/>
                    <w:jc w:val="center"/>
                    <w:rPr>
                      <w:szCs w:val="22"/>
                    </w:rPr>
                  </w:pPr>
                  <w:r>
                    <w:rPr>
                      <w:szCs w:val="22"/>
                    </w:rPr>
                    <w:t>防渗结构</w:t>
                  </w:r>
                </w:p>
              </w:tc>
              <w:tc>
                <w:tcPr>
                  <w:tcW w:w="1584" w:type="dxa"/>
                  <w:noWrap w:val="0"/>
                  <w:vAlign w:val="center"/>
                </w:tcPr>
                <w:p w14:paraId="7BF6D796">
                  <w:pPr>
                    <w:spacing w:line="240" w:lineRule="exact"/>
                    <w:jc w:val="center"/>
                    <w:rPr>
                      <w:szCs w:val="22"/>
                    </w:rPr>
                  </w:pPr>
                  <w:r>
                    <w:rPr>
                      <w:szCs w:val="22"/>
                    </w:rPr>
                    <w:t>防渗技术要求</w:t>
                  </w:r>
                </w:p>
              </w:tc>
              <w:tc>
                <w:tcPr>
                  <w:tcW w:w="1943" w:type="dxa"/>
                  <w:noWrap w:val="0"/>
                  <w:vAlign w:val="center"/>
                </w:tcPr>
                <w:p w14:paraId="31417554">
                  <w:pPr>
                    <w:spacing w:line="240" w:lineRule="exact"/>
                    <w:jc w:val="center"/>
                    <w:rPr>
                      <w:szCs w:val="22"/>
                    </w:rPr>
                  </w:pPr>
                  <w:r>
                    <w:rPr>
                      <w:szCs w:val="22"/>
                    </w:rPr>
                    <w:t>防渗标准</w:t>
                  </w:r>
                </w:p>
              </w:tc>
            </w:tr>
            <w:tr w14:paraId="3470A7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2" w:type="dxa"/>
                  <w:vMerge w:val="restart"/>
                  <w:noWrap w:val="0"/>
                  <w:vAlign w:val="center"/>
                </w:tcPr>
                <w:p w14:paraId="4162F211">
                  <w:pPr>
                    <w:spacing w:line="240" w:lineRule="exact"/>
                    <w:jc w:val="center"/>
                    <w:rPr>
                      <w:rFonts w:hint="eastAsia"/>
                      <w:lang w:eastAsia="zh-CN"/>
                    </w:rPr>
                  </w:pPr>
                  <w:r>
                    <w:rPr>
                      <w:rFonts w:hint="eastAsia"/>
                      <w:lang w:eastAsia="zh-CN"/>
                    </w:rPr>
                    <w:t>重点防渗区</w:t>
                  </w:r>
                </w:p>
              </w:tc>
              <w:tc>
                <w:tcPr>
                  <w:tcW w:w="2160" w:type="dxa"/>
                  <w:noWrap w:val="0"/>
                  <w:vAlign w:val="center"/>
                </w:tcPr>
                <w:p w14:paraId="3FF26D05">
                  <w:pPr>
                    <w:spacing w:line="240" w:lineRule="exact"/>
                    <w:jc w:val="center"/>
                    <w:rPr>
                      <w:rFonts w:hint="default" w:eastAsia="宋体"/>
                      <w:szCs w:val="21"/>
                      <w:lang w:val="en-US" w:eastAsia="zh-CN"/>
                    </w:rPr>
                  </w:pPr>
                  <w:r>
                    <w:rPr>
                      <w:rFonts w:hint="eastAsia"/>
                      <w:szCs w:val="21"/>
                      <w:lang w:val="en-US" w:eastAsia="zh-CN"/>
                    </w:rPr>
                    <w:t>2号仓库、4号仓库、5号仓库、危险品集装箱拆装棚、导流沟、初期雨水池、事故应急池</w:t>
                  </w:r>
                </w:p>
              </w:tc>
              <w:tc>
                <w:tcPr>
                  <w:tcW w:w="1808" w:type="dxa"/>
                  <w:vMerge w:val="restart"/>
                  <w:noWrap w:val="0"/>
                  <w:vAlign w:val="center"/>
                </w:tcPr>
                <w:p w14:paraId="2A9238F3">
                  <w:pPr>
                    <w:pStyle w:val="6"/>
                    <w:spacing w:line="0" w:lineRule="atLeast"/>
                    <w:ind w:left="0" w:leftChars="0" w:firstLine="0" w:firstLineChars="0"/>
                    <w:jc w:val="center"/>
                  </w:pPr>
                  <w:r>
                    <w:rPr>
                      <w:rFonts w:hint="eastAsia" w:hAnsi="宋体"/>
                    </w:rPr>
                    <w:t>水泥基渗透结晶型抗渗混凝土（厚度不小于</w:t>
                  </w:r>
                  <w:r>
                    <w:t>250mm</w:t>
                  </w:r>
                </w:p>
                <w:p w14:paraId="159F5A8A">
                  <w:pPr>
                    <w:pStyle w:val="6"/>
                    <w:spacing w:line="0" w:lineRule="atLeast"/>
                    <w:ind w:left="0" w:leftChars="0" w:firstLine="0" w:firstLineChars="0"/>
                    <w:jc w:val="center"/>
                  </w:pPr>
                  <w:r>
                    <w:rPr>
                      <w:rFonts w:hint="eastAsia" w:hAnsi="宋体"/>
                      <w:highlight w:val="none"/>
                    </w:rPr>
                    <w:t>）</w:t>
                  </w:r>
                  <w:r>
                    <w:t>+</w:t>
                  </w:r>
                  <w:r>
                    <w:rPr>
                      <w:rFonts w:hint="eastAsia" w:hAnsi="宋体"/>
                    </w:rPr>
                    <w:t>水泥基渗透结晶型防渗涂层</w:t>
                  </w:r>
                  <w:r>
                    <w:rPr>
                      <w:rFonts w:hint="eastAsia" w:hAnsi="宋体"/>
                      <w:lang w:eastAsia="zh-CN"/>
                    </w:rPr>
                    <w:t>结构</w:t>
                  </w:r>
                  <w:r>
                    <w:rPr>
                      <w:rFonts w:hint="eastAsia" w:hAnsi="宋体"/>
                    </w:rPr>
                    <w:t>（厚度不小于</w:t>
                  </w:r>
                  <w:r>
                    <w:t>1.0mm</w:t>
                  </w:r>
                  <w:r>
                    <w:rPr>
                      <w:rFonts w:hint="eastAsia" w:hAnsi="宋体"/>
                    </w:rPr>
                    <w:t>）</w:t>
                  </w:r>
                </w:p>
              </w:tc>
              <w:tc>
                <w:tcPr>
                  <w:tcW w:w="1584" w:type="dxa"/>
                  <w:vMerge w:val="restart"/>
                  <w:noWrap w:val="0"/>
                  <w:vAlign w:val="center"/>
                </w:tcPr>
                <w:p w14:paraId="686B6ADD">
                  <w:pPr>
                    <w:pStyle w:val="6"/>
                    <w:spacing w:line="0" w:lineRule="atLeast"/>
                    <w:ind w:left="0" w:leftChars="0" w:firstLine="0" w:firstLineChars="0"/>
                    <w:jc w:val="center"/>
                  </w:pPr>
                  <w:r>
                    <w:rPr>
                      <w:rFonts w:hint="eastAsia" w:hAnsi="宋体"/>
                    </w:rPr>
                    <w:t>等效黏土防渗层</w:t>
                  </w:r>
                  <w:r>
                    <w:t>Mb≥6.0m</w:t>
                  </w:r>
                  <w:r>
                    <w:rPr>
                      <w:rFonts w:hint="eastAsia" w:hAnsi="宋体"/>
                    </w:rPr>
                    <w:t>，</w:t>
                  </w:r>
                  <w:r>
                    <w:t>K≤1.0×10</w:t>
                  </w:r>
                  <w:r>
                    <w:rPr>
                      <w:rFonts w:hint="eastAsia"/>
                      <w:lang w:eastAsia="zh-CN"/>
                    </w:rPr>
                    <w:t>—</w:t>
                  </w:r>
                  <w:r>
                    <w:rPr>
                      <w:vertAlign w:val="superscript"/>
                    </w:rPr>
                    <w:t>7</w:t>
                  </w:r>
                  <w:r>
                    <w:t>cm/s</w:t>
                  </w:r>
                </w:p>
              </w:tc>
              <w:tc>
                <w:tcPr>
                  <w:tcW w:w="1943" w:type="dxa"/>
                  <w:noWrap w:val="0"/>
                  <w:vAlign w:val="center"/>
                </w:tcPr>
                <w:p w14:paraId="3C8A8A2A">
                  <w:pPr>
                    <w:spacing w:line="240" w:lineRule="exact"/>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rPr>
                    <w:t>参照《石油化工工程防渗技术规范》（GB</w:t>
                  </w:r>
                  <w:r>
                    <w:rPr>
                      <w:rFonts w:hint="eastAsia" w:ascii="Times New Roman" w:hAnsi="Times New Roman" w:eastAsia="宋体" w:cs="Times New Roman"/>
                      <w:szCs w:val="22"/>
                      <w:lang w:val="en-US" w:eastAsia="zh-CN"/>
                    </w:rPr>
                    <w:t>50934</w:t>
                  </w:r>
                  <w:r>
                    <w:rPr>
                      <w:rFonts w:hint="eastAsia" w:ascii="Times New Roman" w:hAnsi="Times New Roman" w:eastAsia="宋体" w:cs="Times New Roman"/>
                      <w:szCs w:val="22"/>
                    </w:rPr>
                    <w:t>-20</w:t>
                  </w:r>
                  <w:r>
                    <w:rPr>
                      <w:rFonts w:hint="eastAsia" w:ascii="Times New Roman" w:hAnsi="Times New Roman" w:eastAsia="宋体" w:cs="Times New Roman"/>
                      <w:szCs w:val="22"/>
                      <w:lang w:val="en-US" w:eastAsia="zh-CN"/>
                    </w:rPr>
                    <w:t>13</w:t>
                  </w:r>
                  <w:r>
                    <w:rPr>
                      <w:rFonts w:hint="eastAsia" w:ascii="Times New Roman" w:hAnsi="Times New Roman" w:eastAsia="宋体" w:cs="Times New Roman"/>
                      <w:szCs w:val="22"/>
                    </w:rPr>
                    <w:t>）</w:t>
                  </w:r>
                  <w:r>
                    <w:rPr>
                      <w:rFonts w:hint="eastAsia" w:ascii="Times New Roman" w:hAnsi="Times New Roman" w:eastAsia="宋体" w:cs="Times New Roman"/>
                      <w:szCs w:val="22"/>
                      <w:lang w:val="en-US" w:eastAsia="zh-CN"/>
                    </w:rPr>
                    <w:t>执行</w:t>
                  </w:r>
                </w:p>
              </w:tc>
            </w:tr>
            <w:tr w14:paraId="49DB49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2" w:type="dxa"/>
                  <w:vMerge w:val="continue"/>
                  <w:noWrap w:val="0"/>
                  <w:vAlign w:val="center"/>
                </w:tcPr>
                <w:p w14:paraId="506F5056">
                  <w:pPr>
                    <w:spacing w:line="240" w:lineRule="exact"/>
                    <w:jc w:val="center"/>
                    <w:rPr>
                      <w:rFonts w:hint="eastAsia"/>
                      <w:lang w:eastAsia="zh-CN"/>
                    </w:rPr>
                  </w:pPr>
                </w:p>
              </w:tc>
              <w:tc>
                <w:tcPr>
                  <w:tcW w:w="2160" w:type="dxa"/>
                  <w:noWrap w:val="0"/>
                  <w:vAlign w:val="center"/>
                </w:tcPr>
                <w:p w14:paraId="1EBED71C">
                  <w:pPr>
                    <w:spacing w:line="240" w:lineRule="exact"/>
                    <w:jc w:val="center"/>
                    <w:rPr>
                      <w:rFonts w:hint="default"/>
                      <w:szCs w:val="21"/>
                      <w:lang w:val="en-US" w:eastAsia="zh-CN"/>
                    </w:rPr>
                  </w:pPr>
                  <w:r>
                    <w:rPr>
                      <w:rFonts w:hint="eastAsia"/>
                      <w:szCs w:val="21"/>
                      <w:lang w:val="en-US" w:eastAsia="zh-CN"/>
                    </w:rPr>
                    <w:t>危险废物暂存间</w:t>
                  </w:r>
                </w:p>
              </w:tc>
              <w:tc>
                <w:tcPr>
                  <w:tcW w:w="1808" w:type="dxa"/>
                  <w:vMerge w:val="continue"/>
                  <w:noWrap w:val="0"/>
                  <w:vAlign w:val="center"/>
                </w:tcPr>
                <w:p w14:paraId="270EA89A">
                  <w:pPr>
                    <w:pStyle w:val="6"/>
                    <w:spacing w:line="0" w:lineRule="atLeast"/>
                    <w:ind w:left="0" w:leftChars="0" w:firstLine="0" w:firstLineChars="0"/>
                    <w:jc w:val="center"/>
                    <w:rPr>
                      <w:rFonts w:hint="eastAsia" w:hAnsi="宋体"/>
                    </w:rPr>
                  </w:pPr>
                </w:p>
              </w:tc>
              <w:tc>
                <w:tcPr>
                  <w:tcW w:w="1584" w:type="dxa"/>
                  <w:vMerge w:val="continue"/>
                  <w:noWrap w:val="0"/>
                  <w:vAlign w:val="center"/>
                </w:tcPr>
                <w:p w14:paraId="4B1993AE">
                  <w:pPr>
                    <w:pStyle w:val="6"/>
                    <w:spacing w:line="0" w:lineRule="atLeast"/>
                    <w:ind w:left="0" w:leftChars="0" w:firstLine="0" w:firstLineChars="0"/>
                    <w:jc w:val="center"/>
                    <w:rPr>
                      <w:rFonts w:hint="eastAsia" w:hAnsi="宋体"/>
                    </w:rPr>
                  </w:pPr>
                </w:p>
              </w:tc>
              <w:tc>
                <w:tcPr>
                  <w:tcW w:w="1943" w:type="dxa"/>
                  <w:noWrap w:val="0"/>
                  <w:vAlign w:val="center"/>
                </w:tcPr>
                <w:p w14:paraId="073CC3A5">
                  <w:pPr>
                    <w:spacing w:line="240" w:lineRule="exact"/>
                    <w:jc w:val="center"/>
                    <w:rPr>
                      <w:rFonts w:hint="eastAsia" w:ascii="Times New Roman" w:hAnsi="Times New Roman" w:eastAsia="宋体" w:cs="Times New Roman"/>
                      <w:szCs w:val="22"/>
                    </w:rPr>
                  </w:pPr>
                  <w:r>
                    <w:rPr>
                      <w:rFonts w:hint="eastAsia" w:ascii="Times New Roman" w:hAnsi="Times New Roman" w:eastAsia="宋体" w:cs="Times New Roman"/>
                      <w:szCs w:val="22"/>
                      <w:lang w:val="en-US" w:eastAsia="zh-CN"/>
                    </w:rPr>
                    <w:t>按</w:t>
                  </w:r>
                  <w:r>
                    <w:rPr>
                      <w:rFonts w:hint="eastAsia" w:ascii="Times New Roman" w:hAnsi="Times New Roman" w:eastAsia="宋体" w:cs="Times New Roman"/>
                      <w:szCs w:val="22"/>
                    </w:rPr>
                    <w:t>《</w:t>
                  </w:r>
                  <w:r>
                    <w:rPr>
                      <w:rFonts w:hint="eastAsia" w:cs="Times New Roman"/>
                      <w:szCs w:val="22"/>
                      <w:lang w:eastAsia="zh-CN"/>
                    </w:rPr>
                    <w:t>危险废物贮存污染标准</w:t>
                  </w:r>
                  <w:r>
                    <w:rPr>
                      <w:rFonts w:hint="eastAsia" w:ascii="Times New Roman" w:hAnsi="Times New Roman" w:eastAsia="宋体" w:cs="Times New Roman"/>
                      <w:szCs w:val="22"/>
                    </w:rPr>
                    <w:t>》（GB185</w:t>
                  </w:r>
                </w:p>
                <w:p w14:paraId="37A6AE9C">
                  <w:pPr>
                    <w:spacing w:line="240" w:lineRule="exact"/>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rPr>
                    <w:t>97-20</w:t>
                  </w:r>
                  <w:r>
                    <w:rPr>
                      <w:rFonts w:hint="eastAsia" w:ascii="Times New Roman" w:hAnsi="Times New Roman" w:eastAsia="宋体" w:cs="Times New Roman"/>
                      <w:szCs w:val="22"/>
                      <w:lang w:val="en-US" w:eastAsia="zh-CN"/>
                    </w:rPr>
                    <w:t>23</w:t>
                  </w:r>
                  <w:r>
                    <w:rPr>
                      <w:rFonts w:hint="eastAsia" w:ascii="Times New Roman" w:hAnsi="Times New Roman" w:eastAsia="宋体" w:cs="Times New Roman"/>
                      <w:szCs w:val="22"/>
                    </w:rPr>
                    <w:t>）</w:t>
                  </w:r>
                  <w:r>
                    <w:rPr>
                      <w:rFonts w:hint="eastAsia" w:ascii="Times New Roman" w:hAnsi="Times New Roman" w:eastAsia="宋体" w:cs="Times New Roman"/>
                      <w:szCs w:val="22"/>
                      <w:lang w:val="en-US" w:eastAsia="zh-CN"/>
                    </w:rPr>
                    <w:t>执行</w:t>
                  </w:r>
                </w:p>
              </w:tc>
            </w:tr>
            <w:tr w14:paraId="294892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2" w:type="dxa"/>
                  <w:noWrap w:val="0"/>
                  <w:vAlign w:val="center"/>
                </w:tcPr>
                <w:p w14:paraId="608B446F">
                  <w:pPr>
                    <w:spacing w:line="240" w:lineRule="exact"/>
                    <w:jc w:val="center"/>
                    <w:rPr>
                      <w:rFonts w:hint="eastAsia"/>
                      <w:szCs w:val="21"/>
                      <w:lang w:eastAsia="zh-CN"/>
                    </w:rPr>
                  </w:pPr>
                  <w:r>
                    <w:rPr>
                      <w:rFonts w:hint="eastAsia"/>
                      <w:szCs w:val="21"/>
                      <w:lang w:eastAsia="zh-CN"/>
                    </w:rPr>
                    <w:t>一般防渗区</w:t>
                  </w:r>
                </w:p>
              </w:tc>
              <w:tc>
                <w:tcPr>
                  <w:tcW w:w="2160" w:type="dxa"/>
                  <w:noWrap w:val="0"/>
                  <w:vAlign w:val="center"/>
                </w:tcPr>
                <w:p w14:paraId="37A20FFC">
                  <w:pPr>
                    <w:spacing w:line="240" w:lineRule="exact"/>
                    <w:jc w:val="center"/>
                    <w:rPr>
                      <w:rFonts w:hint="default" w:eastAsia="宋体"/>
                      <w:szCs w:val="21"/>
                      <w:lang w:val="en-US" w:eastAsia="zh-CN"/>
                    </w:rPr>
                  </w:pPr>
                  <w:r>
                    <w:rPr>
                      <w:rFonts w:hint="eastAsia"/>
                      <w:szCs w:val="21"/>
                      <w:lang w:eastAsia="zh-CN"/>
                    </w:rPr>
                    <w:t>化粪池</w:t>
                  </w:r>
                </w:p>
              </w:tc>
              <w:tc>
                <w:tcPr>
                  <w:tcW w:w="1808" w:type="dxa"/>
                  <w:noWrap w:val="0"/>
                  <w:vAlign w:val="center"/>
                </w:tcPr>
                <w:p w14:paraId="60B44473">
                  <w:pPr>
                    <w:spacing w:line="240" w:lineRule="exact"/>
                    <w:jc w:val="center"/>
                    <w:rPr>
                      <w:szCs w:val="22"/>
                    </w:rPr>
                  </w:pPr>
                  <w:r>
                    <w:rPr>
                      <w:szCs w:val="22"/>
                    </w:rPr>
                    <w:t>水泥混凝土硬化地面，厚度在20～25cm</w:t>
                  </w:r>
                </w:p>
              </w:tc>
              <w:tc>
                <w:tcPr>
                  <w:tcW w:w="1584" w:type="dxa"/>
                  <w:noWrap w:val="0"/>
                  <w:vAlign w:val="center"/>
                </w:tcPr>
                <w:p w14:paraId="078AD427">
                  <w:pPr>
                    <w:spacing w:line="240" w:lineRule="exact"/>
                    <w:jc w:val="center"/>
                    <w:rPr>
                      <w:szCs w:val="22"/>
                    </w:rPr>
                  </w:pPr>
                  <w:r>
                    <w:rPr>
                      <w:szCs w:val="22"/>
                    </w:rPr>
                    <w:t>等效黏土防渗层Mb≥1.5m，K≤1.0×10</w:t>
                  </w:r>
                  <w:r>
                    <w:rPr>
                      <w:rFonts w:hint="eastAsia"/>
                      <w:szCs w:val="22"/>
                      <w:lang w:eastAsia="zh-CN"/>
                    </w:rPr>
                    <w:t>—</w:t>
                  </w:r>
                  <w:r>
                    <w:rPr>
                      <w:szCs w:val="22"/>
                      <w:vertAlign w:val="superscript"/>
                    </w:rPr>
                    <w:t>7</w:t>
                  </w:r>
                  <w:r>
                    <w:rPr>
                      <w:szCs w:val="22"/>
                    </w:rPr>
                    <w:t>cm/s</w:t>
                  </w:r>
                </w:p>
              </w:tc>
              <w:tc>
                <w:tcPr>
                  <w:tcW w:w="1943" w:type="dxa"/>
                  <w:noWrap w:val="0"/>
                  <w:vAlign w:val="center"/>
                </w:tcPr>
                <w:p w14:paraId="626775A0">
                  <w:pPr>
                    <w:spacing w:line="240" w:lineRule="exact"/>
                    <w:jc w:val="center"/>
                    <w:rPr>
                      <w:rFonts w:hint="eastAsia"/>
                      <w:szCs w:val="22"/>
                    </w:rPr>
                  </w:pPr>
                  <w:r>
                    <w:rPr>
                      <w:rFonts w:hint="eastAsia" w:ascii="Times New Roman" w:hAnsi="Times New Roman" w:eastAsia="宋体" w:cs="Times New Roman"/>
                      <w:szCs w:val="22"/>
                    </w:rPr>
                    <w:t>参照《石油化工工程防渗技术规范》（GB</w:t>
                  </w:r>
                  <w:r>
                    <w:rPr>
                      <w:rFonts w:hint="eastAsia" w:ascii="Times New Roman" w:hAnsi="Times New Roman" w:eastAsia="宋体" w:cs="Times New Roman"/>
                      <w:szCs w:val="22"/>
                      <w:lang w:val="en-US" w:eastAsia="zh-CN"/>
                    </w:rPr>
                    <w:t>50934</w:t>
                  </w:r>
                  <w:r>
                    <w:rPr>
                      <w:rFonts w:hint="eastAsia" w:ascii="Times New Roman" w:hAnsi="Times New Roman" w:eastAsia="宋体" w:cs="Times New Roman"/>
                      <w:szCs w:val="22"/>
                    </w:rPr>
                    <w:t>-20</w:t>
                  </w:r>
                  <w:r>
                    <w:rPr>
                      <w:rFonts w:hint="eastAsia" w:ascii="Times New Roman" w:hAnsi="Times New Roman" w:eastAsia="宋体" w:cs="Times New Roman"/>
                      <w:szCs w:val="22"/>
                      <w:lang w:val="en-US" w:eastAsia="zh-CN"/>
                    </w:rPr>
                    <w:t>13</w:t>
                  </w:r>
                  <w:r>
                    <w:rPr>
                      <w:rFonts w:hint="eastAsia" w:ascii="Times New Roman" w:hAnsi="Times New Roman" w:eastAsia="宋体" w:cs="Times New Roman"/>
                      <w:szCs w:val="22"/>
                    </w:rPr>
                    <w:t>）</w:t>
                  </w:r>
                  <w:r>
                    <w:rPr>
                      <w:rFonts w:hint="eastAsia" w:ascii="Times New Roman" w:hAnsi="Times New Roman" w:eastAsia="宋体" w:cs="Times New Roman"/>
                      <w:szCs w:val="22"/>
                      <w:lang w:val="en-US" w:eastAsia="zh-CN"/>
                    </w:rPr>
                    <w:t>执行</w:t>
                  </w:r>
                </w:p>
              </w:tc>
            </w:tr>
            <w:tr w14:paraId="5E008D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2" w:type="dxa"/>
                  <w:noWrap w:val="0"/>
                  <w:vAlign w:val="center"/>
                </w:tcPr>
                <w:p w14:paraId="636CF814">
                  <w:pPr>
                    <w:spacing w:line="240" w:lineRule="exact"/>
                    <w:jc w:val="center"/>
                    <w:rPr>
                      <w:rFonts w:hint="eastAsia" w:eastAsia="宋体"/>
                      <w:szCs w:val="22"/>
                      <w:lang w:eastAsia="zh-CN"/>
                    </w:rPr>
                  </w:pPr>
                  <w:r>
                    <w:rPr>
                      <w:rFonts w:hint="eastAsia"/>
                      <w:szCs w:val="22"/>
                      <w:lang w:eastAsia="zh-CN"/>
                    </w:rPr>
                    <w:t>简单防渗区</w:t>
                  </w:r>
                </w:p>
              </w:tc>
              <w:tc>
                <w:tcPr>
                  <w:tcW w:w="2160" w:type="dxa"/>
                  <w:noWrap w:val="0"/>
                  <w:vAlign w:val="center"/>
                </w:tcPr>
                <w:p w14:paraId="33314925">
                  <w:pPr>
                    <w:spacing w:line="240" w:lineRule="exact"/>
                    <w:jc w:val="center"/>
                    <w:rPr>
                      <w:szCs w:val="22"/>
                    </w:rPr>
                  </w:pPr>
                  <w:r>
                    <w:rPr>
                      <w:szCs w:val="22"/>
                    </w:rPr>
                    <w:t>厂区</w:t>
                  </w:r>
                  <w:r>
                    <w:rPr>
                      <w:rFonts w:hint="eastAsia"/>
                      <w:szCs w:val="22"/>
                      <w:lang w:eastAsia="zh-CN"/>
                    </w:rPr>
                    <w:t>其他</w:t>
                  </w:r>
                  <w:r>
                    <w:rPr>
                      <w:szCs w:val="22"/>
                    </w:rPr>
                    <w:t>地面</w:t>
                  </w:r>
                </w:p>
              </w:tc>
              <w:tc>
                <w:tcPr>
                  <w:tcW w:w="1808" w:type="dxa"/>
                  <w:noWrap w:val="0"/>
                  <w:vAlign w:val="center"/>
                </w:tcPr>
                <w:p w14:paraId="31891F51">
                  <w:pPr>
                    <w:spacing w:line="240" w:lineRule="exact"/>
                    <w:jc w:val="center"/>
                    <w:rPr>
                      <w:szCs w:val="22"/>
                    </w:rPr>
                  </w:pPr>
                  <w:r>
                    <w:rPr>
                      <w:szCs w:val="22"/>
                    </w:rPr>
                    <w:t>水泥混凝土硬化地面</w:t>
                  </w:r>
                </w:p>
              </w:tc>
              <w:tc>
                <w:tcPr>
                  <w:tcW w:w="1584" w:type="dxa"/>
                  <w:noWrap w:val="0"/>
                  <w:vAlign w:val="center"/>
                </w:tcPr>
                <w:p w14:paraId="57B03B50">
                  <w:pPr>
                    <w:spacing w:line="240" w:lineRule="exact"/>
                    <w:jc w:val="center"/>
                    <w:rPr>
                      <w:szCs w:val="22"/>
                    </w:rPr>
                  </w:pPr>
                  <w:r>
                    <w:rPr>
                      <w:szCs w:val="22"/>
                    </w:rPr>
                    <w:t>一般地面硬化</w:t>
                  </w:r>
                </w:p>
              </w:tc>
              <w:tc>
                <w:tcPr>
                  <w:tcW w:w="1943" w:type="dxa"/>
                  <w:noWrap w:val="0"/>
                  <w:vAlign w:val="center"/>
                </w:tcPr>
                <w:p w14:paraId="5D2DD316">
                  <w:pPr>
                    <w:spacing w:line="240" w:lineRule="exact"/>
                    <w:jc w:val="center"/>
                    <w:rPr>
                      <w:szCs w:val="22"/>
                    </w:rPr>
                  </w:pPr>
                  <w:r>
                    <w:rPr>
                      <w:szCs w:val="22"/>
                    </w:rPr>
                    <w:t>—</w:t>
                  </w:r>
                </w:p>
              </w:tc>
            </w:tr>
          </w:tbl>
          <w:p w14:paraId="599825C2">
            <w:pPr>
              <w:pStyle w:val="6"/>
              <w:spacing w:line="500" w:lineRule="exact"/>
              <w:ind w:firstLine="480"/>
              <w:rPr>
                <w:rFonts w:hint="eastAsia"/>
                <w:kern w:val="0"/>
                <w:sz w:val="24"/>
              </w:rPr>
            </w:pPr>
            <w:r>
              <w:rPr>
                <w:rFonts w:hint="eastAsia"/>
                <w:kern w:val="0"/>
                <w:sz w:val="24"/>
              </w:rPr>
              <w:t>③加强环保设施的日常监督管理，避免</w:t>
            </w:r>
            <w:r>
              <w:rPr>
                <w:rFonts w:hint="eastAsia"/>
                <w:kern w:val="0"/>
                <w:sz w:val="24"/>
                <w:lang w:val="en-US" w:eastAsia="zh-CN"/>
              </w:rPr>
              <w:t>危险化学品</w:t>
            </w:r>
            <w:r>
              <w:rPr>
                <w:rFonts w:hint="eastAsia"/>
                <w:kern w:val="0"/>
                <w:sz w:val="24"/>
              </w:rPr>
              <w:t>储存设施内危险</w:t>
            </w:r>
            <w:r>
              <w:rPr>
                <w:rFonts w:hint="eastAsia"/>
                <w:kern w:val="0"/>
                <w:sz w:val="24"/>
                <w:lang w:val="en-US" w:eastAsia="zh-CN"/>
              </w:rPr>
              <w:t>物质</w:t>
            </w:r>
            <w:r>
              <w:rPr>
                <w:rFonts w:hint="eastAsia"/>
                <w:kern w:val="0"/>
                <w:sz w:val="24"/>
              </w:rPr>
              <w:t>事故排放。</w:t>
            </w:r>
          </w:p>
          <w:p w14:paraId="031CCFB8">
            <w:pPr>
              <w:pStyle w:val="6"/>
              <w:spacing w:line="500" w:lineRule="exact"/>
              <w:ind w:firstLine="480"/>
              <w:rPr>
                <w:rFonts w:hint="eastAsia"/>
                <w:kern w:val="0"/>
                <w:sz w:val="24"/>
              </w:rPr>
            </w:pPr>
            <w:r>
              <w:rPr>
                <w:rFonts w:hint="eastAsia"/>
                <w:kern w:val="0"/>
                <w:sz w:val="24"/>
              </w:rPr>
              <w:t>在事故状态下，项目可能会造成物料、污染物等泄漏通过垂直入渗污</w:t>
            </w:r>
            <w:r>
              <w:rPr>
                <w:rFonts w:hint="eastAsia"/>
                <w:kern w:val="0"/>
                <w:sz w:val="24"/>
                <w:lang w:val="en-US" w:eastAsia="zh-CN"/>
              </w:rPr>
              <w:t>染</w:t>
            </w:r>
            <w:r>
              <w:rPr>
                <w:rFonts w:hint="eastAsia"/>
                <w:kern w:val="0"/>
                <w:sz w:val="24"/>
              </w:rPr>
              <w:t>土壤及地下水环境，根据项目特征，项目制定分区防渗措施，对于地下及半地下工程构筑物、可能发生物料和污染物泄漏的地上构筑物采取重点防渗措施，其他</w:t>
            </w:r>
            <w:r>
              <w:rPr>
                <w:rFonts w:hint="eastAsia"/>
                <w:kern w:val="0"/>
                <w:sz w:val="24"/>
                <w:lang w:val="en-US" w:eastAsia="zh-CN"/>
              </w:rPr>
              <w:t>区域</w:t>
            </w:r>
            <w:r>
              <w:rPr>
                <w:rFonts w:hint="eastAsia"/>
                <w:kern w:val="0"/>
                <w:sz w:val="24"/>
              </w:rPr>
              <w:t>采取一般防渗措施，厂区地面简单硬化后，物料或污染物的垂直入渗对地下水、土壤环境影响可接受。</w:t>
            </w:r>
          </w:p>
          <w:p w14:paraId="11F5136D">
            <w:pPr>
              <w:pStyle w:val="6"/>
              <w:spacing w:line="500" w:lineRule="exact"/>
              <w:ind w:firstLine="0" w:firstLineChars="0"/>
              <w:rPr>
                <w:rFonts w:hint="default" w:eastAsia="宋体"/>
                <w:b/>
                <w:bCs/>
                <w:sz w:val="24"/>
                <w:lang w:val="en-US" w:eastAsia="zh-CN"/>
              </w:rPr>
            </w:pPr>
            <w:r>
              <w:rPr>
                <w:rFonts w:hint="eastAsia"/>
                <w:b/>
                <w:bCs/>
                <w:sz w:val="24"/>
                <w:lang w:val="en-US" w:eastAsia="zh-CN"/>
              </w:rPr>
              <w:t>5.3自行监测计划</w:t>
            </w:r>
          </w:p>
          <w:p w14:paraId="2785ACB8">
            <w:pPr>
              <w:pStyle w:val="6"/>
              <w:spacing w:line="500" w:lineRule="exact"/>
              <w:ind w:firstLine="480"/>
              <w:rPr>
                <w:rFonts w:hint="eastAsia"/>
                <w:b/>
                <w:bCs/>
                <w:color w:val="auto"/>
                <w:kern w:val="0"/>
                <w:sz w:val="24"/>
                <w:u w:val="none"/>
                <w:lang w:val="en-GB"/>
              </w:rPr>
            </w:pPr>
            <w:r>
              <w:rPr>
                <w:rFonts w:hint="eastAsia"/>
                <w:color w:val="auto"/>
                <w:kern w:val="0"/>
                <w:sz w:val="24"/>
                <w:u w:val="none"/>
              </w:rPr>
              <w:t>根据项目运营期的环境污染特点</w:t>
            </w:r>
            <w:r>
              <w:rPr>
                <w:rFonts w:hint="eastAsia"/>
                <w:color w:val="auto"/>
                <w:kern w:val="0"/>
                <w:sz w:val="24"/>
                <w:u w:val="none"/>
                <w:lang w:eastAsia="zh-CN"/>
              </w:rPr>
              <w:t>和《工业企业土壤和地下水自行监测技术指南（试行）》（</w:t>
            </w:r>
            <w:r>
              <w:rPr>
                <w:rFonts w:hint="eastAsia"/>
                <w:color w:val="auto"/>
                <w:kern w:val="0"/>
                <w:sz w:val="24"/>
                <w:u w:val="none"/>
                <w:lang w:val="en-US" w:eastAsia="zh-CN"/>
              </w:rPr>
              <w:t>HJ1209-2021</w:t>
            </w:r>
            <w:r>
              <w:rPr>
                <w:rFonts w:hint="eastAsia"/>
                <w:color w:val="auto"/>
                <w:kern w:val="0"/>
                <w:sz w:val="24"/>
                <w:u w:val="none"/>
                <w:lang w:eastAsia="zh-CN"/>
              </w:rPr>
              <w:t>），运营期建设项目场地全部进行水泥地硬化处理，故不再进行土壤自行监测计划，</w:t>
            </w:r>
            <w:r>
              <w:rPr>
                <w:rFonts w:hint="eastAsia"/>
                <w:color w:val="auto"/>
                <w:kern w:val="0"/>
                <w:sz w:val="24"/>
                <w:u w:val="none"/>
              </w:rPr>
              <w:t>本</w:t>
            </w:r>
            <w:r>
              <w:rPr>
                <w:rFonts w:hint="eastAsia"/>
                <w:color w:val="auto"/>
                <w:kern w:val="0"/>
                <w:sz w:val="24"/>
                <w:u w:val="none"/>
                <w:lang w:eastAsia="zh-CN"/>
              </w:rPr>
              <w:t>环评</w:t>
            </w:r>
            <w:r>
              <w:rPr>
                <w:rFonts w:hint="eastAsia"/>
                <w:color w:val="auto"/>
                <w:kern w:val="0"/>
                <w:sz w:val="24"/>
                <w:u w:val="none"/>
                <w:lang w:val="en-US" w:eastAsia="zh-CN"/>
              </w:rPr>
              <w:t>建议</w:t>
            </w:r>
            <w:r>
              <w:rPr>
                <w:rFonts w:hint="eastAsia"/>
                <w:color w:val="auto"/>
                <w:kern w:val="0"/>
                <w:sz w:val="24"/>
                <w:u w:val="none"/>
                <w:lang w:eastAsia="zh-CN"/>
              </w:rPr>
              <w:t>建设单位在项目</w:t>
            </w:r>
            <w:r>
              <w:rPr>
                <w:rFonts w:hint="eastAsia"/>
                <w:color w:val="auto"/>
                <w:kern w:val="0"/>
                <w:sz w:val="24"/>
                <w:u w:val="none"/>
                <w:lang w:val="en-US" w:eastAsia="zh-CN"/>
              </w:rPr>
              <w:t>危险化学品贮存区域</w:t>
            </w:r>
            <w:r>
              <w:rPr>
                <w:rFonts w:hint="eastAsia"/>
                <w:color w:val="auto"/>
                <w:kern w:val="0"/>
                <w:sz w:val="24"/>
                <w:u w:val="none"/>
                <w:lang w:eastAsia="zh-CN"/>
              </w:rPr>
              <w:t>地下水下游方向设</w:t>
            </w:r>
            <w:r>
              <w:rPr>
                <w:rFonts w:hint="eastAsia"/>
                <w:color w:val="auto"/>
                <w:kern w:val="0"/>
                <w:sz w:val="24"/>
                <w:u w:val="none"/>
                <w:lang w:val="en-US" w:eastAsia="zh-CN"/>
              </w:rPr>
              <w:t>一</w:t>
            </w:r>
            <w:r>
              <w:rPr>
                <w:rFonts w:hint="eastAsia"/>
                <w:color w:val="auto"/>
                <w:kern w:val="0"/>
                <w:sz w:val="24"/>
                <w:u w:val="none"/>
                <w:lang w:eastAsia="zh-CN"/>
              </w:rPr>
              <w:t>个地下水监测点位。</w:t>
            </w:r>
            <w:r>
              <w:rPr>
                <w:rFonts w:hint="eastAsia"/>
                <w:color w:val="auto"/>
                <w:kern w:val="0"/>
                <w:sz w:val="24"/>
                <w:u w:val="none"/>
              </w:rPr>
              <w:t>详见表4-</w:t>
            </w:r>
            <w:r>
              <w:rPr>
                <w:rFonts w:hint="eastAsia"/>
                <w:color w:val="auto"/>
                <w:kern w:val="0"/>
                <w:sz w:val="24"/>
                <w:u w:val="none"/>
                <w:lang w:val="en-US" w:eastAsia="zh-CN"/>
              </w:rPr>
              <w:t>25</w:t>
            </w:r>
            <w:r>
              <w:rPr>
                <w:rFonts w:hint="eastAsia"/>
                <w:color w:val="auto"/>
                <w:kern w:val="0"/>
                <w:sz w:val="24"/>
                <w:u w:val="none"/>
              </w:rPr>
              <w:t>。</w:t>
            </w:r>
          </w:p>
          <w:p w14:paraId="2172ADC2">
            <w:pPr>
              <w:pStyle w:val="6"/>
              <w:spacing w:line="500" w:lineRule="exact"/>
              <w:ind w:firstLine="0" w:firstLineChars="0"/>
              <w:jc w:val="center"/>
              <w:rPr>
                <w:rFonts w:hint="eastAsia"/>
                <w:b/>
                <w:bCs/>
                <w:color w:val="auto"/>
                <w:kern w:val="0"/>
                <w:sz w:val="24"/>
                <w:lang w:val="en-GB"/>
              </w:rPr>
            </w:pPr>
            <w:r>
              <w:rPr>
                <w:rFonts w:hint="eastAsia"/>
                <w:b/>
                <w:bCs/>
                <w:color w:val="auto"/>
                <w:kern w:val="0"/>
                <w:sz w:val="24"/>
                <w:lang w:val="en-GB"/>
              </w:rPr>
              <w:t>表4-</w:t>
            </w:r>
            <w:r>
              <w:rPr>
                <w:rFonts w:hint="eastAsia"/>
                <w:b/>
                <w:bCs/>
                <w:color w:val="auto"/>
                <w:kern w:val="0"/>
                <w:sz w:val="24"/>
                <w:lang w:val="en-US" w:eastAsia="zh-CN"/>
              </w:rPr>
              <w:t>25</w:t>
            </w:r>
            <w:r>
              <w:rPr>
                <w:rFonts w:hint="eastAsia"/>
                <w:b/>
                <w:bCs/>
                <w:color w:val="auto"/>
                <w:kern w:val="0"/>
                <w:sz w:val="24"/>
                <w:lang w:val="en-GB"/>
              </w:rPr>
              <w:t xml:space="preserve"> </w:t>
            </w:r>
            <w:r>
              <w:rPr>
                <w:rFonts w:hint="eastAsia"/>
                <w:b/>
                <w:bCs/>
                <w:color w:val="auto"/>
                <w:kern w:val="0"/>
                <w:sz w:val="24"/>
                <w:lang w:val="en-GB" w:eastAsia="zh-CN"/>
              </w:rPr>
              <w:t>地下水</w:t>
            </w:r>
            <w:r>
              <w:rPr>
                <w:rFonts w:hint="eastAsia"/>
                <w:b/>
                <w:bCs/>
                <w:color w:val="auto"/>
                <w:kern w:val="0"/>
                <w:sz w:val="24"/>
                <w:lang w:val="en-GB"/>
              </w:rPr>
              <w:t>环境监测计划一览表</w:t>
            </w:r>
          </w:p>
          <w:tbl>
            <w:tblPr>
              <w:tblStyle w:val="19"/>
              <w:tblW w:w="0" w:type="auto"/>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25"/>
              <w:gridCol w:w="871"/>
              <w:gridCol w:w="1901"/>
              <w:gridCol w:w="972"/>
              <w:gridCol w:w="1389"/>
              <w:gridCol w:w="1827"/>
              <w:gridCol w:w="1024"/>
            </w:tblGrid>
            <w:tr w14:paraId="2D4F5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541"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E69591F">
                  <w:pPr>
                    <w:adjustRightInd w:val="0"/>
                    <w:snapToGrid w:val="0"/>
                    <w:spacing w:line="240" w:lineRule="atLeast"/>
                    <w:jc w:val="center"/>
                    <w:rPr>
                      <w:color w:val="auto"/>
                      <w:szCs w:val="21"/>
                    </w:rPr>
                  </w:pPr>
                  <w:r>
                    <w:rPr>
                      <w:color w:val="auto"/>
                      <w:szCs w:val="21"/>
                    </w:rPr>
                    <w:t>监测</w:t>
                  </w:r>
                </w:p>
                <w:p w14:paraId="6384BDB2">
                  <w:pPr>
                    <w:adjustRightInd w:val="0"/>
                    <w:snapToGrid w:val="0"/>
                    <w:spacing w:line="240" w:lineRule="atLeast"/>
                    <w:jc w:val="center"/>
                    <w:rPr>
                      <w:color w:val="auto"/>
                      <w:szCs w:val="21"/>
                    </w:rPr>
                  </w:pPr>
                  <w:r>
                    <w:rPr>
                      <w:color w:val="auto"/>
                      <w:szCs w:val="21"/>
                    </w:rPr>
                    <w:t>时段</w:t>
                  </w:r>
                </w:p>
              </w:tc>
              <w:tc>
                <w:tcPr>
                  <w:tcW w:w="905"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A11012E">
                  <w:pPr>
                    <w:adjustRightInd w:val="0"/>
                    <w:snapToGrid w:val="0"/>
                    <w:spacing w:line="240" w:lineRule="atLeast"/>
                    <w:jc w:val="center"/>
                    <w:rPr>
                      <w:color w:val="auto"/>
                      <w:szCs w:val="21"/>
                    </w:rPr>
                  </w:pPr>
                  <w:r>
                    <w:rPr>
                      <w:color w:val="auto"/>
                      <w:szCs w:val="21"/>
                    </w:rPr>
                    <w:t>监测</w:t>
                  </w:r>
                </w:p>
                <w:p w14:paraId="18152010">
                  <w:pPr>
                    <w:adjustRightInd w:val="0"/>
                    <w:snapToGrid w:val="0"/>
                    <w:spacing w:line="240" w:lineRule="atLeast"/>
                    <w:jc w:val="center"/>
                    <w:rPr>
                      <w:color w:val="auto"/>
                      <w:szCs w:val="21"/>
                    </w:rPr>
                  </w:pPr>
                  <w:r>
                    <w:rPr>
                      <w:color w:val="auto"/>
                      <w:szCs w:val="21"/>
                    </w:rPr>
                    <w:t>类别</w:t>
                  </w:r>
                </w:p>
              </w:tc>
              <w:tc>
                <w:tcPr>
                  <w:tcW w:w="156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116EEB3">
                  <w:pPr>
                    <w:adjustRightInd w:val="0"/>
                    <w:snapToGrid w:val="0"/>
                    <w:spacing w:line="240" w:lineRule="atLeast"/>
                    <w:jc w:val="center"/>
                    <w:rPr>
                      <w:color w:val="auto"/>
                      <w:szCs w:val="21"/>
                    </w:rPr>
                  </w:pPr>
                  <w:r>
                    <w:rPr>
                      <w:color w:val="auto"/>
                      <w:szCs w:val="21"/>
                    </w:rPr>
                    <w:t>监测点位</w:t>
                  </w:r>
                </w:p>
              </w:tc>
              <w:tc>
                <w:tcPr>
                  <w:tcW w:w="1011"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4FA9B46">
                  <w:pPr>
                    <w:adjustRightInd w:val="0"/>
                    <w:snapToGrid w:val="0"/>
                    <w:spacing w:line="240" w:lineRule="atLeast"/>
                    <w:jc w:val="center"/>
                    <w:rPr>
                      <w:color w:val="auto"/>
                      <w:szCs w:val="21"/>
                    </w:rPr>
                  </w:pPr>
                  <w:r>
                    <w:rPr>
                      <w:color w:val="auto"/>
                      <w:szCs w:val="21"/>
                    </w:rPr>
                    <w:t>监测频率</w:t>
                  </w:r>
                </w:p>
              </w:tc>
              <w:tc>
                <w:tcPr>
                  <w:tcW w:w="3346" w:type="dxa"/>
                  <w:gridSpan w:val="2"/>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CBDA711">
                  <w:pPr>
                    <w:adjustRightInd w:val="0"/>
                    <w:snapToGrid w:val="0"/>
                    <w:spacing w:line="240" w:lineRule="atLeast"/>
                    <w:jc w:val="center"/>
                    <w:rPr>
                      <w:color w:val="auto"/>
                      <w:szCs w:val="21"/>
                    </w:rPr>
                  </w:pPr>
                  <w:r>
                    <w:rPr>
                      <w:color w:val="auto"/>
                      <w:szCs w:val="21"/>
                    </w:rPr>
                    <w:t>监测项目</w:t>
                  </w:r>
                </w:p>
              </w:tc>
              <w:tc>
                <w:tcPr>
                  <w:tcW w:w="1066"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896D0D6">
                  <w:pPr>
                    <w:adjustRightInd w:val="0"/>
                    <w:snapToGrid w:val="0"/>
                    <w:spacing w:line="240" w:lineRule="atLeast"/>
                    <w:jc w:val="center"/>
                    <w:rPr>
                      <w:color w:val="auto"/>
                      <w:szCs w:val="21"/>
                    </w:rPr>
                  </w:pPr>
                  <w:r>
                    <w:rPr>
                      <w:color w:val="auto"/>
                      <w:szCs w:val="21"/>
                    </w:rPr>
                    <w:t>监测机构</w:t>
                  </w:r>
                </w:p>
              </w:tc>
            </w:tr>
            <w:tr w14:paraId="55F99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541" w:type="dxa"/>
                  <w:vMerge w:val="restart"/>
                  <w:tcBorders>
                    <w:left w:val="single" w:color="auto" w:sz="6" w:space="0"/>
                    <w:right w:val="single" w:color="auto" w:sz="6" w:space="0"/>
                  </w:tcBorders>
                  <w:noWrap w:val="0"/>
                  <w:tcMar>
                    <w:top w:w="0" w:type="dxa"/>
                    <w:left w:w="0" w:type="dxa"/>
                    <w:bottom w:w="0" w:type="dxa"/>
                    <w:right w:w="0" w:type="dxa"/>
                  </w:tcMar>
                  <w:vAlign w:val="center"/>
                </w:tcPr>
                <w:p w14:paraId="388AFC69">
                  <w:pPr>
                    <w:tabs>
                      <w:tab w:val="left" w:pos="702"/>
                    </w:tabs>
                    <w:adjustRightInd w:val="0"/>
                    <w:snapToGrid w:val="0"/>
                    <w:spacing w:line="240" w:lineRule="atLeast"/>
                    <w:jc w:val="center"/>
                    <w:rPr>
                      <w:color w:val="auto"/>
                      <w:szCs w:val="21"/>
                    </w:rPr>
                  </w:pPr>
                  <w:r>
                    <w:rPr>
                      <w:color w:val="auto"/>
                      <w:szCs w:val="21"/>
                    </w:rPr>
                    <w:t>运营期</w:t>
                  </w:r>
                </w:p>
              </w:tc>
              <w:tc>
                <w:tcPr>
                  <w:tcW w:w="905" w:type="dxa"/>
                  <w:vMerge w:val="restart"/>
                  <w:tcBorders>
                    <w:top w:val="single" w:color="auto" w:sz="6" w:space="0"/>
                    <w:left w:val="single" w:color="auto" w:sz="6" w:space="0"/>
                    <w:right w:val="single" w:color="auto" w:sz="6" w:space="0"/>
                  </w:tcBorders>
                  <w:noWrap w:val="0"/>
                  <w:tcMar>
                    <w:top w:w="0" w:type="dxa"/>
                    <w:left w:w="0" w:type="dxa"/>
                    <w:bottom w:w="0" w:type="dxa"/>
                    <w:right w:w="0" w:type="dxa"/>
                  </w:tcMar>
                  <w:vAlign w:val="center"/>
                </w:tcPr>
                <w:p w14:paraId="574487D2">
                  <w:pPr>
                    <w:adjustRightInd w:val="0"/>
                    <w:snapToGrid w:val="0"/>
                    <w:spacing w:line="240" w:lineRule="atLeast"/>
                    <w:jc w:val="center"/>
                    <w:rPr>
                      <w:rFonts w:hint="eastAsia" w:eastAsia="宋体"/>
                      <w:color w:val="auto"/>
                      <w:szCs w:val="21"/>
                      <w:lang w:eastAsia="zh-CN"/>
                    </w:rPr>
                  </w:pPr>
                  <w:r>
                    <w:rPr>
                      <w:rFonts w:hint="eastAsia"/>
                      <w:color w:val="auto"/>
                      <w:szCs w:val="21"/>
                      <w:lang w:eastAsia="zh-CN"/>
                    </w:rPr>
                    <w:t>地下水</w:t>
                  </w:r>
                </w:p>
              </w:tc>
              <w:tc>
                <w:tcPr>
                  <w:tcW w:w="1562" w:type="dxa"/>
                  <w:vMerge w:val="restart"/>
                  <w:tcBorders>
                    <w:top w:val="single" w:color="auto" w:sz="6" w:space="0"/>
                    <w:left w:val="single" w:color="auto" w:sz="6" w:space="0"/>
                    <w:right w:val="single" w:color="auto" w:sz="6" w:space="0"/>
                  </w:tcBorders>
                  <w:noWrap w:val="0"/>
                  <w:tcMar>
                    <w:top w:w="0" w:type="dxa"/>
                    <w:left w:w="0" w:type="dxa"/>
                    <w:bottom w:w="0" w:type="dxa"/>
                    <w:right w:w="0" w:type="dxa"/>
                  </w:tcMar>
                  <w:vAlign w:val="center"/>
                </w:tcPr>
                <w:p w14:paraId="3FA0C03D">
                  <w:pPr>
                    <w:adjustRightInd w:val="0"/>
                    <w:snapToGrid w:val="0"/>
                    <w:spacing w:line="240" w:lineRule="atLeast"/>
                    <w:jc w:val="center"/>
                    <w:rPr>
                      <w:rFonts w:hint="default"/>
                      <w:color w:val="auto"/>
                      <w:lang w:val="en-US" w:eastAsia="zh-CN"/>
                    </w:rPr>
                  </w:pPr>
                  <w:r>
                    <w:rPr>
                      <w:rFonts w:hint="eastAsia"/>
                      <w:color w:val="auto"/>
                      <w:lang w:val="en-US" w:eastAsia="zh-CN"/>
                    </w:rPr>
                    <w:t>SK01(E108.634299，N21.742479)</w:t>
                  </w:r>
                </w:p>
              </w:tc>
              <w:tc>
                <w:tcPr>
                  <w:tcW w:w="1011" w:type="dxa"/>
                  <w:vMerge w:val="restart"/>
                  <w:tcBorders>
                    <w:top w:val="single" w:color="auto" w:sz="6" w:space="0"/>
                    <w:left w:val="single" w:color="auto" w:sz="6" w:space="0"/>
                    <w:right w:val="single" w:color="auto" w:sz="6" w:space="0"/>
                  </w:tcBorders>
                  <w:noWrap w:val="0"/>
                  <w:tcMar>
                    <w:top w:w="0" w:type="dxa"/>
                    <w:left w:w="0" w:type="dxa"/>
                    <w:bottom w:w="0" w:type="dxa"/>
                    <w:right w:w="0" w:type="dxa"/>
                  </w:tcMar>
                  <w:vAlign w:val="center"/>
                </w:tcPr>
                <w:p w14:paraId="5CEA2418">
                  <w:pPr>
                    <w:adjustRightInd w:val="0"/>
                    <w:snapToGrid w:val="0"/>
                    <w:spacing w:line="240" w:lineRule="atLeast"/>
                    <w:jc w:val="center"/>
                    <w:rPr>
                      <w:rFonts w:hint="eastAsia" w:eastAsia="宋体"/>
                      <w:color w:val="auto"/>
                      <w:szCs w:val="21"/>
                      <w:lang w:eastAsia="zh-CN"/>
                    </w:rPr>
                  </w:pPr>
                  <w:r>
                    <w:rPr>
                      <w:color w:val="auto"/>
                      <w:szCs w:val="21"/>
                    </w:rPr>
                    <w:t>1次/</w:t>
                  </w:r>
                  <w:r>
                    <w:rPr>
                      <w:rFonts w:hint="eastAsia"/>
                      <w:color w:val="auto"/>
                      <w:szCs w:val="21"/>
                      <w:lang w:eastAsia="zh-CN"/>
                    </w:rPr>
                    <w:t>年</w:t>
                  </w:r>
                </w:p>
              </w:tc>
              <w:tc>
                <w:tcPr>
                  <w:tcW w:w="1451"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7380DBB">
                  <w:pPr>
                    <w:adjustRightInd w:val="0"/>
                    <w:snapToGrid w:val="0"/>
                    <w:spacing w:line="240" w:lineRule="atLeast"/>
                    <w:jc w:val="center"/>
                    <w:rPr>
                      <w:rFonts w:hint="eastAsia" w:eastAsia="宋体"/>
                      <w:color w:val="auto"/>
                      <w:szCs w:val="21"/>
                      <w:u w:val="none"/>
                      <w:lang w:eastAsia="zh-CN"/>
                    </w:rPr>
                  </w:pPr>
                  <w:r>
                    <w:rPr>
                      <w:rFonts w:hint="eastAsia"/>
                      <w:color w:val="auto"/>
                      <w:szCs w:val="21"/>
                      <w:u w:val="none"/>
                      <w:lang w:eastAsia="zh-CN"/>
                    </w:rPr>
                    <w:t>初次监测</w:t>
                  </w:r>
                </w:p>
              </w:tc>
              <w:tc>
                <w:tcPr>
                  <w:tcW w:w="1895"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04F68CC">
                  <w:pPr>
                    <w:adjustRightInd w:val="0"/>
                    <w:snapToGrid w:val="0"/>
                    <w:spacing w:line="240" w:lineRule="atLeast"/>
                    <w:jc w:val="center"/>
                    <w:rPr>
                      <w:rFonts w:hint="default" w:eastAsia="宋体"/>
                      <w:color w:val="auto"/>
                      <w:szCs w:val="21"/>
                      <w:u w:val="none"/>
                      <w:lang w:val="en-US" w:eastAsia="zh-CN"/>
                    </w:rPr>
                  </w:pPr>
                  <w:r>
                    <w:rPr>
                      <w:rFonts w:hint="eastAsia" w:eastAsia="宋体"/>
                      <w:color w:val="auto"/>
                      <w:szCs w:val="21"/>
                      <w:u w:val="none"/>
                      <w:lang w:val="en-US" w:eastAsia="zh-CN"/>
                    </w:rPr>
                    <w:t>GB/T 14848表1常规指标</w:t>
                  </w:r>
                </w:p>
              </w:tc>
              <w:tc>
                <w:tcPr>
                  <w:tcW w:w="1066" w:type="dxa"/>
                  <w:vMerge w:val="restart"/>
                  <w:tcBorders>
                    <w:top w:val="single" w:color="auto" w:sz="6" w:space="0"/>
                    <w:left w:val="single" w:color="auto" w:sz="6" w:space="0"/>
                    <w:right w:val="single" w:color="auto" w:sz="6" w:space="0"/>
                  </w:tcBorders>
                  <w:noWrap w:val="0"/>
                  <w:tcMar>
                    <w:top w:w="0" w:type="dxa"/>
                    <w:left w:w="0" w:type="dxa"/>
                    <w:bottom w:w="0" w:type="dxa"/>
                    <w:right w:w="0" w:type="dxa"/>
                  </w:tcMar>
                  <w:vAlign w:val="center"/>
                </w:tcPr>
                <w:p w14:paraId="5980300E">
                  <w:pPr>
                    <w:adjustRightInd w:val="0"/>
                    <w:snapToGrid w:val="0"/>
                    <w:spacing w:line="240" w:lineRule="atLeast"/>
                    <w:jc w:val="center"/>
                    <w:rPr>
                      <w:color w:val="auto"/>
                      <w:szCs w:val="21"/>
                    </w:rPr>
                  </w:pPr>
                  <w:r>
                    <w:rPr>
                      <w:color w:val="auto"/>
                      <w:szCs w:val="21"/>
                    </w:rPr>
                    <w:t>有资质的监测单位</w:t>
                  </w:r>
                </w:p>
              </w:tc>
            </w:tr>
            <w:tr w14:paraId="0EB3C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541" w:type="dxa"/>
                  <w:vMerge w:val="continue"/>
                  <w:tcBorders>
                    <w:left w:val="single" w:color="auto" w:sz="6" w:space="0"/>
                    <w:right w:val="single" w:color="auto" w:sz="6" w:space="0"/>
                  </w:tcBorders>
                  <w:noWrap w:val="0"/>
                  <w:tcMar>
                    <w:top w:w="0" w:type="dxa"/>
                    <w:left w:w="0" w:type="dxa"/>
                    <w:bottom w:w="0" w:type="dxa"/>
                    <w:right w:w="0" w:type="dxa"/>
                  </w:tcMar>
                  <w:vAlign w:val="center"/>
                </w:tcPr>
                <w:p w14:paraId="378692A3">
                  <w:pPr>
                    <w:tabs>
                      <w:tab w:val="left" w:pos="702"/>
                    </w:tabs>
                    <w:adjustRightInd w:val="0"/>
                    <w:snapToGrid w:val="0"/>
                    <w:spacing w:line="240" w:lineRule="atLeast"/>
                    <w:jc w:val="center"/>
                    <w:rPr>
                      <w:color w:val="auto"/>
                      <w:szCs w:val="21"/>
                    </w:rPr>
                  </w:pPr>
                </w:p>
              </w:tc>
              <w:tc>
                <w:tcPr>
                  <w:tcW w:w="905" w:type="dxa"/>
                  <w:vMerge w:val="continue"/>
                  <w:tcBorders>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CF8889B">
                  <w:pPr>
                    <w:adjustRightInd w:val="0"/>
                    <w:snapToGrid w:val="0"/>
                    <w:spacing w:line="240" w:lineRule="atLeast"/>
                    <w:jc w:val="center"/>
                    <w:rPr>
                      <w:rFonts w:hint="eastAsia"/>
                      <w:color w:val="auto"/>
                      <w:szCs w:val="21"/>
                      <w:lang w:eastAsia="zh-CN"/>
                    </w:rPr>
                  </w:pPr>
                </w:p>
              </w:tc>
              <w:tc>
                <w:tcPr>
                  <w:tcW w:w="1562" w:type="dxa"/>
                  <w:vMerge w:val="continue"/>
                  <w:tcBorders>
                    <w:left w:val="single" w:color="auto" w:sz="6" w:space="0"/>
                    <w:right w:val="single" w:color="auto" w:sz="6" w:space="0"/>
                  </w:tcBorders>
                  <w:noWrap w:val="0"/>
                  <w:tcMar>
                    <w:top w:w="0" w:type="dxa"/>
                    <w:left w:w="0" w:type="dxa"/>
                    <w:bottom w:w="0" w:type="dxa"/>
                    <w:right w:w="0" w:type="dxa"/>
                  </w:tcMar>
                  <w:vAlign w:val="center"/>
                </w:tcPr>
                <w:p w14:paraId="2BB67ACB">
                  <w:pPr>
                    <w:adjustRightInd w:val="0"/>
                    <w:snapToGrid w:val="0"/>
                    <w:spacing w:line="240" w:lineRule="atLeast"/>
                    <w:jc w:val="center"/>
                    <w:rPr>
                      <w:rFonts w:hint="default"/>
                      <w:color w:val="000000"/>
                      <w:lang w:val="en-US" w:eastAsia="zh-CN"/>
                    </w:rPr>
                  </w:pPr>
                </w:p>
              </w:tc>
              <w:tc>
                <w:tcPr>
                  <w:tcW w:w="1011" w:type="dxa"/>
                  <w:vMerge w:val="continue"/>
                  <w:tcBorders>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71A717E">
                  <w:pPr>
                    <w:adjustRightInd w:val="0"/>
                    <w:snapToGrid w:val="0"/>
                    <w:spacing w:line="240" w:lineRule="atLeast"/>
                    <w:jc w:val="center"/>
                    <w:rPr>
                      <w:color w:val="auto"/>
                      <w:szCs w:val="21"/>
                    </w:rPr>
                  </w:pPr>
                </w:p>
              </w:tc>
              <w:tc>
                <w:tcPr>
                  <w:tcW w:w="1451"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9095643">
                  <w:pPr>
                    <w:adjustRightInd w:val="0"/>
                    <w:snapToGrid w:val="0"/>
                    <w:spacing w:line="240" w:lineRule="atLeast"/>
                    <w:jc w:val="center"/>
                    <w:rPr>
                      <w:rFonts w:hint="eastAsia"/>
                      <w:color w:val="auto"/>
                      <w:szCs w:val="21"/>
                      <w:u w:val="none"/>
                      <w:lang w:eastAsia="zh-CN"/>
                    </w:rPr>
                  </w:pPr>
                  <w:r>
                    <w:rPr>
                      <w:rFonts w:hint="eastAsia"/>
                      <w:color w:val="auto"/>
                      <w:szCs w:val="21"/>
                      <w:u w:val="none"/>
                      <w:lang w:eastAsia="zh-CN"/>
                    </w:rPr>
                    <w:t>初次监测之后</w:t>
                  </w:r>
                </w:p>
              </w:tc>
              <w:tc>
                <w:tcPr>
                  <w:tcW w:w="1895"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5B60794">
                  <w:pPr>
                    <w:adjustRightInd w:val="0"/>
                    <w:snapToGrid w:val="0"/>
                    <w:spacing w:line="240" w:lineRule="atLeast"/>
                    <w:jc w:val="center"/>
                    <w:rPr>
                      <w:rFonts w:hint="eastAsia" w:eastAsia="宋体"/>
                      <w:color w:val="auto"/>
                      <w:szCs w:val="21"/>
                      <w:u w:val="none"/>
                      <w:lang w:val="en-US" w:eastAsia="zh-CN"/>
                    </w:rPr>
                  </w:pPr>
                  <w:r>
                    <w:rPr>
                      <w:rFonts w:hint="eastAsia" w:eastAsia="宋体"/>
                      <w:color w:val="auto"/>
                      <w:szCs w:val="21"/>
                      <w:u w:val="none"/>
                      <w:lang w:val="en-US" w:eastAsia="zh-CN"/>
                    </w:rPr>
                    <w:t>GB/T 14848表1常规指标（微生物指标、放射性指标除外）</w:t>
                  </w:r>
                </w:p>
              </w:tc>
              <w:tc>
                <w:tcPr>
                  <w:tcW w:w="1066" w:type="dxa"/>
                  <w:vMerge w:val="continue"/>
                  <w:tcBorders>
                    <w:left w:val="single" w:color="auto" w:sz="6" w:space="0"/>
                    <w:right w:val="single" w:color="auto" w:sz="6" w:space="0"/>
                  </w:tcBorders>
                  <w:noWrap w:val="0"/>
                  <w:tcMar>
                    <w:top w:w="0" w:type="dxa"/>
                    <w:left w:w="0" w:type="dxa"/>
                    <w:bottom w:w="0" w:type="dxa"/>
                    <w:right w:w="0" w:type="dxa"/>
                  </w:tcMar>
                  <w:vAlign w:val="center"/>
                </w:tcPr>
                <w:p w14:paraId="13699690">
                  <w:pPr>
                    <w:adjustRightInd w:val="0"/>
                    <w:snapToGrid w:val="0"/>
                    <w:spacing w:line="240" w:lineRule="atLeast"/>
                    <w:jc w:val="center"/>
                    <w:rPr>
                      <w:color w:val="auto"/>
                      <w:szCs w:val="21"/>
                    </w:rPr>
                  </w:pPr>
                </w:p>
              </w:tc>
            </w:tr>
          </w:tbl>
          <w:p w14:paraId="2CC33F41">
            <w:pPr>
              <w:pStyle w:val="6"/>
              <w:spacing w:line="500" w:lineRule="exact"/>
              <w:ind w:firstLine="0" w:firstLineChars="0"/>
              <w:rPr>
                <w:b/>
                <w:bCs/>
                <w:sz w:val="24"/>
              </w:rPr>
            </w:pPr>
            <w:r>
              <w:rPr>
                <w:b/>
                <w:bCs/>
                <w:sz w:val="24"/>
              </w:rPr>
              <w:t>6、生态环境影响分析</w:t>
            </w:r>
          </w:p>
          <w:p w14:paraId="65EE2DC6">
            <w:pPr>
              <w:pStyle w:val="6"/>
              <w:spacing w:line="500" w:lineRule="exact"/>
              <w:ind w:firstLine="480"/>
              <w:rPr>
                <w:kern w:val="0"/>
                <w:sz w:val="24"/>
                <w:szCs w:val="24"/>
              </w:rPr>
            </w:pPr>
            <w:r>
              <w:rPr>
                <w:rFonts w:hint="eastAsia"/>
                <w:kern w:val="0"/>
                <w:sz w:val="24"/>
                <w:szCs w:val="24"/>
              </w:rPr>
              <w:t>项目</w:t>
            </w:r>
            <w:r>
              <w:rPr>
                <w:rFonts w:hint="eastAsia"/>
                <w:sz w:val="24"/>
                <w:szCs w:val="24"/>
                <w:lang w:val="en-US" w:eastAsia="zh-CN"/>
              </w:rPr>
              <w:t>位于工业园区内</w:t>
            </w:r>
            <w:r>
              <w:rPr>
                <w:kern w:val="0"/>
                <w:sz w:val="24"/>
                <w:szCs w:val="24"/>
              </w:rPr>
              <w:t>，</w:t>
            </w:r>
            <w:r>
              <w:rPr>
                <w:rFonts w:hint="eastAsia"/>
                <w:kern w:val="0"/>
                <w:sz w:val="24"/>
                <w:szCs w:val="24"/>
                <w:lang w:val="en-US" w:eastAsia="zh-CN"/>
              </w:rPr>
              <w:t>且项目</w:t>
            </w:r>
            <w:r>
              <w:rPr>
                <w:kern w:val="0"/>
                <w:sz w:val="24"/>
                <w:szCs w:val="24"/>
              </w:rPr>
              <w:t>评价范围内无自然保护区，因此项目基本不会影响和改变当地生态环境的变化，对生态环境影响</w:t>
            </w:r>
            <w:r>
              <w:rPr>
                <w:rFonts w:hint="eastAsia"/>
                <w:kern w:val="0"/>
                <w:sz w:val="24"/>
                <w:szCs w:val="24"/>
              </w:rPr>
              <w:t>可接受</w:t>
            </w:r>
            <w:r>
              <w:rPr>
                <w:kern w:val="0"/>
                <w:sz w:val="24"/>
                <w:szCs w:val="24"/>
              </w:rPr>
              <w:t>。</w:t>
            </w:r>
          </w:p>
          <w:p w14:paraId="2A65ED46">
            <w:pPr>
              <w:spacing w:line="500" w:lineRule="exact"/>
              <w:rPr>
                <w:b/>
                <w:bCs/>
                <w:sz w:val="24"/>
              </w:rPr>
            </w:pPr>
            <w:r>
              <w:rPr>
                <w:b/>
                <w:bCs/>
                <w:sz w:val="24"/>
              </w:rPr>
              <w:t>7、风险评价</w:t>
            </w:r>
          </w:p>
          <w:p w14:paraId="34B52131">
            <w:pPr>
              <w:pStyle w:val="6"/>
              <w:spacing w:line="500" w:lineRule="exact"/>
              <w:ind w:firstLine="480"/>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详见环境风险专项评价章节。</w:t>
            </w:r>
          </w:p>
          <w:p w14:paraId="6A5BBD36">
            <w:pPr>
              <w:spacing w:line="500" w:lineRule="exact"/>
              <w:rPr>
                <w:rFonts w:ascii="Times New Roman" w:hAnsi="Times New Roman" w:eastAsia="宋体" w:cs="Times New Roman"/>
                <w:b/>
                <w:bCs/>
                <w:color w:val="000000"/>
                <w:sz w:val="24"/>
              </w:rPr>
            </w:pPr>
            <w:r>
              <w:rPr>
                <w:rFonts w:hint="eastAsia" w:ascii="Times New Roman" w:hAnsi="Times New Roman" w:eastAsia="宋体" w:cs="Times New Roman"/>
                <w:b/>
                <w:bCs/>
                <w:color w:val="000000"/>
                <w:sz w:val="24"/>
              </w:rPr>
              <w:t>7.1环境风险专项评价结论</w:t>
            </w:r>
          </w:p>
          <w:p w14:paraId="1C0D8E4B">
            <w:pPr>
              <w:pStyle w:val="6"/>
              <w:spacing w:line="500" w:lineRule="exact"/>
              <w:ind w:firstLine="480"/>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⑴项目危险因素</w:t>
            </w:r>
          </w:p>
          <w:p w14:paraId="5BE219DC">
            <w:pPr>
              <w:pStyle w:val="6"/>
              <w:spacing w:line="500" w:lineRule="exact"/>
              <w:ind w:firstLine="480"/>
              <w:rPr>
                <w:rFonts w:hint="eastAsia" w:ascii="Times New Roman" w:hAnsi="Times New Roman" w:eastAsia="宋体" w:cs="Times New Roman"/>
                <w:color w:val="auto"/>
                <w:kern w:val="0"/>
                <w:sz w:val="24"/>
                <w:szCs w:val="24"/>
              </w:rPr>
            </w:pPr>
            <w:r>
              <w:rPr>
                <w:rFonts w:hint="eastAsia"/>
                <w:b w:val="0"/>
                <w:bCs w:val="0"/>
                <w:sz w:val="24"/>
              </w:rPr>
              <w:t>项</w:t>
            </w:r>
            <w:r>
              <w:rPr>
                <w:rFonts w:hint="eastAsia" w:ascii="Times New Roman" w:hAnsi="Times New Roman" w:eastAsia="宋体" w:cs="Times New Roman"/>
                <w:kern w:val="0"/>
                <w:sz w:val="24"/>
                <w:szCs w:val="24"/>
              </w:rPr>
              <w:t>目涉及的主要</w:t>
            </w:r>
            <w:r>
              <w:rPr>
                <w:rFonts w:hint="eastAsia" w:ascii="Times New Roman" w:hAnsi="Times New Roman" w:eastAsia="宋体" w:cs="Times New Roman"/>
                <w:kern w:val="0"/>
                <w:sz w:val="24"/>
                <w:szCs w:val="24"/>
                <w:lang w:eastAsia="zh-CN"/>
              </w:rPr>
              <w:t>储存</w:t>
            </w:r>
            <w:r>
              <w:rPr>
                <w:rFonts w:hint="eastAsia" w:ascii="Times New Roman" w:hAnsi="Times New Roman" w:eastAsia="宋体" w:cs="Times New Roman"/>
                <w:kern w:val="0"/>
                <w:sz w:val="24"/>
                <w:szCs w:val="24"/>
              </w:rPr>
              <w:t>物质中多数物质属于有毒有害物质。</w:t>
            </w:r>
            <w:r>
              <w:rPr>
                <w:rFonts w:hint="eastAsia" w:cs="Times New Roman"/>
                <w:kern w:val="0"/>
                <w:sz w:val="24"/>
                <w:szCs w:val="24"/>
                <w:lang w:eastAsia="zh-CN"/>
              </w:rPr>
              <w:t>其中</w:t>
            </w:r>
            <w:r>
              <w:rPr>
                <w:rFonts w:hint="eastAsia" w:ascii="Times New Roman" w:hAnsi="Times New Roman" w:eastAsia="宋体" w:cs="Times New Roman"/>
                <w:kern w:val="0"/>
                <w:sz w:val="24"/>
                <w:szCs w:val="24"/>
              </w:rPr>
              <w:t>磷酸、盐酸、硫酸镍、氢氧化锂具有强腐蚀性，氟硅酸钠、氟硅酸镁、氟化钠、氟化钡、氟硅酸锌、氟硅酸钾、氟化铵、氟化钾、氟化锌为有毒害物质，具有泄漏的危险性</w:t>
            </w:r>
            <w:r>
              <w:rPr>
                <w:rFonts w:hint="eastAsia" w:ascii="Times New Roman" w:hAnsi="Times New Roman" w:eastAsia="宋体" w:cs="Times New Roman"/>
                <w:color w:val="auto"/>
                <w:kern w:val="0"/>
                <w:sz w:val="24"/>
                <w:szCs w:val="24"/>
              </w:rPr>
              <w:t>。根据风险识别，厂内重点风险源为</w:t>
            </w:r>
            <w:r>
              <w:rPr>
                <w:rFonts w:hint="eastAsia" w:ascii="Times New Roman" w:hAnsi="Times New Roman" w:eastAsia="宋体" w:cs="Times New Roman"/>
                <w:color w:val="auto"/>
                <w:kern w:val="0"/>
                <w:sz w:val="24"/>
                <w:szCs w:val="24"/>
                <w:lang w:val="en-US" w:eastAsia="zh-CN"/>
              </w:rPr>
              <w:t>2号仓库、4号仓库、5号仓库</w:t>
            </w:r>
            <w:r>
              <w:rPr>
                <w:rFonts w:hint="eastAsia"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盐酸、</w:t>
            </w:r>
            <w:r>
              <w:rPr>
                <w:rFonts w:hint="eastAsia" w:ascii="Times New Roman" w:hAnsi="Times New Roman" w:eastAsia="宋体" w:cs="Times New Roman"/>
                <w:color w:val="auto"/>
                <w:kern w:val="0"/>
                <w:sz w:val="24"/>
                <w:szCs w:val="24"/>
              </w:rPr>
              <w:t>磷酸</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硫酸镍、氢氧化锂、氟硅酸钠、氟硅酸镁、氟化钠、氟化钡、氟硅酸锌、氟硅酸钾、氟化铵、氟化钾、氟化锌</w:t>
            </w:r>
            <w:r>
              <w:rPr>
                <w:rFonts w:hint="eastAsia"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u w:val="none"/>
              </w:rPr>
              <w:t>。</w:t>
            </w:r>
          </w:p>
          <w:p w14:paraId="3DCADCC0">
            <w:pPr>
              <w:pStyle w:val="6"/>
              <w:spacing w:line="500" w:lineRule="exact"/>
              <w:ind w:firstLine="480"/>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⑵环境敏感性及事故环境影响</w:t>
            </w:r>
          </w:p>
          <w:p w14:paraId="18E5ADA8">
            <w:pPr>
              <w:pStyle w:val="6"/>
              <w:spacing w:line="500" w:lineRule="exact"/>
              <w:ind w:firstLine="480"/>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根据《建设项目环境风险评价技术导则》（HJ169-2018）附录D，项目大气、地表水、地下水环境风险潜势均为Ⅲ，环境风险评价等级为二级。</w:t>
            </w:r>
          </w:p>
          <w:p w14:paraId="5CC5B615">
            <w:pPr>
              <w:pStyle w:val="6"/>
              <w:spacing w:line="500" w:lineRule="exact"/>
              <w:ind w:firstLine="480"/>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项目设定的最大可信环境风险事故，根据预测结果：</w:t>
            </w:r>
          </w:p>
          <w:p w14:paraId="6FF9FF8A">
            <w:pPr>
              <w:autoSpaceDE w:val="0"/>
              <w:autoSpaceDN w:val="0"/>
              <w:adjustRightInd w:val="0"/>
              <w:spacing w:line="500" w:lineRule="exact"/>
              <w:ind w:firstLine="52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①</w:t>
            </w:r>
            <w:r>
              <w:rPr>
                <w:rFonts w:hint="eastAsia" w:cs="Times New Roman"/>
                <w:color w:val="auto"/>
                <w:spacing w:val="10"/>
                <w:sz w:val="24"/>
                <w:szCs w:val="32"/>
                <w:lang w:val="en-US" w:eastAsia="zh-CN"/>
              </w:rPr>
              <w:t>5</w:t>
            </w:r>
            <w:r>
              <w:rPr>
                <w:rFonts w:hint="eastAsia" w:ascii="Times New Roman" w:hAnsi="Times New Roman" w:eastAsia="宋体" w:cs="Times New Roman"/>
                <w:color w:val="auto"/>
                <w:spacing w:val="10"/>
                <w:sz w:val="24"/>
                <w:szCs w:val="32"/>
                <w:lang w:val="en-US" w:eastAsia="zh-CN"/>
              </w:rPr>
              <w:t>号仓库</w:t>
            </w:r>
            <w:r>
              <w:rPr>
                <w:rFonts w:hint="default" w:ascii="Times New Roman" w:hAnsi="Times New Roman" w:eastAsia="宋体" w:cs="Times New Roman"/>
                <w:color w:val="auto"/>
                <w:spacing w:val="10"/>
                <w:sz w:val="24"/>
                <w:szCs w:val="32"/>
                <w:lang w:val="en-US" w:eastAsia="zh-CN"/>
              </w:rPr>
              <w:t>单个20L</w:t>
            </w:r>
            <w:r>
              <w:rPr>
                <w:rFonts w:hint="eastAsia" w:cs="Times New Roman"/>
                <w:color w:val="auto"/>
                <w:spacing w:val="10"/>
                <w:sz w:val="24"/>
                <w:szCs w:val="32"/>
                <w:lang w:val="en-US" w:eastAsia="zh-CN"/>
              </w:rPr>
              <w:t>盐酸</w:t>
            </w:r>
            <w:r>
              <w:rPr>
                <w:rFonts w:hint="default" w:ascii="Times New Roman" w:hAnsi="Times New Roman" w:eastAsia="宋体" w:cs="Times New Roman"/>
                <w:color w:val="auto"/>
                <w:spacing w:val="10"/>
                <w:sz w:val="24"/>
                <w:szCs w:val="32"/>
                <w:lang w:val="en-US" w:eastAsia="zh-CN"/>
              </w:rPr>
              <w:t>桶</w:t>
            </w:r>
            <w:r>
              <w:rPr>
                <w:rFonts w:hint="eastAsia" w:cs="Times New Roman"/>
                <w:color w:val="auto"/>
                <w:spacing w:val="10"/>
                <w:sz w:val="24"/>
                <w:szCs w:val="32"/>
                <w:lang w:val="en-US" w:eastAsia="zh-CN"/>
              </w:rPr>
              <w:t>盐酸</w:t>
            </w:r>
            <w:r>
              <w:rPr>
                <w:rFonts w:hint="default" w:ascii="Times New Roman" w:hAnsi="Times New Roman" w:eastAsia="宋体" w:cs="Times New Roman"/>
                <w:color w:val="auto"/>
                <w:spacing w:val="10"/>
                <w:sz w:val="24"/>
                <w:szCs w:val="32"/>
                <w:lang w:val="en-US" w:eastAsia="zh-CN"/>
              </w:rPr>
              <w:t>泄漏，</w:t>
            </w:r>
            <w:r>
              <w:rPr>
                <w:rFonts w:hint="eastAsia" w:cs="Times New Roman"/>
                <w:color w:val="auto"/>
                <w:spacing w:val="10"/>
                <w:sz w:val="24"/>
                <w:szCs w:val="32"/>
                <w:lang w:val="en-US" w:eastAsia="zh-CN"/>
              </w:rPr>
              <w:t>HCl</w:t>
            </w:r>
            <w:r>
              <w:rPr>
                <w:rFonts w:hint="default" w:ascii="Times New Roman" w:hAnsi="Times New Roman" w:eastAsia="宋体" w:cs="Times New Roman"/>
                <w:color w:val="auto"/>
                <w:spacing w:val="10"/>
                <w:sz w:val="24"/>
                <w:szCs w:val="32"/>
                <w:lang w:val="en-US" w:eastAsia="zh-CN"/>
              </w:rPr>
              <w:t>污染物释放进入大气环境，造成大气风险事故情形下，对应的气象条件均为大气稳定度F下的气象因素，出现超大气毒性终点浓度-1的最远距离为</w:t>
            </w:r>
            <w:r>
              <w:rPr>
                <w:rFonts w:hint="eastAsia" w:ascii="Times New Roman" w:hAnsi="Times New Roman" w:eastAsia="宋体" w:cs="Times New Roman"/>
                <w:color w:val="auto"/>
                <w:spacing w:val="10"/>
                <w:sz w:val="24"/>
                <w:szCs w:val="32"/>
                <w:lang w:val="en-US" w:eastAsia="zh-CN"/>
              </w:rPr>
              <w:t>220</w:t>
            </w:r>
            <w:r>
              <w:rPr>
                <w:rFonts w:hint="default" w:ascii="Times New Roman" w:hAnsi="Times New Roman" w:eastAsia="宋体" w:cs="Times New Roman"/>
                <w:color w:val="auto"/>
                <w:spacing w:val="10"/>
                <w:sz w:val="24"/>
                <w:szCs w:val="32"/>
                <w:lang w:val="en-US" w:eastAsia="zh-CN"/>
              </w:rPr>
              <w:t>m，出现超大气毒性终点浓度-2的最远距离为</w:t>
            </w:r>
            <w:r>
              <w:rPr>
                <w:rFonts w:hint="eastAsia" w:ascii="Times New Roman" w:hAnsi="Times New Roman" w:eastAsia="宋体" w:cs="Times New Roman"/>
                <w:color w:val="auto"/>
                <w:spacing w:val="10"/>
                <w:sz w:val="24"/>
                <w:szCs w:val="32"/>
                <w:lang w:val="en-US" w:eastAsia="zh-CN"/>
              </w:rPr>
              <w:t>7</w:t>
            </w:r>
            <w:r>
              <w:rPr>
                <w:rFonts w:hint="default" w:ascii="Times New Roman" w:hAnsi="Times New Roman" w:eastAsia="宋体" w:cs="Times New Roman"/>
                <w:color w:val="auto"/>
                <w:spacing w:val="10"/>
                <w:sz w:val="24"/>
                <w:szCs w:val="32"/>
                <w:lang w:val="en-US" w:eastAsia="zh-CN"/>
              </w:rPr>
              <w:t>20m，此情境下，最大影响区域范围内</w:t>
            </w:r>
            <w:r>
              <w:rPr>
                <w:rFonts w:hint="eastAsia" w:ascii="Times New Roman" w:hAnsi="Times New Roman" w:eastAsia="宋体" w:cs="Times New Roman"/>
                <w:color w:val="auto"/>
                <w:spacing w:val="10"/>
                <w:sz w:val="24"/>
                <w:szCs w:val="32"/>
                <w:lang w:val="en-US" w:eastAsia="zh-CN"/>
              </w:rPr>
              <w:t>存在沙岗头村</w:t>
            </w:r>
            <w:r>
              <w:rPr>
                <w:rFonts w:hint="default" w:ascii="Times New Roman" w:hAnsi="Times New Roman" w:eastAsia="宋体" w:cs="Times New Roman"/>
                <w:color w:val="auto"/>
                <w:spacing w:val="10"/>
                <w:sz w:val="24"/>
                <w:szCs w:val="32"/>
                <w:lang w:val="en-US" w:eastAsia="zh-CN"/>
              </w:rPr>
              <w:t>环境风险敏感点。</w:t>
            </w:r>
          </w:p>
          <w:p w14:paraId="125F2CBA">
            <w:pPr>
              <w:autoSpaceDE w:val="0"/>
              <w:autoSpaceDN w:val="0"/>
              <w:adjustRightInd w:val="0"/>
              <w:spacing w:line="500" w:lineRule="exact"/>
              <w:ind w:firstLine="52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②</w:t>
            </w:r>
            <w:r>
              <w:rPr>
                <w:rFonts w:hint="eastAsia" w:cs="Times New Roman"/>
                <w:color w:val="auto"/>
                <w:spacing w:val="10"/>
                <w:sz w:val="24"/>
                <w:szCs w:val="32"/>
                <w:lang w:val="en-US" w:eastAsia="zh-CN"/>
              </w:rPr>
              <w:t>磷酸泄漏，事故应急池破裂，磷酸进入地下水环境，</w:t>
            </w:r>
            <w:r>
              <w:rPr>
                <w:rFonts w:hint="default" w:ascii="Times New Roman" w:hAnsi="Times New Roman" w:eastAsia="宋体" w:cs="Times New Roman"/>
                <w:color w:val="auto"/>
                <w:spacing w:val="10"/>
                <w:sz w:val="24"/>
                <w:szCs w:val="32"/>
                <w:lang w:val="en-US" w:eastAsia="zh-CN"/>
              </w:rPr>
              <w:t>发生后渗漏液随着时间的推移污染晕面积逐步扩大，但在项目区地下水净化作用下污染晕中各污染物的浓度逐渐变小。磷酸泄漏后，总磷浓度在下游</w:t>
            </w:r>
            <w:r>
              <w:rPr>
                <w:rFonts w:hint="eastAsia" w:cs="Times New Roman"/>
                <w:color w:val="auto"/>
                <w:spacing w:val="10"/>
                <w:sz w:val="24"/>
                <w:szCs w:val="32"/>
                <w:lang w:val="en-US" w:eastAsia="zh-CN"/>
              </w:rPr>
              <w:t>51</w:t>
            </w:r>
            <w:r>
              <w:rPr>
                <w:rFonts w:hint="default" w:ascii="Times New Roman" w:hAnsi="Times New Roman" w:eastAsia="宋体" w:cs="Times New Roman"/>
                <w:color w:val="auto"/>
                <w:spacing w:val="10"/>
                <w:sz w:val="24"/>
                <w:szCs w:val="32"/>
                <w:lang w:val="en-US" w:eastAsia="zh-CN"/>
              </w:rPr>
              <w:t>m范围以外均达到《地表水环境质量标准》（GB3838-2002）Ⅲ类水标准，且项目下游及500m范围内均不存在地下水保护目标，因此，项目的运营不会对地下水环境造成明显影响，不会威胁到村庄村民的用水安全。</w:t>
            </w:r>
            <w:r>
              <w:rPr>
                <w:rFonts w:hint="eastAsia" w:cs="Times New Roman"/>
                <w:color w:val="000000"/>
                <w:spacing w:val="10"/>
                <w:sz w:val="24"/>
                <w:szCs w:val="32"/>
                <w:lang w:val="en-US" w:eastAsia="zh-CN"/>
              </w:rPr>
              <w:t>污染物泄漏后到达污染物排放边界钦州湾海域，污染物进入钦州湾海域后，经海水稀释，对海洋环境影响不大。</w:t>
            </w:r>
          </w:p>
          <w:p w14:paraId="0A0049B7">
            <w:pPr>
              <w:pStyle w:val="6"/>
              <w:spacing w:line="500" w:lineRule="exact"/>
              <w:ind w:firstLine="480"/>
              <w:rPr>
                <w:rFonts w:hint="eastAsia" w:ascii="Times New Roman" w:hAnsi="Times New Roman" w:eastAsia="宋体" w:cs="Times New Roman"/>
                <w:color w:val="FF0000"/>
                <w:kern w:val="0"/>
                <w:sz w:val="24"/>
                <w:szCs w:val="24"/>
              </w:rPr>
            </w:pPr>
            <w:r>
              <w:rPr>
                <w:rFonts w:hint="default" w:ascii="Times New Roman" w:hAnsi="Times New Roman" w:eastAsia="宋体" w:cs="Times New Roman"/>
                <w:color w:val="auto"/>
                <w:spacing w:val="10"/>
                <w:sz w:val="24"/>
                <w:szCs w:val="32"/>
                <w:lang w:val="en-US" w:eastAsia="zh-CN"/>
              </w:rPr>
              <w:t>污染物扩散范围主要与地层结构及其渗透性、水文地质条件、废液下渗量以及某种污染物浓度的背景值等因素有关。其中地层结构及其渗透性、水文地质条件为主要因素，从水文地质单元来看，项目所在地水力梯度小，水流速度慢，污染物不容易随水流迁移，污染物在其中迁移距离较小。</w:t>
            </w:r>
          </w:p>
          <w:p w14:paraId="58FBF2F4">
            <w:pPr>
              <w:pStyle w:val="6"/>
              <w:spacing w:line="500" w:lineRule="exact"/>
              <w:ind w:firstLine="480"/>
              <w:rPr>
                <w:rFonts w:hint="eastAsia" w:ascii="Times New Roman" w:hAnsi="Times New Roman" w:eastAsia="宋体" w:cs="Times New Roman"/>
                <w:color w:val="auto"/>
                <w:spacing w:val="10"/>
                <w:sz w:val="24"/>
                <w:szCs w:val="32"/>
                <w:lang w:val="en-US" w:eastAsia="zh-CN"/>
              </w:rPr>
            </w:pPr>
            <w:r>
              <w:rPr>
                <w:rFonts w:hint="eastAsia" w:ascii="Times New Roman" w:hAnsi="Times New Roman" w:eastAsia="宋体" w:cs="Times New Roman"/>
                <w:color w:val="auto"/>
                <w:spacing w:val="10"/>
                <w:sz w:val="24"/>
                <w:szCs w:val="32"/>
                <w:lang w:val="en-US" w:eastAsia="zh-CN"/>
              </w:rPr>
              <w:t>⑶环境风险防范措施和应急预案</w:t>
            </w:r>
          </w:p>
          <w:p w14:paraId="63056A5D">
            <w:pPr>
              <w:pStyle w:val="6"/>
              <w:spacing w:line="500" w:lineRule="exact"/>
              <w:ind w:firstLine="480"/>
              <w:rPr>
                <w:rFonts w:hint="eastAsia" w:ascii="Times New Roman" w:hAnsi="Times New Roman" w:eastAsia="宋体" w:cs="Times New Roman"/>
                <w:color w:val="auto"/>
                <w:spacing w:val="10"/>
                <w:sz w:val="24"/>
                <w:szCs w:val="32"/>
                <w:lang w:val="en-US" w:eastAsia="zh-CN"/>
              </w:rPr>
            </w:pPr>
            <w:r>
              <w:rPr>
                <w:rFonts w:hint="eastAsia" w:ascii="Times New Roman" w:hAnsi="Times New Roman" w:eastAsia="宋体" w:cs="Times New Roman"/>
                <w:color w:val="auto"/>
                <w:spacing w:val="10"/>
                <w:sz w:val="24"/>
                <w:szCs w:val="32"/>
                <w:lang w:val="en-US" w:eastAsia="zh-CN"/>
              </w:rPr>
              <w:t>项目风险防范措施及应急预案合理、可行，项目建设水体污染事故二级防控系统可有效防控本项目事故废水不排出厂区。厂区应急预案纳入园区环境风险防控体系和管理的衔接要求，实现厂区与园区环境风险防控设施及管理的有效联动，有效防控环境风险。</w:t>
            </w:r>
          </w:p>
          <w:p w14:paraId="1D5D4D82">
            <w:pPr>
              <w:pStyle w:val="6"/>
              <w:spacing w:line="500" w:lineRule="exact"/>
              <w:ind w:firstLine="480"/>
              <w:rPr>
                <w:rFonts w:hint="eastAsia" w:ascii="Times New Roman" w:hAnsi="Times New Roman" w:eastAsia="宋体" w:cs="Times New Roman"/>
                <w:color w:val="auto"/>
                <w:spacing w:val="10"/>
                <w:sz w:val="24"/>
                <w:szCs w:val="32"/>
                <w:lang w:val="en-US" w:eastAsia="zh-CN"/>
              </w:rPr>
            </w:pPr>
            <w:r>
              <w:rPr>
                <w:rFonts w:hint="eastAsia" w:ascii="Times New Roman" w:hAnsi="Times New Roman" w:eastAsia="宋体" w:cs="Times New Roman"/>
                <w:color w:val="auto"/>
                <w:spacing w:val="10"/>
                <w:sz w:val="24"/>
                <w:szCs w:val="32"/>
                <w:lang w:val="en-US" w:eastAsia="zh-CN"/>
              </w:rPr>
              <w:t>⑷环境风险评价结论与建议</w:t>
            </w:r>
          </w:p>
          <w:p w14:paraId="3CDE7A7C">
            <w:pPr>
              <w:pStyle w:val="6"/>
              <w:spacing w:line="500" w:lineRule="exact"/>
              <w:ind w:firstLine="480"/>
              <w:rPr>
                <w:rFonts w:hint="eastAsia" w:ascii="Times New Roman" w:hAnsi="Times New Roman" w:eastAsia="宋体" w:cs="Times New Roman"/>
                <w:color w:val="auto"/>
                <w:spacing w:val="10"/>
                <w:sz w:val="24"/>
                <w:szCs w:val="32"/>
                <w:lang w:val="en-US" w:eastAsia="zh-CN"/>
              </w:rPr>
            </w:pPr>
            <w:r>
              <w:rPr>
                <w:rFonts w:hint="eastAsia" w:ascii="Times New Roman" w:hAnsi="Times New Roman" w:eastAsia="宋体" w:cs="Times New Roman"/>
                <w:color w:val="auto"/>
                <w:spacing w:val="10"/>
                <w:sz w:val="24"/>
                <w:szCs w:val="32"/>
                <w:lang w:val="en-US" w:eastAsia="zh-CN"/>
              </w:rPr>
              <w:t>项目环境风险的影响范围内没有敏感点。在落实本报告提出的各项风险管控措施和建议的前提下，项目环境风险可防可控。</w:t>
            </w:r>
          </w:p>
          <w:p w14:paraId="152BDFCF">
            <w:pPr>
              <w:spacing w:line="500" w:lineRule="exact"/>
              <w:rPr>
                <w:b/>
                <w:bCs/>
                <w:sz w:val="24"/>
              </w:rPr>
            </w:pPr>
            <w:r>
              <w:rPr>
                <w:rFonts w:hint="eastAsia"/>
                <w:b/>
                <w:bCs/>
                <w:sz w:val="24"/>
              </w:rPr>
              <w:t>8、电磁辐射</w:t>
            </w:r>
          </w:p>
          <w:p w14:paraId="70E173AA">
            <w:pPr>
              <w:pStyle w:val="6"/>
              <w:spacing w:line="500" w:lineRule="exact"/>
              <w:ind w:firstLine="48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不涉及。</w:t>
            </w:r>
          </w:p>
          <w:p w14:paraId="15E33258">
            <w:pPr>
              <w:spacing w:line="500" w:lineRule="exact"/>
              <w:rPr>
                <w:rFonts w:hint="eastAsia"/>
                <w:b/>
                <w:bCs/>
                <w:sz w:val="24"/>
              </w:rPr>
            </w:pPr>
            <w:r>
              <w:rPr>
                <w:rFonts w:hint="eastAsia"/>
                <w:b/>
                <w:bCs/>
                <w:sz w:val="24"/>
              </w:rPr>
              <w:t>9、环保投资估算</w:t>
            </w:r>
          </w:p>
          <w:p w14:paraId="6541A64C">
            <w:pPr>
              <w:pStyle w:val="6"/>
              <w:spacing w:line="500" w:lineRule="exact"/>
              <w:ind w:firstLine="480"/>
              <w:rPr>
                <w:rFonts w:hint="eastAsia" w:ascii="Times New Roman" w:hAnsi="Times New Roman" w:eastAsia="宋体" w:cs="Times New Roman"/>
                <w:color w:val="000000"/>
                <w:kern w:val="0"/>
                <w:sz w:val="24"/>
              </w:rPr>
            </w:pPr>
            <w:r>
              <w:rPr>
                <w:rFonts w:hint="eastAsia" w:ascii="Times New Roman" w:hAnsi="Times New Roman" w:eastAsia="宋体" w:cs="Times New Roman"/>
                <w:color w:val="000000"/>
                <w:kern w:val="0"/>
                <w:sz w:val="24"/>
              </w:rPr>
              <w:t>本项目投资</w:t>
            </w:r>
            <w:r>
              <w:rPr>
                <w:rFonts w:hint="eastAsia" w:cs="Times New Roman"/>
                <w:color w:val="000000"/>
                <w:kern w:val="0"/>
                <w:sz w:val="24"/>
                <w:lang w:val="en-US" w:eastAsia="zh-CN"/>
              </w:rPr>
              <w:t>17000</w:t>
            </w:r>
            <w:r>
              <w:rPr>
                <w:rFonts w:hint="eastAsia" w:ascii="Times New Roman" w:hAnsi="Times New Roman" w:eastAsia="宋体" w:cs="Times New Roman"/>
                <w:color w:val="000000"/>
                <w:kern w:val="0"/>
                <w:sz w:val="24"/>
              </w:rPr>
              <w:t>万元，环保投资总额约</w:t>
            </w:r>
            <w:r>
              <w:rPr>
                <w:rFonts w:hint="eastAsia" w:ascii="Times New Roman" w:hAnsi="Times New Roman" w:eastAsia="宋体" w:cs="Times New Roman"/>
                <w:color w:val="000000"/>
                <w:kern w:val="0"/>
                <w:sz w:val="24"/>
                <w:lang w:val="en-US" w:eastAsia="zh-CN"/>
              </w:rPr>
              <w:t>341</w:t>
            </w:r>
            <w:r>
              <w:rPr>
                <w:rFonts w:hint="eastAsia" w:ascii="Times New Roman" w:hAnsi="Times New Roman" w:eastAsia="宋体" w:cs="Times New Roman"/>
                <w:color w:val="000000"/>
                <w:kern w:val="0"/>
                <w:sz w:val="24"/>
              </w:rPr>
              <w:t>万元，占总投资的</w:t>
            </w:r>
            <w:r>
              <w:rPr>
                <w:rFonts w:hint="eastAsia" w:ascii="Times New Roman" w:hAnsi="Times New Roman" w:eastAsia="宋体" w:cs="Times New Roman"/>
                <w:color w:val="000000"/>
                <w:kern w:val="0"/>
                <w:sz w:val="24"/>
                <w:lang w:val="en-US" w:eastAsia="zh-CN"/>
              </w:rPr>
              <w:t>0.</w:t>
            </w:r>
            <w:r>
              <w:rPr>
                <w:rFonts w:hint="eastAsia" w:cs="Times New Roman"/>
                <w:color w:val="000000"/>
                <w:kern w:val="0"/>
                <w:sz w:val="24"/>
                <w:lang w:val="en-US" w:eastAsia="zh-CN"/>
              </w:rPr>
              <w:t>2</w:t>
            </w:r>
            <w:r>
              <w:rPr>
                <w:rFonts w:hint="eastAsia" w:ascii="Times New Roman" w:hAnsi="Times New Roman" w:eastAsia="宋体" w:cs="Times New Roman"/>
                <w:color w:val="000000"/>
                <w:kern w:val="0"/>
                <w:sz w:val="24"/>
                <w:lang w:val="en-US" w:eastAsia="zh-CN"/>
              </w:rPr>
              <w:t>0</w:t>
            </w:r>
            <w:r>
              <w:rPr>
                <w:rFonts w:hint="eastAsia" w:ascii="Times New Roman" w:hAnsi="Times New Roman" w:eastAsia="宋体" w:cs="Times New Roman"/>
                <w:color w:val="000000"/>
                <w:kern w:val="0"/>
                <w:sz w:val="24"/>
              </w:rPr>
              <w:t>%，具体环保投资情况见表4-</w:t>
            </w:r>
            <w:r>
              <w:rPr>
                <w:rFonts w:hint="eastAsia" w:ascii="Times New Roman" w:hAnsi="Times New Roman" w:eastAsia="宋体" w:cs="Times New Roman"/>
                <w:color w:val="000000"/>
                <w:kern w:val="0"/>
                <w:sz w:val="24"/>
                <w:lang w:val="en-US" w:eastAsia="zh-CN"/>
              </w:rPr>
              <w:t>2</w:t>
            </w:r>
            <w:r>
              <w:rPr>
                <w:rFonts w:hint="eastAsia" w:cs="Times New Roman"/>
                <w:color w:val="000000"/>
                <w:kern w:val="0"/>
                <w:sz w:val="24"/>
                <w:lang w:val="en-US" w:eastAsia="zh-CN"/>
              </w:rPr>
              <w:t>6</w:t>
            </w:r>
            <w:r>
              <w:rPr>
                <w:rFonts w:hint="eastAsia" w:ascii="Times New Roman" w:hAnsi="Times New Roman" w:eastAsia="宋体" w:cs="Times New Roman"/>
                <w:color w:val="000000"/>
                <w:kern w:val="0"/>
                <w:sz w:val="24"/>
              </w:rPr>
              <w:t>。</w:t>
            </w:r>
          </w:p>
          <w:p w14:paraId="5B55C46D">
            <w:pPr>
              <w:spacing w:line="500" w:lineRule="exact"/>
              <w:ind w:firstLine="480"/>
              <w:jc w:val="center"/>
              <w:rPr>
                <w:b/>
                <w:bCs/>
                <w:color w:val="000000"/>
                <w:sz w:val="24"/>
              </w:rPr>
            </w:pPr>
            <w:r>
              <w:rPr>
                <w:rFonts w:hint="eastAsia"/>
                <w:b/>
                <w:bCs/>
                <w:color w:val="000000"/>
                <w:sz w:val="24"/>
              </w:rPr>
              <w:t>表4-</w:t>
            </w:r>
            <w:r>
              <w:rPr>
                <w:rFonts w:hint="eastAsia"/>
                <w:b/>
                <w:bCs/>
                <w:color w:val="000000"/>
                <w:sz w:val="24"/>
                <w:lang w:val="en-US" w:eastAsia="zh-CN"/>
              </w:rPr>
              <w:t>26</w:t>
            </w:r>
            <w:r>
              <w:rPr>
                <w:rFonts w:hint="eastAsia"/>
                <w:b/>
                <w:bCs/>
                <w:color w:val="000000"/>
                <w:sz w:val="24"/>
              </w:rPr>
              <w:t xml:space="preserve"> 环保投资情况一览表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020"/>
              <w:gridCol w:w="3724"/>
              <w:gridCol w:w="1391"/>
              <w:gridCol w:w="1572"/>
            </w:tblGrid>
            <w:tr w14:paraId="6FF6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gridSpan w:val="2"/>
                  <w:noWrap w:val="0"/>
                  <w:vAlign w:val="center"/>
                </w:tcPr>
                <w:p w14:paraId="04F2AE6B">
                  <w:pPr>
                    <w:pStyle w:val="17"/>
                    <w:widowControl w:val="0"/>
                    <w:adjustRightInd w:val="0"/>
                    <w:snapToGrid w:val="0"/>
                    <w:spacing w:before="0" w:beforeAutospacing="0" w:after="0" w:afterAutospacing="0"/>
                    <w:jc w:val="center"/>
                    <w:textAlignment w:val="baseline"/>
                    <w:rPr>
                      <w:rFonts w:ascii="Times New Roman" w:hAnsi="Times New Roman"/>
                      <w:color w:val="000000"/>
                      <w:sz w:val="21"/>
                      <w:szCs w:val="24"/>
                    </w:rPr>
                  </w:pPr>
                  <w:r>
                    <w:rPr>
                      <w:rFonts w:ascii="Times New Roman" w:hAnsi="Times New Roman"/>
                      <w:color w:val="000000"/>
                      <w:sz w:val="21"/>
                      <w:szCs w:val="24"/>
                    </w:rPr>
                    <w:t>序号</w:t>
                  </w:r>
                </w:p>
              </w:tc>
              <w:tc>
                <w:tcPr>
                  <w:tcW w:w="3724" w:type="dxa"/>
                  <w:noWrap w:val="0"/>
                  <w:vAlign w:val="center"/>
                </w:tcPr>
                <w:p w14:paraId="63A42932">
                  <w:pPr>
                    <w:jc w:val="center"/>
                    <w:rPr>
                      <w:color w:val="000000"/>
                    </w:rPr>
                  </w:pPr>
                  <w:r>
                    <w:rPr>
                      <w:color w:val="000000"/>
                    </w:rPr>
                    <w:t>项目</w:t>
                  </w:r>
                </w:p>
              </w:tc>
              <w:tc>
                <w:tcPr>
                  <w:tcW w:w="1391" w:type="dxa"/>
                  <w:noWrap w:val="0"/>
                  <w:vAlign w:val="center"/>
                </w:tcPr>
                <w:p w14:paraId="1D2B7D6B">
                  <w:pPr>
                    <w:pStyle w:val="17"/>
                    <w:widowControl w:val="0"/>
                    <w:adjustRightInd w:val="0"/>
                    <w:snapToGrid w:val="0"/>
                    <w:spacing w:before="0" w:beforeAutospacing="0" w:after="0" w:afterAutospacing="0"/>
                    <w:jc w:val="center"/>
                    <w:textAlignment w:val="baseline"/>
                    <w:rPr>
                      <w:rFonts w:ascii="Times New Roman" w:hAnsi="Times New Roman"/>
                      <w:color w:val="000000"/>
                    </w:rPr>
                  </w:pPr>
                  <w:r>
                    <w:rPr>
                      <w:rFonts w:ascii="Times New Roman" w:hAnsi="Times New Roman"/>
                      <w:color w:val="000000"/>
                      <w:sz w:val="21"/>
                      <w:szCs w:val="24"/>
                    </w:rPr>
                    <w:t>费用</w:t>
                  </w:r>
                  <w:r>
                    <w:rPr>
                      <w:rFonts w:hint="eastAsia" w:ascii="Times New Roman" w:hAnsi="Times New Roman"/>
                      <w:color w:val="000000"/>
                      <w:sz w:val="21"/>
                      <w:szCs w:val="24"/>
                      <w:lang w:eastAsia="zh-CN"/>
                    </w:rPr>
                    <w:t>（</w:t>
                  </w:r>
                  <w:r>
                    <w:rPr>
                      <w:rFonts w:ascii="Times New Roman" w:hAnsi="Times New Roman"/>
                      <w:color w:val="000000"/>
                      <w:sz w:val="21"/>
                      <w:szCs w:val="24"/>
                    </w:rPr>
                    <w:t>万元</w:t>
                  </w:r>
                </w:p>
              </w:tc>
              <w:tc>
                <w:tcPr>
                  <w:tcW w:w="1572" w:type="dxa"/>
                  <w:noWrap w:val="0"/>
                  <w:vAlign w:val="center"/>
                </w:tcPr>
                <w:p w14:paraId="262FD786">
                  <w:pPr>
                    <w:pStyle w:val="17"/>
                    <w:widowControl w:val="0"/>
                    <w:adjustRightInd w:val="0"/>
                    <w:snapToGrid w:val="0"/>
                    <w:spacing w:before="0" w:beforeAutospacing="0" w:after="0" w:afterAutospacing="0"/>
                    <w:jc w:val="center"/>
                    <w:textAlignment w:val="baseline"/>
                    <w:rPr>
                      <w:rFonts w:ascii="Times New Roman" w:hAnsi="Times New Roman"/>
                      <w:color w:val="000000"/>
                    </w:rPr>
                  </w:pPr>
                  <w:r>
                    <w:rPr>
                      <w:rFonts w:ascii="Times New Roman" w:hAnsi="Times New Roman"/>
                      <w:color w:val="000000"/>
                      <w:sz w:val="21"/>
                      <w:szCs w:val="24"/>
                    </w:rPr>
                    <w:t>备注</w:t>
                  </w:r>
                </w:p>
              </w:tc>
            </w:tr>
            <w:tr w14:paraId="240D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noWrap w:val="0"/>
                  <w:vAlign w:val="center"/>
                </w:tcPr>
                <w:p w14:paraId="0654EA14">
                  <w:pPr>
                    <w:pStyle w:val="17"/>
                    <w:widowControl w:val="0"/>
                    <w:adjustRightInd w:val="0"/>
                    <w:snapToGrid w:val="0"/>
                    <w:spacing w:before="0" w:beforeAutospacing="0" w:after="0" w:afterAutospacing="0"/>
                    <w:jc w:val="center"/>
                    <w:textAlignment w:val="baseline"/>
                    <w:rPr>
                      <w:rFonts w:ascii="Times New Roman" w:hAnsi="Times New Roman"/>
                      <w:color w:val="000000"/>
                    </w:rPr>
                  </w:pPr>
                  <w:r>
                    <w:rPr>
                      <w:rFonts w:ascii="Times New Roman" w:hAnsi="Times New Roman"/>
                      <w:color w:val="000000"/>
                      <w:sz w:val="21"/>
                      <w:szCs w:val="24"/>
                    </w:rPr>
                    <w:t>1</w:t>
                  </w:r>
                </w:p>
              </w:tc>
              <w:tc>
                <w:tcPr>
                  <w:tcW w:w="1020" w:type="dxa"/>
                  <w:vMerge w:val="restart"/>
                  <w:noWrap w:val="0"/>
                  <w:vAlign w:val="center"/>
                </w:tcPr>
                <w:p w14:paraId="2FF228F2">
                  <w:pPr>
                    <w:pStyle w:val="17"/>
                    <w:widowControl w:val="0"/>
                    <w:adjustRightInd w:val="0"/>
                    <w:snapToGrid w:val="0"/>
                    <w:spacing w:before="0" w:beforeAutospacing="0" w:after="0" w:afterAutospacing="0"/>
                    <w:jc w:val="center"/>
                    <w:textAlignment w:val="baseline"/>
                    <w:rPr>
                      <w:rFonts w:ascii="Times New Roman" w:hAnsi="Times New Roman"/>
                      <w:color w:val="000000"/>
                      <w:sz w:val="21"/>
                      <w:szCs w:val="24"/>
                    </w:rPr>
                  </w:pPr>
                  <w:r>
                    <w:rPr>
                      <w:rFonts w:ascii="Times New Roman" w:hAnsi="Times New Roman"/>
                      <w:color w:val="000000"/>
                      <w:sz w:val="21"/>
                      <w:szCs w:val="24"/>
                    </w:rPr>
                    <w:t>施工期</w:t>
                  </w:r>
                </w:p>
              </w:tc>
              <w:tc>
                <w:tcPr>
                  <w:tcW w:w="3724" w:type="dxa"/>
                  <w:noWrap w:val="0"/>
                  <w:vAlign w:val="center"/>
                </w:tcPr>
                <w:p w14:paraId="553257B2">
                  <w:pPr>
                    <w:pStyle w:val="17"/>
                    <w:widowControl w:val="0"/>
                    <w:adjustRightInd w:val="0"/>
                    <w:snapToGrid w:val="0"/>
                    <w:spacing w:before="0" w:beforeAutospacing="0" w:after="0" w:afterAutospacing="0"/>
                    <w:jc w:val="center"/>
                    <w:textAlignment w:val="baseline"/>
                    <w:rPr>
                      <w:rFonts w:ascii="Times New Roman" w:hAnsi="Times New Roman"/>
                      <w:color w:val="000000"/>
                      <w:sz w:val="21"/>
                      <w:szCs w:val="21"/>
                    </w:rPr>
                  </w:pPr>
                  <w:r>
                    <w:rPr>
                      <w:rFonts w:ascii="Times New Roman" w:hAnsi="Times New Roman"/>
                      <w:color w:val="000000"/>
                      <w:sz w:val="21"/>
                      <w:szCs w:val="21"/>
                    </w:rPr>
                    <w:t>施工期建筑垃圾处置</w:t>
                  </w:r>
                </w:p>
              </w:tc>
              <w:tc>
                <w:tcPr>
                  <w:tcW w:w="1391" w:type="dxa"/>
                  <w:noWrap w:val="0"/>
                  <w:vAlign w:val="center"/>
                </w:tcPr>
                <w:p w14:paraId="2E4382BD">
                  <w:pPr>
                    <w:jc w:val="center"/>
                    <w:rPr>
                      <w:rFonts w:hint="default" w:eastAsia="宋体"/>
                      <w:color w:val="000000"/>
                      <w:lang w:val="en-US" w:eastAsia="zh-CN"/>
                    </w:rPr>
                  </w:pPr>
                  <w:r>
                    <w:rPr>
                      <w:rFonts w:hint="eastAsia"/>
                      <w:color w:val="000000"/>
                      <w:lang w:val="en-US" w:eastAsia="zh-CN"/>
                    </w:rPr>
                    <w:t>10</w:t>
                  </w:r>
                </w:p>
              </w:tc>
              <w:tc>
                <w:tcPr>
                  <w:tcW w:w="1572" w:type="dxa"/>
                  <w:noWrap w:val="0"/>
                  <w:vAlign w:val="center"/>
                </w:tcPr>
                <w:p w14:paraId="7BFCF49B">
                  <w:pPr>
                    <w:adjustRightInd w:val="0"/>
                    <w:snapToGrid w:val="0"/>
                    <w:jc w:val="center"/>
                    <w:textAlignment w:val="baseline"/>
                    <w:rPr>
                      <w:color w:val="000000"/>
                    </w:rPr>
                  </w:pPr>
                  <w:r>
                    <w:rPr>
                      <w:color w:val="000000"/>
                    </w:rPr>
                    <w:t>环评要求</w:t>
                  </w:r>
                </w:p>
              </w:tc>
            </w:tr>
            <w:tr w14:paraId="3C2B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noWrap w:val="0"/>
                  <w:vAlign w:val="center"/>
                </w:tcPr>
                <w:p w14:paraId="06542A10">
                  <w:pPr>
                    <w:pStyle w:val="17"/>
                    <w:widowControl w:val="0"/>
                    <w:adjustRightInd w:val="0"/>
                    <w:snapToGrid w:val="0"/>
                    <w:spacing w:before="0" w:beforeAutospacing="0" w:after="0" w:afterAutospacing="0"/>
                    <w:jc w:val="center"/>
                    <w:textAlignment w:val="baseline"/>
                    <w:rPr>
                      <w:rFonts w:hint="eastAsia" w:ascii="Times New Roman" w:hAnsi="Times New Roman" w:eastAsia="宋体"/>
                      <w:color w:val="000000"/>
                      <w:sz w:val="21"/>
                      <w:szCs w:val="24"/>
                      <w:lang w:val="en-US" w:eastAsia="zh-CN"/>
                    </w:rPr>
                  </w:pPr>
                  <w:r>
                    <w:rPr>
                      <w:rFonts w:hint="eastAsia" w:ascii="Times New Roman" w:hAnsi="Times New Roman"/>
                      <w:color w:val="000000"/>
                      <w:sz w:val="21"/>
                      <w:szCs w:val="24"/>
                      <w:lang w:val="en-US" w:eastAsia="zh-CN"/>
                    </w:rPr>
                    <w:t>2</w:t>
                  </w:r>
                </w:p>
              </w:tc>
              <w:tc>
                <w:tcPr>
                  <w:tcW w:w="1020" w:type="dxa"/>
                  <w:vMerge w:val="continue"/>
                  <w:noWrap w:val="0"/>
                  <w:vAlign w:val="center"/>
                </w:tcPr>
                <w:p w14:paraId="02901AB3">
                  <w:pPr>
                    <w:pStyle w:val="17"/>
                    <w:widowControl w:val="0"/>
                    <w:adjustRightInd w:val="0"/>
                    <w:snapToGrid w:val="0"/>
                    <w:spacing w:before="0" w:beforeAutospacing="0" w:after="0" w:afterAutospacing="0"/>
                    <w:jc w:val="center"/>
                    <w:textAlignment w:val="baseline"/>
                    <w:rPr>
                      <w:rFonts w:ascii="Times New Roman" w:hAnsi="Times New Roman"/>
                      <w:color w:val="000000"/>
                      <w:sz w:val="21"/>
                      <w:szCs w:val="24"/>
                    </w:rPr>
                  </w:pPr>
                </w:p>
              </w:tc>
              <w:tc>
                <w:tcPr>
                  <w:tcW w:w="3724" w:type="dxa"/>
                  <w:noWrap w:val="0"/>
                  <w:vAlign w:val="center"/>
                </w:tcPr>
                <w:p w14:paraId="281585C8">
                  <w:pPr>
                    <w:pStyle w:val="17"/>
                    <w:widowControl w:val="0"/>
                    <w:adjustRightInd w:val="0"/>
                    <w:snapToGrid w:val="0"/>
                    <w:spacing w:before="0" w:beforeAutospacing="0" w:after="0" w:afterAutospacing="0"/>
                    <w:jc w:val="center"/>
                    <w:textAlignment w:val="baseline"/>
                    <w:rPr>
                      <w:rFonts w:ascii="Times New Roman" w:hAnsi="Times New Roman"/>
                      <w:color w:val="000000"/>
                      <w:sz w:val="21"/>
                      <w:szCs w:val="21"/>
                    </w:rPr>
                  </w:pPr>
                  <w:r>
                    <w:rPr>
                      <w:rFonts w:ascii="Times New Roman" w:hAnsi="Times New Roman"/>
                      <w:color w:val="000000"/>
                      <w:sz w:val="21"/>
                      <w:szCs w:val="21"/>
                    </w:rPr>
                    <w:t>施工场地洒水降尘等降尘措施</w:t>
                  </w:r>
                </w:p>
              </w:tc>
              <w:tc>
                <w:tcPr>
                  <w:tcW w:w="1391" w:type="dxa"/>
                  <w:noWrap w:val="0"/>
                  <w:vAlign w:val="center"/>
                </w:tcPr>
                <w:p w14:paraId="4091644E">
                  <w:pPr>
                    <w:jc w:val="center"/>
                    <w:rPr>
                      <w:rFonts w:hint="default"/>
                      <w:color w:val="000000"/>
                      <w:lang w:val="en-US" w:eastAsia="zh-CN"/>
                    </w:rPr>
                  </w:pPr>
                  <w:r>
                    <w:rPr>
                      <w:rFonts w:hint="eastAsia"/>
                      <w:color w:val="000000"/>
                      <w:lang w:val="en-US" w:eastAsia="zh-CN"/>
                    </w:rPr>
                    <w:t>3</w:t>
                  </w:r>
                </w:p>
              </w:tc>
              <w:tc>
                <w:tcPr>
                  <w:tcW w:w="1572" w:type="dxa"/>
                  <w:noWrap w:val="0"/>
                  <w:vAlign w:val="center"/>
                </w:tcPr>
                <w:p w14:paraId="1A77C018">
                  <w:pPr>
                    <w:adjustRightInd w:val="0"/>
                    <w:snapToGrid w:val="0"/>
                    <w:jc w:val="center"/>
                    <w:textAlignment w:val="baseline"/>
                    <w:rPr>
                      <w:color w:val="000000"/>
                    </w:rPr>
                  </w:pPr>
                  <w:r>
                    <w:rPr>
                      <w:color w:val="000000"/>
                    </w:rPr>
                    <w:t>环评要求</w:t>
                  </w:r>
                </w:p>
              </w:tc>
            </w:tr>
            <w:tr w14:paraId="7BF9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noWrap w:val="0"/>
                  <w:vAlign w:val="center"/>
                </w:tcPr>
                <w:p w14:paraId="4BC15847">
                  <w:pPr>
                    <w:pStyle w:val="17"/>
                    <w:widowControl w:val="0"/>
                    <w:adjustRightInd w:val="0"/>
                    <w:snapToGrid w:val="0"/>
                    <w:spacing w:before="0" w:beforeAutospacing="0" w:after="0" w:afterAutospacing="0"/>
                    <w:jc w:val="center"/>
                    <w:textAlignment w:val="baseline"/>
                    <w:rPr>
                      <w:rFonts w:hint="eastAsia" w:ascii="Times New Roman" w:hAnsi="Times New Roman" w:eastAsia="宋体"/>
                      <w:color w:val="000000"/>
                      <w:sz w:val="21"/>
                      <w:szCs w:val="24"/>
                      <w:lang w:val="en-US" w:eastAsia="zh-CN"/>
                    </w:rPr>
                  </w:pPr>
                  <w:r>
                    <w:rPr>
                      <w:rFonts w:hint="eastAsia" w:ascii="Times New Roman" w:hAnsi="Times New Roman"/>
                      <w:color w:val="000000"/>
                      <w:sz w:val="21"/>
                      <w:szCs w:val="24"/>
                      <w:lang w:val="en-US" w:eastAsia="zh-CN"/>
                    </w:rPr>
                    <w:t>3</w:t>
                  </w:r>
                </w:p>
              </w:tc>
              <w:tc>
                <w:tcPr>
                  <w:tcW w:w="1020" w:type="dxa"/>
                  <w:vMerge w:val="continue"/>
                  <w:noWrap w:val="0"/>
                  <w:vAlign w:val="center"/>
                </w:tcPr>
                <w:p w14:paraId="44E8703F">
                  <w:pPr>
                    <w:pStyle w:val="17"/>
                    <w:widowControl w:val="0"/>
                    <w:adjustRightInd w:val="0"/>
                    <w:snapToGrid w:val="0"/>
                    <w:spacing w:before="0" w:beforeAutospacing="0" w:after="0" w:afterAutospacing="0"/>
                    <w:jc w:val="center"/>
                    <w:textAlignment w:val="baseline"/>
                    <w:rPr>
                      <w:rFonts w:ascii="Times New Roman" w:hAnsi="Times New Roman"/>
                      <w:color w:val="000000"/>
                      <w:sz w:val="21"/>
                      <w:szCs w:val="24"/>
                    </w:rPr>
                  </w:pPr>
                </w:p>
              </w:tc>
              <w:tc>
                <w:tcPr>
                  <w:tcW w:w="3724" w:type="dxa"/>
                  <w:noWrap w:val="0"/>
                  <w:vAlign w:val="center"/>
                </w:tcPr>
                <w:p w14:paraId="6A440288">
                  <w:pPr>
                    <w:pStyle w:val="17"/>
                    <w:widowControl w:val="0"/>
                    <w:adjustRightInd w:val="0"/>
                    <w:snapToGrid w:val="0"/>
                    <w:spacing w:before="0" w:beforeAutospacing="0" w:after="0" w:afterAutospacing="0"/>
                    <w:jc w:val="center"/>
                    <w:textAlignment w:val="baseline"/>
                    <w:rPr>
                      <w:rFonts w:hint="eastAsia" w:ascii="Times New Roman" w:hAnsi="Times New Roman" w:eastAsia="宋体"/>
                      <w:color w:val="000000"/>
                      <w:sz w:val="21"/>
                      <w:szCs w:val="21"/>
                      <w:lang w:eastAsia="zh-CN"/>
                    </w:rPr>
                  </w:pPr>
                  <w:r>
                    <w:rPr>
                      <w:rFonts w:hint="eastAsia" w:ascii="Times New Roman" w:hAnsi="Times New Roman"/>
                      <w:color w:val="000000"/>
                      <w:sz w:val="21"/>
                      <w:szCs w:val="21"/>
                      <w:lang w:eastAsia="zh-CN"/>
                    </w:rPr>
                    <w:t>施工围挡</w:t>
                  </w:r>
                </w:p>
              </w:tc>
              <w:tc>
                <w:tcPr>
                  <w:tcW w:w="1391" w:type="dxa"/>
                  <w:noWrap w:val="0"/>
                  <w:vAlign w:val="center"/>
                </w:tcPr>
                <w:p w14:paraId="48F15291">
                  <w:pPr>
                    <w:jc w:val="center"/>
                    <w:rPr>
                      <w:rFonts w:hint="default"/>
                      <w:color w:val="000000"/>
                      <w:lang w:val="en-US" w:eastAsia="zh-CN"/>
                    </w:rPr>
                  </w:pPr>
                  <w:r>
                    <w:rPr>
                      <w:rFonts w:hint="eastAsia"/>
                      <w:color w:val="000000"/>
                      <w:lang w:val="en-US" w:eastAsia="zh-CN"/>
                    </w:rPr>
                    <w:t>2</w:t>
                  </w:r>
                </w:p>
              </w:tc>
              <w:tc>
                <w:tcPr>
                  <w:tcW w:w="1572" w:type="dxa"/>
                  <w:noWrap w:val="0"/>
                  <w:vAlign w:val="center"/>
                </w:tcPr>
                <w:p w14:paraId="6826DDA9">
                  <w:pPr>
                    <w:adjustRightInd w:val="0"/>
                    <w:snapToGrid w:val="0"/>
                    <w:jc w:val="center"/>
                    <w:textAlignment w:val="baseline"/>
                    <w:rPr>
                      <w:color w:val="000000"/>
                    </w:rPr>
                  </w:pPr>
                  <w:r>
                    <w:rPr>
                      <w:color w:val="000000"/>
                    </w:rPr>
                    <w:t>环评要求</w:t>
                  </w:r>
                </w:p>
              </w:tc>
            </w:tr>
            <w:tr w14:paraId="70C4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385144E0">
                  <w:pPr>
                    <w:jc w:val="center"/>
                    <w:rPr>
                      <w:rFonts w:hint="eastAsia" w:eastAsia="宋体"/>
                      <w:color w:val="000000"/>
                      <w:lang w:eastAsia="zh-CN"/>
                    </w:rPr>
                  </w:pPr>
                  <w:r>
                    <w:rPr>
                      <w:rFonts w:hint="eastAsia"/>
                      <w:color w:val="000000"/>
                      <w:lang w:val="en-US" w:eastAsia="zh-CN"/>
                    </w:rPr>
                    <w:t>4</w:t>
                  </w:r>
                </w:p>
              </w:tc>
              <w:tc>
                <w:tcPr>
                  <w:tcW w:w="1020" w:type="dxa"/>
                  <w:vMerge w:val="restart"/>
                  <w:noWrap w:val="0"/>
                  <w:vAlign w:val="center"/>
                </w:tcPr>
                <w:p w14:paraId="6460DA31">
                  <w:pPr>
                    <w:jc w:val="center"/>
                    <w:rPr>
                      <w:rFonts w:hint="eastAsia"/>
                      <w:color w:val="000000"/>
                    </w:rPr>
                  </w:pPr>
                  <w:r>
                    <w:rPr>
                      <w:rFonts w:hint="eastAsia"/>
                      <w:color w:val="000000"/>
                    </w:rPr>
                    <w:t>运营期</w:t>
                  </w:r>
                </w:p>
              </w:tc>
              <w:tc>
                <w:tcPr>
                  <w:tcW w:w="3724" w:type="dxa"/>
                  <w:noWrap w:val="0"/>
                  <w:vAlign w:val="center"/>
                </w:tcPr>
                <w:p w14:paraId="47F29216">
                  <w:pPr>
                    <w:jc w:val="center"/>
                    <w:rPr>
                      <w:rFonts w:hint="eastAsia" w:eastAsia="宋体"/>
                      <w:color w:val="000000"/>
                      <w:szCs w:val="21"/>
                      <w:lang w:eastAsia="zh-CN"/>
                    </w:rPr>
                  </w:pPr>
                  <w:r>
                    <w:rPr>
                      <w:rFonts w:hint="eastAsia"/>
                      <w:color w:val="000000"/>
                      <w:szCs w:val="21"/>
                      <w:lang w:eastAsia="zh-CN"/>
                    </w:rPr>
                    <w:t>导流沟</w:t>
                  </w:r>
                </w:p>
              </w:tc>
              <w:tc>
                <w:tcPr>
                  <w:tcW w:w="1391" w:type="dxa"/>
                  <w:noWrap w:val="0"/>
                  <w:vAlign w:val="center"/>
                </w:tcPr>
                <w:p w14:paraId="0BE87EF1">
                  <w:pPr>
                    <w:jc w:val="center"/>
                    <w:rPr>
                      <w:rFonts w:hint="default" w:eastAsia="宋体"/>
                      <w:color w:val="000000"/>
                      <w:lang w:val="en-US" w:eastAsia="zh-CN"/>
                    </w:rPr>
                  </w:pPr>
                  <w:r>
                    <w:rPr>
                      <w:rFonts w:hint="eastAsia"/>
                      <w:color w:val="000000"/>
                      <w:lang w:val="en-US" w:eastAsia="zh-CN"/>
                    </w:rPr>
                    <w:t>5</w:t>
                  </w:r>
                </w:p>
              </w:tc>
              <w:tc>
                <w:tcPr>
                  <w:tcW w:w="1572" w:type="dxa"/>
                  <w:noWrap w:val="0"/>
                  <w:vAlign w:val="center"/>
                </w:tcPr>
                <w:p w14:paraId="7274657A">
                  <w:pPr>
                    <w:jc w:val="center"/>
                    <w:rPr>
                      <w:rFonts w:hint="eastAsia" w:eastAsia="宋体"/>
                      <w:color w:val="000000"/>
                      <w:lang w:eastAsia="zh-CN"/>
                    </w:rPr>
                  </w:pPr>
                  <w:r>
                    <w:rPr>
                      <w:rFonts w:hint="eastAsia"/>
                      <w:color w:val="000000"/>
                      <w:lang w:eastAsia="zh-CN"/>
                    </w:rPr>
                    <w:t>项目设计</w:t>
                  </w:r>
                </w:p>
              </w:tc>
            </w:tr>
            <w:tr w14:paraId="0E33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50" w:type="dxa"/>
                  <w:noWrap w:val="0"/>
                  <w:vAlign w:val="center"/>
                </w:tcPr>
                <w:p w14:paraId="4B133309">
                  <w:pPr>
                    <w:jc w:val="center"/>
                    <w:rPr>
                      <w:rFonts w:hint="eastAsia" w:eastAsia="宋体"/>
                      <w:color w:val="000000"/>
                      <w:lang w:eastAsia="zh-CN"/>
                    </w:rPr>
                  </w:pPr>
                  <w:r>
                    <w:rPr>
                      <w:rFonts w:hint="eastAsia"/>
                      <w:color w:val="000000"/>
                      <w:lang w:val="en-US" w:eastAsia="zh-CN"/>
                    </w:rPr>
                    <w:t>5</w:t>
                  </w:r>
                </w:p>
              </w:tc>
              <w:tc>
                <w:tcPr>
                  <w:tcW w:w="1020" w:type="dxa"/>
                  <w:vMerge w:val="continue"/>
                  <w:noWrap w:val="0"/>
                  <w:vAlign w:val="center"/>
                </w:tcPr>
                <w:p w14:paraId="2B669D03">
                  <w:pPr>
                    <w:jc w:val="center"/>
                    <w:rPr>
                      <w:rFonts w:hint="eastAsia"/>
                      <w:color w:val="000000"/>
                    </w:rPr>
                  </w:pPr>
                </w:p>
              </w:tc>
              <w:tc>
                <w:tcPr>
                  <w:tcW w:w="3724" w:type="dxa"/>
                  <w:noWrap w:val="0"/>
                  <w:vAlign w:val="center"/>
                </w:tcPr>
                <w:p w14:paraId="4E0693B9">
                  <w:pPr>
                    <w:jc w:val="center"/>
                    <w:rPr>
                      <w:rFonts w:hint="default" w:eastAsia="宋体"/>
                      <w:color w:val="000000"/>
                      <w:szCs w:val="21"/>
                      <w:lang w:val="en-US" w:eastAsia="zh-CN"/>
                    </w:rPr>
                  </w:pPr>
                  <w:r>
                    <w:rPr>
                      <w:rFonts w:hint="eastAsia"/>
                      <w:color w:val="000000"/>
                      <w:szCs w:val="21"/>
                      <w:lang w:val="en-US" w:eastAsia="zh-CN"/>
                    </w:rPr>
                    <w:t>事故应急池、初期雨水池</w:t>
                  </w:r>
                </w:p>
              </w:tc>
              <w:tc>
                <w:tcPr>
                  <w:tcW w:w="1391" w:type="dxa"/>
                  <w:noWrap w:val="0"/>
                  <w:vAlign w:val="center"/>
                </w:tcPr>
                <w:p w14:paraId="3EBC36FD">
                  <w:pPr>
                    <w:jc w:val="center"/>
                    <w:rPr>
                      <w:rFonts w:hint="default" w:eastAsia="宋体"/>
                      <w:color w:val="000000"/>
                      <w:lang w:val="en-US" w:eastAsia="zh-CN"/>
                    </w:rPr>
                  </w:pPr>
                  <w:r>
                    <w:rPr>
                      <w:rFonts w:hint="eastAsia"/>
                      <w:color w:val="000000"/>
                      <w:lang w:val="en-US" w:eastAsia="zh-CN"/>
                    </w:rPr>
                    <w:t>20</w:t>
                  </w:r>
                </w:p>
              </w:tc>
              <w:tc>
                <w:tcPr>
                  <w:tcW w:w="1572" w:type="dxa"/>
                  <w:noWrap w:val="0"/>
                  <w:vAlign w:val="center"/>
                </w:tcPr>
                <w:p w14:paraId="70BF7F11">
                  <w:pPr>
                    <w:jc w:val="center"/>
                    <w:rPr>
                      <w:color w:val="000000"/>
                    </w:rPr>
                  </w:pPr>
                  <w:r>
                    <w:rPr>
                      <w:color w:val="000000"/>
                    </w:rPr>
                    <w:t>项目设计</w:t>
                  </w:r>
                </w:p>
              </w:tc>
            </w:tr>
            <w:tr w14:paraId="6B1B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3F859B74">
                  <w:pPr>
                    <w:jc w:val="center"/>
                    <w:rPr>
                      <w:rFonts w:hint="default" w:eastAsia="宋体"/>
                      <w:color w:val="000000"/>
                      <w:lang w:val="en-US" w:eastAsia="zh-CN"/>
                    </w:rPr>
                  </w:pPr>
                  <w:r>
                    <w:rPr>
                      <w:rFonts w:hint="eastAsia" w:eastAsia="宋体"/>
                      <w:color w:val="000000"/>
                      <w:lang w:val="en-US" w:eastAsia="zh-CN"/>
                    </w:rPr>
                    <w:t>6</w:t>
                  </w:r>
                </w:p>
              </w:tc>
              <w:tc>
                <w:tcPr>
                  <w:tcW w:w="1020" w:type="dxa"/>
                  <w:vMerge w:val="continue"/>
                  <w:noWrap w:val="0"/>
                  <w:vAlign w:val="center"/>
                </w:tcPr>
                <w:p w14:paraId="676F5272">
                  <w:pPr>
                    <w:jc w:val="center"/>
                    <w:rPr>
                      <w:rFonts w:hint="eastAsia"/>
                      <w:color w:val="000000"/>
                    </w:rPr>
                  </w:pPr>
                </w:p>
              </w:tc>
              <w:tc>
                <w:tcPr>
                  <w:tcW w:w="3724" w:type="dxa"/>
                  <w:noWrap w:val="0"/>
                  <w:vAlign w:val="center"/>
                </w:tcPr>
                <w:p w14:paraId="0DA9AF74">
                  <w:pPr>
                    <w:jc w:val="center"/>
                    <w:rPr>
                      <w:rFonts w:hint="eastAsia"/>
                      <w:color w:val="000000"/>
                      <w:szCs w:val="21"/>
                      <w:lang w:eastAsia="zh-CN"/>
                    </w:rPr>
                  </w:pPr>
                  <w:r>
                    <w:rPr>
                      <w:rFonts w:hint="eastAsia"/>
                      <w:color w:val="000000"/>
                      <w:szCs w:val="21"/>
                      <w:lang w:eastAsia="zh-CN"/>
                    </w:rPr>
                    <w:t>地面防腐防渗层</w:t>
                  </w:r>
                </w:p>
              </w:tc>
              <w:tc>
                <w:tcPr>
                  <w:tcW w:w="1391" w:type="dxa"/>
                  <w:noWrap w:val="0"/>
                  <w:vAlign w:val="center"/>
                </w:tcPr>
                <w:p w14:paraId="1878A523">
                  <w:pPr>
                    <w:jc w:val="center"/>
                    <w:rPr>
                      <w:rFonts w:hint="default" w:eastAsia="宋体"/>
                      <w:color w:val="000000"/>
                      <w:lang w:val="en-US" w:eastAsia="zh-CN"/>
                    </w:rPr>
                  </w:pPr>
                  <w:r>
                    <w:rPr>
                      <w:rFonts w:hint="eastAsia"/>
                      <w:color w:val="000000"/>
                      <w:lang w:val="en-US" w:eastAsia="zh-CN"/>
                    </w:rPr>
                    <w:t>300</w:t>
                  </w:r>
                </w:p>
              </w:tc>
              <w:tc>
                <w:tcPr>
                  <w:tcW w:w="1572" w:type="dxa"/>
                  <w:noWrap w:val="0"/>
                  <w:vAlign w:val="center"/>
                </w:tcPr>
                <w:p w14:paraId="5EFA1459">
                  <w:pPr>
                    <w:jc w:val="center"/>
                    <w:rPr>
                      <w:rFonts w:hint="eastAsia" w:eastAsia="宋体"/>
                      <w:color w:val="000000"/>
                      <w:lang w:eastAsia="zh-CN"/>
                    </w:rPr>
                  </w:pPr>
                  <w:r>
                    <w:rPr>
                      <w:rFonts w:hint="eastAsia"/>
                      <w:color w:val="000000"/>
                      <w:lang w:eastAsia="zh-CN"/>
                    </w:rPr>
                    <w:t>项目设计</w:t>
                  </w:r>
                </w:p>
              </w:tc>
            </w:tr>
            <w:tr w14:paraId="161E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50" w:type="dxa"/>
                  <w:noWrap w:val="0"/>
                  <w:vAlign w:val="center"/>
                </w:tcPr>
                <w:p w14:paraId="069A030B">
                  <w:pPr>
                    <w:jc w:val="center"/>
                    <w:rPr>
                      <w:rFonts w:hint="eastAsia" w:eastAsia="宋体"/>
                      <w:color w:val="000000"/>
                      <w:lang w:val="en-US" w:eastAsia="zh-CN"/>
                    </w:rPr>
                  </w:pPr>
                  <w:r>
                    <w:rPr>
                      <w:rFonts w:hint="eastAsia"/>
                      <w:color w:val="000000"/>
                      <w:lang w:val="en-US" w:eastAsia="zh-CN"/>
                    </w:rPr>
                    <w:t>7</w:t>
                  </w:r>
                </w:p>
              </w:tc>
              <w:tc>
                <w:tcPr>
                  <w:tcW w:w="1020" w:type="dxa"/>
                  <w:vMerge w:val="continue"/>
                  <w:noWrap w:val="0"/>
                  <w:vAlign w:val="center"/>
                </w:tcPr>
                <w:p w14:paraId="686B9BF2">
                  <w:pPr>
                    <w:jc w:val="center"/>
                    <w:rPr>
                      <w:color w:val="000000"/>
                    </w:rPr>
                  </w:pPr>
                </w:p>
              </w:tc>
              <w:tc>
                <w:tcPr>
                  <w:tcW w:w="3724" w:type="dxa"/>
                  <w:noWrap w:val="0"/>
                  <w:vAlign w:val="center"/>
                </w:tcPr>
                <w:p w14:paraId="78FA45CF">
                  <w:pPr>
                    <w:jc w:val="center"/>
                    <w:rPr>
                      <w:rFonts w:hint="eastAsia" w:eastAsia="宋体"/>
                      <w:color w:val="000000"/>
                      <w:szCs w:val="21"/>
                      <w:lang w:eastAsia="zh-CN"/>
                    </w:rPr>
                  </w:pPr>
                  <w:r>
                    <w:rPr>
                      <w:rFonts w:hint="eastAsia"/>
                      <w:color w:val="000000"/>
                      <w:szCs w:val="21"/>
                    </w:rPr>
                    <w:t>危险废物暂存</w:t>
                  </w:r>
                  <w:r>
                    <w:rPr>
                      <w:rFonts w:hint="eastAsia"/>
                      <w:color w:val="000000"/>
                      <w:szCs w:val="21"/>
                      <w:lang w:val="en-US" w:eastAsia="zh-CN"/>
                    </w:rPr>
                    <w:t>间</w:t>
                  </w:r>
                </w:p>
              </w:tc>
              <w:tc>
                <w:tcPr>
                  <w:tcW w:w="1391" w:type="dxa"/>
                  <w:noWrap w:val="0"/>
                  <w:vAlign w:val="center"/>
                </w:tcPr>
                <w:p w14:paraId="6AD78C99">
                  <w:pPr>
                    <w:jc w:val="center"/>
                    <w:rPr>
                      <w:rFonts w:hint="default" w:eastAsia="宋体"/>
                      <w:color w:val="000000"/>
                      <w:lang w:val="en-US" w:eastAsia="zh-CN"/>
                    </w:rPr>
                  </w:pPr>
                  <w:r>
                    <w:rPr>
                      <w:rFonts w:hint="eastAsia"/>
                      <w:color w:val="000000"/>
                      <w:lang w:val="en-US" w:eastAsia="zh-CN"/>
                    </w:rPr>
                    <w:t>1</w:t>
                  </w:r>
                </w:p>
              </w:tc>
              <w:tc>
                <w:tcPr>
                  <w:tcW w:w="1572" w:type="dxa"/>
                  <w:noWrap w:val="0"/>
                  <w:vAlign w:val="center"/>
                </w:tcPr>
                <w:p w14:paraId="5674AE19">
                  <w:pPr>
                    <w:jc w:val="center"/>
                    <w:rPr>
                      <w:color w:val="000000"/>
                    </w:rPr>
                  </w:pPr>
                  <w:r>
                    <w:rPr>
                      <w:color w:val="000000"/>
                    </w:rPr>
                    <w:t>环评要求</w:t>
                  </w:r>
                </w:p>
              </w:tc>
            </w:tr>
            <w:tr w14:paraId="5C22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4" w:type="dxa"/>
                  <w:gridSpan w:val="3"/>
                  <w:noWrap w:val="0"/>
                  <w:vAlign w:val="center"/>
                </w:tcPr>
                <w:p w14:paraId="293165C6">
                  <w:pPr>
                    <w:jc w:val="center"/>
                    <w:rPr>
                      <w:color w:val="000000"/>
                    </w:rPr>
                  </w:pPr>
                  <w:r>
                    <w:rPr>
                      <w:color w:val="000000"/>
                    </w:rPr>
                    <w:t>总计</w:t>
                  </w:r>
                </w:p>
              </w:tc>
              <w:tc>
                <w:tcPr>
                  <w:tcW w:w="1391" w:type="dxa"/>
                  <w:noWrap w:val="0"/>
                  <w:vAlign w:val="center"/>
                </w:tcPr>
                <w:p w14:paraId="2D6129F2">
                  <w:pPr>
                    <w:jc w:val="center"/>
                    <w:rPr>
                      <w:rFonts w:hint="default" w:eastAsia="宋体"/>
                      <w:color w:val="000000"/>
                      <w:lang w:val="en-US" w:eastAsia="zh-CN"/>
                    </w:rPr>
                  </w:pPr>
                  <w:r>
                    <w:rPr>
                      <w:rFonts w:hint="eastAsia" w:eastAsia="宋体"/>
                      <w:color w:val="000000"/>
                      <w:lang w:val="en-US" w:eastAsia="zh-CN"/>
                    </w:rPr>
                    <w:t>341</w:t>
                  </w:r>
                </w:p>
              </w:tc>
              <w:tc>
                <w:tcPr>
                  <w:tcW w:w="1572" w:type="dxa"/>
                  <w:noWrap w:val="0"/>
                  <w:vAlign w:val="center"/>
                </w:tcPr>
                <w:p w14:paraId="70FC2FAC">
                  <w:pPr>
                    <w:jc w:val="center"/>
                    <w:rPr>
                      <w:color w:val="000000"/>
                    </w:rPr>
                  </w:pPr>
                </w:p>
              </w:tc>
            </w:tr>
          </w:tbl>
          <w:p w14:paraId="636DF765">
            <w:pPr>
              <w:spacing w:line="500" w:lineRule="exact"/>
              <w:rPr>
                <w:rFonts w:hint="eastAsia" w:ascii="Times New Roman" w:hAnsi="Times New Roman" w:eastAsia="宋体" w:cs="Times New Roman"/>
                <w:b/>
                <w:bCs/>
                <w:sz w:val="24"/>
              </w:rPr>
            </w:pPr>
            <w:r>
              <w:rPr>
                <w:rFonts w:hint="eastAsia" w:ascii="Times New Roman" w:hAnsi="Times New Roman" w:eastAsia="宋体" w:cs="Times New Roman"/>
                <w:b/>
                <w:bCs/>
                <w:sz w:val="24"/>
                <w:lang w:val="en-US" w:eastAsia="zh-CN"/>
              </w:rPr>
              <w:t>10</w:t>
            </w:r>
            <w:r>
              <w:rPr>
                <w:rFonts w:hint="eastAsia" w:ascii="Times New Roman" w:hAnsi="Times New Roman" w:eastAsia="宋体" w:cs="Times New Roman"/>
                <w:b/>
                <w:bCs/>
                <w:sz w:val="24"/>
              </w:rPr>
              <w:t>、“以新带老”措施</w:t>
            </w:r>
          </w:p>
          <w:p w14:paraId="211F0D8F">
            <w:pPr>
              <w:pStyle w:val="6"/>
              <w:spacing w:line="500" w:lineRule="exact"/>
              <w:ind w:firstLine="480"/>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改扩建项目无“以新带老”措施。</w:t>
            </w:r>
          </w:p>
          <w:p w14:paraId="09214C28">
            <w:pPr>
              <w:spacing w:line="500" w:lineRule="exact"/>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11、改扩建前后“三本账”</w:t>
            </w:r>
          </w:p>
          <w:p w14:paraId="7ACAEDFE">
            <w:pPr>
              <w:pStyle w:val="6"/>
              <w:spacing w:line="500" w:lineRule="exact"/>
              <w:ind w:firstLine="482"/>
              <w:jc w:val="center"/>
              <w:rPr>
                <w:rFonts w:hint="eastAsia" w:ascii="Times New Roman" w:hAnsi="Times New Roman" w:eastAsia="宋体" w:cs="Times New Roman"/>
                <w:b/>
                <w:bCs/>
                <w:color w:val="000000"/>
                <w:kern w:val="0"/>
                <w:sz w:val="24"/>
                <w:lang w:val="en-GB" w:eastAsia="zh-CN"/>
              </w:rPr>
            </w:pPr>
            <w:r>
              <w:rPr>
                <w:rFonts w:hint="eastAsia" w:ascii="Times New Roman" w:hAnsi="Times New Roman" w:eastAsia="宋体" w:cs="Times New Roman"/>
                <w:b/>
                <w:bCs/>
                <w:color w:val="000000"/>
                <w:kern w:val="0"/>
                <w:sz w:val="24"/>
                <w:lang w:val="en-GB" w:eastAsia="zh-CN"/>
              </w:rPr>
              <w:t>表</w:t>
            </w:r>
            <w:r>
              <w:rPr>
                <w:rFonts w:hint="eastAsia" w:ascii="Times New Roman" w:hAnsi="Times New Roman" w:eastAsia="宋体" w:cs="Times New Roman"/>
                <w:b/>
                <w:bCs/>
                <w:color w:val="000000"/>
                <w:kern w:val="0"/>
                <w:sz w:val="24"/>
                <w:lang w:val="en-US" w:eastAsia="zh-CN"/>
              </w:rPr>
              <w:t>4-27</w:t>
            </w:r>
            <w:r>
              <w:rPr>
                <w:rFonts w:hint="eastAsia" w:ascii="Times New Roman" w:hAnsi="Times New Roman" w:eastAsia="宋体" w:cs="Times New Roman"/>
                <w:b/>
                <w:bCs/>
                <w:color w:val="000000"/>
                <w:kern w:val="0"/>
                <w:sz w:val="24"/>
                <w:lang w:val="en-GB" w:eastAsia="zh-CN"/>
              </w:rPr>
              <w:t xml:space="preserve">  项目主要污染物产生和排放量汇总表（单位：t/a）</w:t>
            </w:r>
          </w:p>
          <w:tbl>
            <w:tblPr>
              <w:tblStyle w:val="19"/>
              <w:tblW w:w="862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35"/>
              <w:gridCol w:w="1683"/>
              <w:gridCol w:w="925"/>
              <w:gridCol w:w="952"/>
              <w:gridCol w:w="885"/>
              <w:gridCol w:w="897"/>
              <w:gridCol w:w="866"/>
              <w:gridCol w:w="913"/>
              <w:gridCol w:w="964"/>
            </w:tblGrid>
            <w:tr w14:paraId="1A3016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35" w:type="dxa"/>
                  <w:tcBorders>
                    <w:left w:val="single" w:color="auto" w:sz="0" w:space="0"/>
                  </w:tcBorders>
                  <w:noWrap w:val="0"/>
                  <w:vAlign w:val="center"/>
                </w:tcPr>
                <w:p w14:paraId="5897CABC">
                  <w:pPr>
                    <w:jc w:val="center"/>
                    <w:rPr>
                      <w:color w:val="auto"/>
                      <w:u w:val="none"/>
                    </w:rPr>
                  </w:pPr>
                  <w:r>
                    <w:rPr>
                      <w:color w:val="auto"/>
                      <w:u w:val="none"/>
                    </w:rPr>
                    <w:t>项目</w:t>
                  </w:r>
                </w:p>
              </w:tc>
              <w:tc>
                <w:tcPr>
                  <w:tcW w:w="1683" w:type="dxa"/>
                  <w:noWrap w:val="0"/>
                  <w:vAlign w:val="center"/>
                </w:tcPr>
                <w:p w14:paraId="531EF1E3">
                  <w:pPr>
                    <w:jc w:val="center"/>
                    <w:rPr>
                      <w:color w:val="auto"/>
                      <w:u w:val="none"/>
                    </w:rPr>
                  </w:pPr>
                  <w:r>
                    <w:rPr>
                      <w:color w:val="auto"/>
                      <w:u w:val="none"/>
                    </w:rPr>
                    <w:t>污染物</w:t>
                  </w:r>
                </w:p>
                <w:p w14:paraId="4CF583BF">
                  <w:pPr>
                    <w:jc w:val="center"/>
                    <w:rPr>
                      <w:color w:val="auto"/>
                      <w:u w:val="none"/>
                    </w:rPr>
                  </w:pPr>
                  <w:r>
                    <w:rPr>
                      <w:color w:val="auto"/>
                      <w:u w:val="none"/>
                    </w:rPr>
                    <w:t>名称</w:t>
                  </w:r>
                </w:p>
              </w:tc>
              <w:tc>
                <w:tcPr>
                  <w:tcW w:w="925" w:type="dxa"/>
                  <w:noWrap w:val="0"/>
                  <w:vAlign w:val="center"/>
                </w:tcPr>
                <w:p w14:paraId="7A424AE9">
                  <w:pPr>
                    <w:jc w:val="center"/>
                    <w:rPr>
                      <w:color w:val="auto"/>
                      <w:u w:val="none"/>
                    </w:rPr>
                  </w:pPr>
                  <w:r>
                    <w:rPr>
                      <w:color w:val="auto"/>
                      <w:u w:val="none"/>
                    </w:rPr>
                    <w:t>现有工程排放量</w:t>
                  </w:r>
                </w:p>
              </w:tc>
              <w:tc>
                <w:tcPr>
                  <w:tcW w:w="952" w:type="dxa"/>
                  <w:noWrap w:val="0"/>
                  <w:vAlign w:val="center"/>
                </w:tcPr>
                <w:p w14:paraId="1776C370">
                  <w:pPr>
                    <w:jc w:val="center"/>
                    <w:rPr>
                      <w:rFonts w:hint="eastAsia" w:eastAsia="宋体"/>
                      <w:color w:val="auto"/>
                      <w:u w:val="none"/>
                      <w:lang w:eastAsia="zh-CN"/>
                    </w:rPr>
                  </w:pPr>
                  <w:r>
                    <w:rPr>
                      <w:rFonts w:hint="eastAsia"/>
                      <w:color w:val="auto"/>
                      <w:u w:val="none"/>
                      <w:lang w:eastAsia="zh-CN"/>
                    </w:rPr>
                    <w:t>扩建项目</w:t>
                  </w:r>
                </w:p>
                <w:p w14:paraId="4B9CCA2E">
                  <w:pPr>
                    <w:jc w:val="center"/>
                    <w:rPr>
                      <w:color w:val="auto"/>
                      <w:u w:val="none"/>
                    </w:rPr>
                  </w:pPr>
                  <w:r>
                    <w:rPr>
                      <w:color w:val="auto"/>
                      <w:u w:val="none"/>
                    </w:rPr>
                    <w:t>产生量</w:t>
                  </w:r>
                </w:p>
              </w:tc>
              <w:tc>
                <w:tcPr>
                  <w:tcW w:w="885" w:type="dxa"/>
                  <w:noWrap w:val="0"/>
                  <w:vAlign w:val="center"/>
                </w:tcPr>
                <w:p w14:paraId="578A798E">
                  <w:pPr>
                    <w:jc w:val="center"/>
                    <w:rPr>
                      <w:rFonts w:hint="eastAsia" w:eastAsia="宋体"/>
                      <w:color w:val="auto"/>
                      <w:u w:val="none"/>
                      <w:lang w:eastAsia="zh-CN"/>
                    </w:rPr>
                  </w:pPr>
                  <w:r>
                    <w:rPr>
                      <w:rFonts w:hint="eastAsia"/>
                      <w:color w:val="auto"/>
                      <w:u w:val="none"/>
                      <w:lang w:eastAsia="zh-CN"/>
                    </w:rPr>
                    <w:t>扩建项目</w:t>
                  </w:r>
                </w:p>
                <w:p w14:paraId="0234086D">
                  <w:pPr>
                    <w:jc w:val="center"/>
                    <w:rPr>
                      <w:color w:val="auto"/>
                      <w:u w:val="none"/>
                    </w:rPr>
                  </w:pPr>
                  <w:r>
                    <w:rPr>
                      <w:color w:val="auto"/>
                      <w:u w:val="none"/>
                    </w:rPr>
                    <w:t>削减量</w:t>
                  </w:r>
                </w:p>
              </w:tc>
              <w:tc>
                <w:tcPr>
                  <w:tcW w:w="897" w:type="dxa"/>
                  <w:noWrap w:val="0"/>
                  <w:vAlign w:val="center"/>
                </w:tcPr>
                <w:p w14:paraId="451671ED">
                  <w:pPr>
                    <w:jc w:val="center"/>
                    <w:rPr>
                      <w:rFonts w:hint="eastAsia" w:eastAsia="宋体"/>
                      <w:color w:val="auto"/>
                      <w:u w:val="none"/>
                      <w:lang w:eastAsia="zh-CN"/>
                    </w:rPr>
                  </w:pPr>
                  <w:r>
                    <w:rPr>
                      <w:rFonts w:hint="eastAsia"/>
                      <w:color w:val="auto"/>
                      <w:u w:val="none"/>
                      <w:lang w:eastAsia="zh-CN"/>
                    </w:rPr>
                    <w:t>扩建项目</w:t>
                  </w:r>
                </w:p>
                <w:p w14:paraId="199230D1">
                  <w:pPr>
                    <w:jc w:val="center"/>
                    <w:rPr>
                      <w:color w:val="auto"/>
                      <w:u w:val="none"/>
                    </w:rPr>
                  </w:pPr>
                  <w:r>
                    <w:rPr>
                      <w:color w:val="auto"/>
                      <w:u w:val="none"/>
                    </w:rPr>
                    <w:t>排放量</w:t>
                  </w:r>
                </w:p>
              </w:tc>
              <w:tc>
                <w:tcPr>
                  <w:tcW w:w="866" w:type="dxa"/>
                  <w:noWrap w:val="0"/>
                  <w:vAlign w:val="center"/>
                </w:tcPr>
                <w:p w14:paraId="2DAF83CD">
                  <w:pPr>
                    <w:jc w:val="center"/>
                    <w:rPr>
                      <w:color w:val="auto"/>
                      <w:u w:val="none"/>
                    </w:rPr>
                  </w:pPr>
                  <w:r>
                    <w:rPr>
                      <w:color w:val="auto"/>
                      <w:u w:val="none"/>
                    </w:rPr>
                    <w:t>以新带老</w:t>
                  </w:r>
                </w:p>
                <w:p w14:paraId="6F0C077F">
                  <w:pPr>
                    <w:jc w:val="center"/>
                    <w:rPr>
                      <w:color w:val="auto"/>
                      <w:u w:val="none"/>
                    </w:rPr>
                  </w:pPr>
                  <w:r>
                    <w:rPr>
                      <w:color w:val="auto"/>
                      <w:u w:val="none"/>
                    </w:rPr>
                    <w:t>削减量</w:t>
                  </w:r>
                </w:p>
              </w:tc>
              <w:tc>
                <w:tcPr>
                  <w:tcW w:w="913" w:type="dxa"/>
                  <w:noWrap w:val="0"/>
                  <w:vAlign w:val="center"/>
                </w:tcPr>
                <w:p w14:paraId="4FA64D26">
                  <w:pPr>
                    <w:jc w:val="center"/>
                    <w:rPr>
                      <w:color w:val="auto"/>
                      <w:u w:val="none"/>
                    </w:rPr>
                  </w:pPr>
                  <w:r>
                    <w:rPr>
                      <w:color w:val="auto"/>
                      <w:u w:val="none"/>
                    </w:rPr>
                    <w:t>全厂</w:t>
                  </w:r>
                </w:p>
                <w:p w14:paraId="37229E25">
                  <w:pPr>
                    <w:jc w:val="center"/>
                    <w:rPr>
                      <w:color w:val="auto"/>
                      <w:u w:val="none"/>
                    </w:rPr>
                  </w:pPr>
                  <w:r>
                    <w:rPr>
                      <w:color w:val="auto"/>
                      <w:u w:val="none"/>
                    </w:rPr>
                    <w:t>排放量</w:t>
                  </w:r>
                </w:p>
              </w:tc>
              <w:tc>
                <w:tcPr>
                  <w:tcW w:w="964" w:type="dxa"/>
                  <w:tcBorders>
                    <w:right w:val="single" w:color="auto" w:sz="4" w:space="0"/>
                  </w:tcBorders>
                  <w:noWrap w:val="0"/>
                  <w:vAlign w:val="center"/>
                </w:tcPr>
                <w:p w14:paraId="06590E27">
                  <w:pPr>
                    <w:jc w:val="center"/>
                    <w:rPr>
                      <w:color w:val="auto"/>
                      <w:u w:val="none"/>
                    </w:rPr>
                  </w:pPr>
                  <w:r>
                    <w:rPr>
                      <w:color w:val="auto"/>
                      <w:u w:val="none"/>
                    </w:rPr>
                    <w:t>全厂排放</w:t>
                  </w:r>
                </w:p>
                <w:p w14:paraId="657844AE">
                  <w:pPr>
                    <w:jc w:val="center"/>
                    <w:rPr>
                      <w:color w:val="auto"/>
                      <w:u w:val="none"/>
                    </w:rPr>
                  </w:pPr>
                  <w:r>
                    <w:rPr>
                      <w:color w:val="auto"/>
                      <w:u w:val="none"/>
                    </w:rPr>
                    <w:t>增减量</w:t>
                  </w:r>
                </w:p>
              </w:tc>
            </w:tr>
            <w:tr w14:paraId="28731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left w:val="single" w:color="auto" w:sz="4" w:space="0"/>
                  </w:tcBorders>
                  <w:noWrap w:val="0"/>
                  <w:vAlign w:val="center"/>
                </w:tcPr>
                <w:p w14:paraId="6D968992">
                  <w:pPr>
                    <w:jc w:val="center"/>
                    <w:rPr>
                      <w:color w:val="auto"/>
                      <w:u w:val="none"/>
                    </w:rPr>
                  </w:pPr>
                  <w:r>
                    <w:rPr>
                      <w:color w:val="auto"/>
                      <w:u w:val="none"/>
                    </w:rPr>
                    <w:t>废气</w:t>
                  </w:r>
                </w:p>
              </w:tc>
              <w:tc>
                <w:tcPr>
                  <w:tcW w:w="1683" w:type="dxa"/>
                  <w:noWrap w:val="0"/>
                  <w:vAlign w:val="center"/>
                </w:tcPr>
                <w:p w14:paraId="25D189AF">
                  <w:pPr>
                    <w:pStyle w:val="7"/>
                    <w:jc w:val="center"/>
                    <w:rPr>
                      <w:color w:val="auto"/>
                      <w:u w:val="none"/>
                    </w:rPr>
                  </w:pPr>
                  <w:r>
                    <w:rPr>
                      <w:rFonts w:hint="eastAsia"/>
                      <w:color w:val="auto"/>
                      <w:sz w:val="21"/>
                      <w:szCs w:val="21"/>
                      <w:u w:val="none"/>
                      <w:vertAlign w:val="baseline"/>
                      <w:lang w:val="en-US" w:eastAsia="zh-CN"/>
                    </w:rPr>
                    <w:t>颗粒物</w:t>
                  </w:r>
                </w:p>
              </w:tc>
              <w:tc>
                <w:tcPr>
                  <w:tcW w:w="925" w:type="dxa"/>
                  <w:noWrap w:val="0"/>
                  <w:vAlign w:val="center"/>
                </w:tcPr>
                <w:p w14:paraId="3EC752CE">
                  <w:pPr>
                    <w:pStyle w:val="7"/>
                    <w:jc w:val="center"/>
                    <w:rPr>
                      <w:rFonts w:hint="default" w:eastAsia="宋体"/>
                      <w:color w:val="auto"/>
                      <w:u w:val="none"/>
                      <w:lang w:val="en-US" w:eastAsia="zh-CN"/>
                    </w:rPr>
                  </w:pPr>
                  <w:r>
                    <w:rPr>
                      <w:rFonts w:hint="eastAsia"/>
                      <w:color w:val="auto"/>
                      <w:sz w:val="21"/>
                      <w:szCs w:val="21"/>
                      <w:u w:val="none"/>
                      <w:vertAlign w:val="baseline"/>
                      <w:lang w:val="en-US" w:eastAsia="zh-CN"/>
                    </w:rPr>
                    <w:t>0.52</w:t>
                  </w:r>
                </w:p>
              </w:tc>
              <w:tc>
                <w:tcPr>
                  <w:tcW w:w="952" w:type="dxa"/>
                  <w:noWrap w:val="0"/>
                  <w:vAlign w:val="center"/>
                </w:tcPr>
                <w:p w14:paraId="76729AD8">
                  <w:pPr>
                    <w:spacing w:line="300" w:lineRule="exact"/>
                    <w:jc w:val="center"/>
                    <w:rPr>
                      <w:rFonts w:hint="default" w:eastAsia="宋体"/>
                      <w:color w:val="auto"/>
                      <w:u w:val="none"/>
                      <w:lang w:val="en-US" w:eastAsia="zh-CN"/>
                    </w:rPr>
                  </w:pPr>
                  <w:r>
                    <w:rPr>
                      <w:rFonts w:hint="eastAsia"/>
                      <w:color w:val="auto"/>
                      <w:u w:val="none"/>
                      <w:lang w:val="en-US" w:eastAsia="zh-CN"/>
                    </w:rPr>
                    <w:t>0.7456</w:t>
                  </w:r>
                </w:p>
              </w:tc>
              <w:tc>
                <w:tcPr>
                  <w:tcW w:w="885" w:type="dxa"/>
                  <w:noWrap w:val="0"/>
                  <w:vAlign w:val="center"/>
                </w:tcPr>
                <w:p w14:paraId="147FC4B2">
                  <w:pPr>
                    <w:spacing w:line="300" w:lineRule="exact"/>
                    <w:jc w:val="center"/>
                    <w:rPr>
                      <w:rFonts w:hint="default" w:eastAsia="宋体"/>
                      <w:color w:val="auto"/>
                      <w:u w:val="none"/>
                      <w:lang w:val="en-US" w:eastAsia="zh-CN"/>
                    </w:rPr>
                  </w:pPr>
                  <w:r>
                    <w:rPr>
                      <w:rFonts w:hint="eastAsia"/>
                      <w:color w:val="auto"/>
                      <w:u w:val="none"/>
                      <w:lang w:val="en-US" w:eastAsia="zh-CN"/>
                    </w:rPr>
                    <w:t>0.4921</w:t>
                  </w:r>
                </w:p>
              </w:tc>
              <w:tc>
                <w:tcPr>
                  <w:tcW w:w="897" w:type="dxa"/>
                  <w:noWrap w:val="0"/>
                  <w:vAlign w:val="center"/>
                </w:tcPr>
                <w:p w14:paraId="2D9AF96C">
                  <w:pPr>
                    <w:spacing w:line="300" w:lineRule="exact"/>
                    <w:jc w:val="center"/>
                    <w:rPr>
                      <w:rFonts w:hint="default" w:eastAsia="宋体"/>
                      <w:color w:val="auto"/>
                      <w:u w:val="none"/>
                      <w:lang w:val="en-US" w:eastAsia="zh-CN"/>
                    </w:rPr>
                  </w:pPr>
                  <w:r>
                    <w:rPr>
                      <w:rFonts w:hint="eastAsia"/>
                      <w:color w:val="auto"/>
                      <w:u w:val="none"/>
                      <w:lang w:val="en-US" w:eastAsia="zh-CN"/>
                    </w:rPr>
                    <w:t>0.2535</w:t>
                  </w:r>
                </w:p>
              </w:tc>
              <w:tc>
                <w:tcPr>
                  <w:tcW w:w="866" w:type="dxa"/>
                  <w:noWrap w:val="0"/>
                  <w:vAlign w:val="center"/>
                </w:tcPr>
                <w:p w14:paraId="4775B787">
                  <w:pPr>
                    <w:keepNext w:val="0"/>
                    <w:keepLines w:val="0"/>
                    <w:widowControl/>
                    <w:suppressLineNumbers w:val="0"/>
                    <w:jc w:val="center"/>
                    <w:textAlignment w:val="center"/>
                    <w:rPr>
                      <w:rFonts w:hint="default" w:eastAsia="宋体"/>
                      <w:color w:val="auto"/>
                      <w:u w:val="none"/>
                      <w:lang w:val="en-US" w:eastAsia="zh-CN"/>
                    </w:rPr>
                  </w:pPr>
                  <w:r>
                    <w:rPr>
                      <w:rFonts w:hint="eastAsia"/>
                      <w:color w:val="auto"/>
                      <w:u w:val="none"/>
                      <w:lang w:val="en-US" w:eastAsia="zh-CN"/>
                    </w:rPr>
                    <w:t>0</w:t>
                  </w:r>
                </w:p>
              </w:tc>
              <w:tc>
                <w:tcPr>
                  <w:tcW w:w="913" w:type="dxa"/>
                  <w:noWrap w:val="0"/>
                  <w:vAlign w:val="center"/>
                </w:tcPr>
                <w:p w14:paraId="3D4F402E">
                  <w:pPr>
                    <w:spacing w:line="300" w:lineRule="exact"/>
                    <w:jc w:val="center"/>
                    <w:rPr>
                      <w:rFonts w:hint="default" w:eastAsia="宋体"/>
                      <w:color w:val="auto"/>
                      <w:u w:val="none"/>
                      <w:lang w:val="en-US" w:eastAsia="zh-CN"/>
                    </w:rPr>
                  </w:pPr>
                  <w:r>
                    <w:rPr>
                      <w:rFonts w:hint="eastAsia" w:ascii="Times New Roman"/>
                      <w:snapToGrid w:val="0"/>
                      <w:kern w:val="21"/>
                      <w:szCs w:val="21"/>
                      <w:u w:val="none"/>
                      <w:lang w:val="en-US" w:eastAsia="zh-CN"/>
                    </w:rPr>
                    <w:t>0.7735</w:t>
                  </w:r>
                </w:p>
              </w:tc>
              <w:tc>
                <w:tcPr>
                  <w:tcW w:w="964" w:type="dxa"/>
                  <w:tcBorders>
                    <w:right w:val="single" w:color="auto" w:sz="4" w:space="0"/>
                  </w:tcBorders>
                  <w:noWrap w:val="0"/>
                  <w:vAlign w:val="center"/>
                </w:tcPr>
                <w:p w14:paraId="3C464A01">
                  <w:pPr>
                    <w:spacing w:line="300" w:lineRule="exact"/>
                    <w:jc w:val="center"/>
                    <w:rPr>
                      <w:rFonts w:hint="default" w:ascii="Times New Roman" w:hAnsi="Times New Roman" w:eastAsia="宋体" w:cs="Times New Roman"/>
                      <w:color w:val="auto"/>
                      <w:szCs w:val="21"/>
                      <w:u w:val="none"/>
                      <w:lang w:val="en-US" w:eastAsia="zh-CN"/>
                    </w:rPr>
                  </w:pPr>
                  <w:r>
                    <w:rPr>
                      <w:rFonts w:hint="eastAsia"/>
                      <w:color w:val="auto"/>
                      <w:u w:val="none"/>
                      <w:lang w:val="en-US" w:eastAsia="zh-CN"/>
                    </w:rPr>
                    <w:t>0.2535</w:t>
                  </w:r>
                </w:p>
              </w:tc>
            </w:tr>
            <w:tr w14:paraId="14BE16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left w:val="single" w:color="auto" w:sz="4" w:space="0"/>
                  </w:tcBorders>
                  <w:noWrap w:val="0"/>
                  <w:vAlign w:val="center"/>
                </w:tcPr>
                <w:p w14:paraId="4EFA1AF5">
                  <w:pPr>
                    <w:jc w:val="center"/>
                    <w:rPr>
                      <w:color w:val="auto"/>
                      <w:u w:val="none"/>
                    </w:rPr>
                  </w:pPr>
                </w:p>
              </w:tc>
              <w:tc>
                <w:tcPr>
                  <w:tcW w:w="1683" w:type="dxa"/>
                  <w:noWrap w:val="0"/>
                  <w:vAlign w:val="center"/>
                </w:tcPr>
                <w:p w14:paraId="4680E535">
                  <w:pPr>
                    <w:pStyle w:val="7"/>
                    <w:jc w:val="center"/>
                    <w:rPr>
                      <w:color w:val="auto"/>
                      <w:u w:val="none"/>
                    </w:rPr>
                  </w:pPr>
                  <w:r>
                    <w:rPr>
                      <w:rFonts w:hint="eastAsia" w:ascii="Times New Roman" w:hAnsi="Times New Roman" w:eastAsia="宋体" w:cs="宋体"/>
                      <w:color w:val="auto"/>
                      <w:kern w:val="0"/>
                      <w:sz w:val="21"/>
                      <w:szCs w:val="21"/>
                      <w:u w:val="none"/>
                      <w:lang w:val="en-US" w:eastAsia="zh-CN"/>
                    </w:rPr>
                    <w:t>CO</w:t>
                  </w:r>
                </w:p>
              </w:tc>
              <w:tc>
                <w:tcPr>
                  <w:tcW w:w="925" w:type="dxa"/>
                  <w:noWrap w:val="0"/>
                  <w:vAlign w:val="center"/>
                </w:tcPr>
                <w:p w14:paraId="5B5B1B88">
                  <w:pPr>
                    <w:pStyle w:val="7"/>
                    <w:jc w:val="center"/>
                    <w:rPr>
                      <w:rFonts w:hint="default"/>
                      <w:color w:val="auto"/>
                      <w:u w:val="none"/>
                      <w:lang w:val="en-US" w:eastAsia="zh-CN"/>
                    </w:rPr>
                  </w:pPr>
                  <w:r>
                    <w:rPr>
                      <w:rFonts w:hint="eastAsia" w:ascii="Times New Roman" w:hAnsi="Times New Roman" w:eastAsia="宋体" w:cs="宋体"/>
                      <w:color w:val="auto"/>
                      <w:kern w:val="0"/>
                      <w:sz w:val="21"/>
                      <w:szCs w:val="21"/>
                      <w:u w:val="none"/>
                      <w:lang w:val="en-US" w:eastAsia="zh-CN"/>
                    </w:rPr>
                    <w:t>0.87</w:t>
                  </w:r>
                </w:p>
              </w:tc>
              <w:tc>
                <w:tcPr>
                  <w:tcW w:w="952" w:type="dxa"/>
                  <w:noWrap w:val="0"/>
                  <w:vAlign w:val="center"/>
                </w:tcPr>
                <w:p w14:paraId="16935DB1">
                  <w:pPr>
                    <w:spacing w:line="300" w:lineRule="exact"/>
                    <w:jc w:val="center"/>
                    <w:rPr>
                      <w:rFonts w:hint="default" w:eastAsia="宋体"/>
                      <w:color w:val="auto"/>
                      <w:u w:val="none"/>
                      <w:lang w:val="en-US" w:eastAsia="zh-CN"/>
                    </w:rPr>
                  </w:pPr>
                  <w:r>
                    <w:rPr>
                      <w:rFonts w:hint="eastAsia"/>
                      <w:color w:val="auto"/>
                      <w:u w:val="none"/>
                      <w:lang w:val="en-US" w:eastAsia="zh-CN"/>
                    </w:rPr>
                    <w:t>0.0055</w:t>
                  </w:r>
                </w:p>
              </w:tc>
              <w:tc>
                <w:tcPr>
                  <w:tcW w:w="885" w:type="dxa"/>
                  <w:noWrap w:val="0"/>
                  <w:vAlign w:val="center"/>
                </w:tcPr>
                <w:p w14:paraId="1CBCCEA4">
                  <w:pPr>
                    <w:spacing w:line="300" w:lineRule="exact"/>
                    <w:jc w:val="center"/>
                    <w:rPr>
                      <w:rFonts w:hint="default" w:eastAsia="宋体"/>
                      <w:color w:val="auto"/>
                      <w:u w:val="none"/>
                      <w:lang w:val="en-US" w:eastAsia="zh-CN"/>
                    </w:rPr>
                  </w:pPr>
                  <w:r>
                    <w:rPr>
                      <w:rFonts w:hint="eastAsia"/>
                      <w:color w:val="auto"/>
                      <w:u w:val="none"/>
                      <w:lang w:val="en-US" w:eastAsia="zh-CN"/>
                    </w:rPr>
                    <w:t>0</w:t>
                  </w:r>
                </w:p>
              </w:tc>
              <w:tc>
                <w:tcPr>
                  <w:tcW w:w="897" w:type="dxa"/>
                  <w:noWrap w:val="0"/>
                  <w:vAlign w:val="center"/>
                </w:tcPr>
                <w:p w14:paraId="18AA6380">
                  <w:pPr>
                    <w:spacing w:line="300" w:lineRule="exact"/>
                    <w:jc w:val="center"/>
                    <w:rPr>
                      <w:rFonts w:hint="default" w:eastAsia="宋体"/>
                      <w:color w:val="auto"/>
                      <w:u w:val="none"/>
                      <w:lang w:val="en-US" w:eastAsia="zh-CN"/>
                    </w:rPr>
                  </w:pPr>
                  <w:r>
                    <w:rPr>
                      <w:rFonts w:hint="eastAsia"/>
                      <w:color w:val="auto"/>
                      <w:u w:val="none"/>
                      <w:lang w:val="en-US" w:eastAsia="zh-CN"/>
                    </w:rPr>
                    <w:t>0.0055</w:t>
                  </w:r>
                </w:p>
              </w:tc>
              <w:tc>
                <w:tcPr>
                  <w:tcW w:w="866" w:type="dxa"/>
                  <w:noWrap w:val="0"/>
                  <w:vAlign w:val="center"/>
                </w:tcPr>
                <w:p w14:paraId="45D5C57F">
                  <w:pPr>
                    <w:keepNext w:val="0"/>
                    <w:keepLines w:val="0"/>
                    <w:widowControl/>
                    <w:suppressLineNumbers w:val="0"/>
                    <w:jc w:val="center"/>
                    <w:textAlignment w:val="center"/>
                    <w:rPr>
                      <w:rFonts w:hint="default" w:eastAsia="宋体"/>
                      <w:color w:val="auto"/>
                      <w:u w:val="none"/>
                      <w:lang w:val="en-US" w:eastAsia="zh-CN"/>
                    </w:rPr>
                  </w:pPr>
                  <w:r>
                    <w:rPr>
                      <w:rFonts w:hint="eastAsia"/>
                      <w:color w:val="auto"/>
                      <w:u w:val="none"/>
                      <w:lang w:val="en-US" w:eastAsia="zh-CN"/>
                    </w:rPr>
                    <w:t>0</w:t>
                  </w:r>
                </w:p>
              </w:tc>
              <w:tc>
                <w:tcPr>
                  <w:tcW w:w="913" w:type="dxa"/>
                  <w:noWrap w:val="0"/>
                  <w:vAlign w:val="center"/>
                </w:tcPr>
                <w:p w14:paraId="304E4A74">
                  <w:pPr>
                    <w:spacing w:line="300" w:lineRule="exact"/>
                    <w:jc w:val="center"/>
                    <w:rPr>
                      <w:rFonts w:hint="default" w:eastAsia="宋体"/>
                      <w:color w:val="auto"/>
                      <w:u w:val="none"/>
                      <w:lang w:val="en-US" w:eastAsia="zh-CN"/>
                    </w:rPr>
                  </w:pPr>
                  <w:r>
                    <w:rPr>
                      <w:rFonts w:hint="eastAsia"/>
                      <w:color w:val="auto"/>
                      <w:u w:val="none"/>
                      <w:lang w:val="en-US" w:eastAsia="zh-CN"/>
                    </w:rPr>
                    <w:t>0.8755</w:t>
                  </w:r>
                </w:p>
              </w:tc>
              <w:tc>
                <w:tcPr>
                  <w:tcW w:w="964" w:type="dxa"/>
                  <w:tcBorders>
                    <w:right w:val="single" w:color="auto" w:sz="4" w:space="0"/>
                  </w:tcBorders>
                  <w:noWrap w:val="0"/>
                  <w:vAlign w:val="center"/>
                </w:tcPr>
                <w:p w14:paraId="73E60ACC">
                  <w:pPr>
                    <w:spacing w:line="300" w:lineRule="exact"/>
                    <w:jc w:val="center"/>
                    <w:rPr>
                      <w:rFonts w:hint="default" w:ascii="Times New Roman" w:hAnsi="Times New Roman" w:eastAsia="宋体" w:cs="Times New Roman"/>
                      <w:color w:val="auto"/>
                      <w:szCs w:val="21"/>
                      <w:u w:val="none"/>
                      <w:lang w:val="en-US" w:eastAsia="zh-CN"/>
                    </w:rPr>
                  </w:pPr>
                  <w:r>
                    <w:rPr>
                      <w:rFonts w:hint="eastAsia"/>
                      <w:color w:val="auto"/>
                      <w:u w:val="none"/>
                      <w:lang w:val="en-US" w:eastAsia="zh-CN"/>
                    </w:rPr>
                    <w:t>0.0055</w:t>
                  </w:r>
                </w:p>
              </w:tc>
            </w:tr>
            <w:tr w14:paraId="6ECD6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left w:val="single" w:color="auto" w:sz="4" w:space="0"/>
                  </w:tcBorders>
                  <w:noWrap w:val="0"/>
                  <w:vAlign w:val="center"/>
                </w:tcPr>
                <w:p w14:paraId="7E667B27">
                  <w:pPr>
                    <w:jc w:val="center"/>
                    <w:rPr>
                      <w:color w:val="auto"/>
                      <w:u w:val="none"/>
                    </w:rPr>
                  </w:pPr>
                </w:p>
              </w:tc>
              <w:tc>
                <w:tcPr>
                  <w:tcW w:w="1683" w:type="dxa"/>
                  <w:noWrap w:val="0"/>
                  <w:vAlign w:val="center"/>
                </w:tcPr>
                <w:p w14:paraId="26826F6D">
                  <w:pPr>
                    <w:pStyle w:val="7"/>
                    <w:jc w:val="center"/>
                    <w:rPr>
                      <w:color w:val="auto"/>
                      <w:u w:val="none"/>
                    </w:rPr>
                  </w:pPr>
                  <w:r>
                    <w:rPr>
                      <w:rFonts w:hint="eastAsia" w:ascii="Times New Roman" w:hAnsi="Times New Roman" w:eastAsia="宋体" w:cs="宋体"/>
                      <w:color w:val="auto"/>
                      <w:kern w:val="0"/>
                      <w:sz w:val="21"/>
                      <w:szCs w:val="21"/>
                      <w:u w:val="none"/>
                      <w:lang w:val="en-US" w:eastAsia="zh-CN"/>
                    </w:rPr>
                    <w:t>NO</w:t>
                  </w:r>
                  <w:r>
                    <w:rPr>
                      <w:rFonts w:hint="eastAsia" w:ascii="Times New Roman" w:hAnsi="Times New Roman" w:eastAsia="宋体" w:cs="宋体"/>
                      <w:color w:val="auto"/>
                      <w:kern w:val="0"/>
                      <w:sz w:val="21"/>
                      <w:szCs w:val="21"/>
                      <w:u w:val="none"/>
                      <w:vertAlign w:val="subscript"/>
                      <w:lang w:val="en-US" w:eastAsia="zh-CN"/>
                    </w:rPr>
                    <w:t>x</w:t>
                  </w:r>
                </w:p>
              </w:tc>
              <w:tc>
                <w:tcPr>
                  <w:tcW w:w="925" w:type="dxa"/>
                  <w:noWrap w:val="0"/>
                  <w:vAlign w:val="center"/>
                </w:tcPr>
                <w:p w14:paraId="049DDD23">
                  <w:pPr>
                    <w:pStyle w:val="7"/>
                    <w:jc w:val="center"/>
                    <w:rPr>
                      <w:rFonts w:hint="default"/>
                      <w:color w:val="auto"/>
                      <w:u w:val="none"/>
                      <w:lang w:val="en-US" w:eastAsia="zh-CN"/>
                    </w:rPr>
                  </w:pPr>
                  <w:r>
                    <w:rPr>
                      <w:rFonts w:hint="eastAsia" w:ascii="Times New Roman" w:hAnsi="Times New Roman" w:eastAsia="宋体" w:cs="宋体"/>
                      <w:color w:val="auto"/>
                      <w:kern w:val="0"/>
                      <w:sz w:val="21"/>
                      <w:szCs w:val="21"/>
                      <w:u w:val="none"/>
                      <w:lang w:val="en-US" w:eastAsia="zh-CN"/>
                    </w:rPr>
                    <w:t>1.16</w:t>
                  </w:r>
                </w:p>
              </w:tc>
              <w:tc>
                <w:tcPr>
                  <w:tcW w:w="952" w:type="dxa"/>
                  <w:noWrap w:val="0"/>
                  <w:vAlign w:val="center"/>
                </w:tcPr>
                <w:p w14:paraId="6A9A0DA5">
                  <w:pPr>
                    <w:spacing w:line="300" w:lineRule="exact"/>
                    <w:jc w:val="center"/>
                    <w:rPr>
                      <w:rFonts w:hint="default" w:eastAsia="宋体"/>
                      <w:color w:val="auto"/>
                      <w:u w:val="none"/>
                      <w:lang w:val="en-US" w:eastAsia="zh-CN"/>
                    </w:rPr>
                  </w:pPr>
                  <w:r>
                    <w:rPr>
                      <w:rFonts w:hint="eastAsia"/>
                      <w:color w:val="auto"/>
                      <w:u w:val="none"/>
                      <w:lang w:val="en-US" w:eastAsia="zh-CN"/>
                    </w:rPr>
                    <w:t>0.0073</w:t>
                  </w:r>
                </w:p>
              </w:tc>
              <w:tc>
                <w:tcPr>
                  <w:tcW w:w="885" w:type="dxa"/>
                  <w:noWrap w:val="0"/>
                  <w:vAlign w:val="center"/>
                </w:tcPr>
                <w:p w14:paraId="2CB13164">
                  <w:pPr>
                    <w:spacing w:line="300" w:lineRule="exact"/>
                    <w:jc w:val="center"/>
                    <w:rPr>
                      <w:rFonts w:hint="default" w:eastAsia="宋体"/>
                      <w:color w:val="auto"/>
                      <w:u w:val="none"/>
                      <w:lang w:val="en-US" w:eastAsia="zh-CN"/>
                    </w:rPr>
                  </w:pPr>
                  <w:r>
                    <w:rPr>
                      <w:rFonts w:hint="eastAsia"/>
                      <w:color w:val="auto"/>
                      <w:u w:val="none"/>
                      <w:lang w:val="en-US" w:eastAsia="zh-CN"/>
                    </w:rPr>
                    <w:t>0</w:t>
                  </w:r>
                </w:p>
              </w:tc>
              <w:tc>
                <w:tcPr>
                  <w:tcW w:w="897" w:type="dxa"/>
                  <w:noWrap w:val="0"/>
                  <w:vAlign w:val="center"/>
                </w:tcPr>
                <w:p w14:paraId="3F7EDA91">
                  <w:pPr>
                    <w:spacing w:line="300" w:lineRule="exact"/>
                    <w:jc w:val="center"/>
                    <w:rPr>
                      <w:rFonts w:hint="default" w:eastAsia="宋体"/>
                      <w:color w:val="auto"/>
                      <w:u w:val="none"/>
                      <w:lang w:val="en-US" w:eastAsia="zh-CN"/>
                    </w:rPr>
                  </w:pPr>
                  <w:r>
                    <w:rPr>
                      <w:rFonts w:hint="eastAsia"/>
                      <w:color w:val="auto"/>
                      <w:u w:val="none"/>
                      <w:lang w:val="en-US" w:eastAsia="zh-CN"/>
                    </w:rPr>
                    <w:t>0.0073</w:t>
                  </w:r>
                </w:p>
              </w:tc>
              <w:tc>
                <w:tcPr>
                  <w:tcW w:w="866" w:type="dxa"/>
                  <w:noWrap w:val="0"/>
                  <w:vAlign w:val="center"/>
                </w:tcPr>
                <w:p w14:paraId="136193FA">
                  <w:pPr>
                    <w:keepNext w:val="0"/>
                    <w:keepLines w:val="0"/>
                    <w:widowControl/>
                    <w:suppressLineNumbers w:val="0"/>
                    <w:jc w:val="center"/>
                    <w:textAlignment w:val="center"/>
                    <w:rPr>
                      <w:rFonts w:hint="default" w:eastAsia="宋体"/>
                      <w:color w:val="auto"/>
                      <w:u w:val="none"/>
                      <w:lang w:val="en-US" w:eastAsia="zh-CN"/>
                    </w:rPr>
                  </w:pPr>
                  <w:r>
                    <w:rPr>
                      <w:rFonts w:hint="eastAsia"/>
                      <w:color w:val="auto"/>
                      <w:u w:val="none"/>
                      <w:lang w:val="en-US" w:eastAsia="zh-CN"/>
                    </w:rPr>
                    <w:t>0</w:t>
                  </w:r>
                </w:p>
              </w:tc>
              <w:tc>
                <w:tcPr>
                  <w:tcW w:w="913" w:type="dxa"/>
                  <w:noWrap w:val="0"/>
                  <w:vAlign w:val="center"/>
                </w:tcPr>
                <w:p w14:paraId="3414EBC2">
                  <w:pPr>
                    <w:spacing w:line="300" w:lineRule="exact"/>
                    <w:jc w:val="center"/>
                    <w:rPr>
                      <w:rFonts w:hint="default" w:eastAsia="宋体"/>
                      <w:color w:val="auto"/>
                      <w:u w:val="none"/>
                      <w:lang w:val="en-US" w:eastAsia="zh-CN"/>
                    </w:rPr>
                  </w:pPr>
                  <w:r>
                    <w:rPr>
                      <w:rFonts w:hint="eastAsia"/>
                      <w:color w:val="auto"/>
                      <w:u w:val="none"/>
                      <w:lang w:val="en-US" w:eastAsia="zh-CN"/>
                    </w:rPr>
                    <w:t>1.1673</w:t>
                  </w:r>
                </w:p>
              </w:tc>
              <w:tc>
                <w:tcPr>
                  <w:tcW w:w="964" w:type="dxa"/>
                  <w:tcBorders>
                    <w:right w:val="single" w:color="auto" w:sz="4" w:space="0"/>
                  </w:tcBorders>
                  <w:noWrap w:val="0"/>
                  <w:vAlign w:val="center"/>
                </w:tcPr>
                <w:p w14:paraId="0F32CC78">
                  <w:pPr>
                    <w:spacing w:line="300" w:lineRule="exact"/>
                    <w:jc w:val="center"/>
                    <w:rPr>
                      <w:rFonts w:hint="default" w:ascii="Times New Roman" w:hAnsi="Times New Roman" w:eastAsia="宋体" w:cs="Times New Roman"/>
                      <w:color w:val="auto"/>
                      <w:szCs w:val="21"/>
                      <w:u w:val="none"/>
                      <w:lang w:val="en-US" w:eastAsia="zh-CN"/>
                    </w:rPr>
                  </w:pPr>
                  <w:r>
                    <w:rPr>
                      <w:rFonts w:hint="eastAsia"/>
                      <w:color w:val="auto"/>
                      <w:u w:val="none"/>
                      <w:lang w:val="en-US" w:eastAsia="zh-CN"/>
                    </w:rPr>
                    <w:t>0.0073</w:t>
                  </w:r>
                </w:p>
              </w:tc>
            </w:tr>
            <w:tr w14:paraId="410C3B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left w:val="single" w:color="auto" w:sz="4" w:space="0"/>
                  </w:tcBorders>
                  <w:noWrap w:val="0"/>
                  <w:vAlign w:val="center"/>
                </w:tcPr>
                <w:p w14:paraId="23D23A36">
                  <w:pPr>
                    <w:jc w:val="center"/>
                    <w:rPr>
                      <w:color w:val="auto"/>
                      <w:u w:val="none"/>
                    </w:rPr>
                  </w:pPr>
                  <w:r>
                    <w:rPr>
                      <w:color w:val="auto"/>
                      <w:u w:val="none"/>
                    </w:rPr>
                    <w:t>废水</w:t>
                  </w:r>
                </w:p>
              </w:tc>
              <w:tc>
                <w:tcPr>
                  <w:tcW w:w="1683" w:type="dxa"/>
                  <w:noWrap w:val="0"/>
                  <w:vAlign w:val="center"/>
                </w:tcPr>
                <w:p w14:paraId="119E191C">
                  <w:pPr>
                    <w:adjustRightInd w:val="0"/>
                    <w:snapToGrid w:val="0"/>
                    <w:jc w:val="center"/>
                    <w:rPr>
                      <w:color w:val="auto"/>
                      <w:u w:val="none"/>
                    </w:rPr>
                  </w:pPr>
                  <w:r>
                    <w:rPr>
                      <w:rFonts w:hint="eastAsia"/>
                      <w:color w:val="000000"/>
                      <w:kern w:val="0"/>
                      <w:sz w:val="21"/>
                      <w:szCs w:val="21"/>
                      <w:u w:val="none"/>
                    </w:rPr>
                    <w:t>污水量</w:t>
                  </w:r>
                </w:p>
              </w:tc>
              <w:tc>
                <w:tcPr>
                  <w:tcW w:w="925" w:type="dxa"/>
                  <w:noWrap w:val="0"/>
                  <w:vAlign w:val="center"/>
                </w:tcPr>
                <w:p w14:paraId="33A70FD0">
                  <w:pPr>
                    <w:widowControl/>
                    <w:jc w:val="center"/>
                    <w:textAlignment w:val="center"/>
                    <w:rPr>
                      <w:rFonts w:hint="default"/>
                      <w:color w:val="auto"/>
                      <w:u w:val="none"/>
                      <w:lang w:val="en-US"/>
                    </w:rPr>
                  </w:pPr>
                  <w:r>
                    <w:rPr>
                      <w:rFonts w:hint="eastAsia" w:cs="Times New Roman"/>
                      <w:color w:val="000000"/>
                      <w:kern w:val="0"/>
                      <w:sz w:val="21"/>
                      <w:szCs w:val="21"/>
                      <w:u w:val="none"/>
                      <w:lang w:val="en-US" w:eastAsia="zh-CN"/>
                    </w:rPr>
                    <w:t>8748</w:t>
                  </w:r>
                </w:p>
              </w:tc>
              <w:tc>
                <w:tcPr>
                  <w:tcW w:w="952" w:type="dxa"/>
                  <w:noWrap w:val="0"/>
                  <w:vAlign w:val="center"/>
                </w:tcPr>
                <w:p w14:paraId="1812AF70">
                  <w:pPr>
                    <w:jc w:val="center"/>
                    <w:rPr>
                      <w:rFonts w:hint="default" w:eastAsia="宋体"/>
                      <w:color w:val="auto"/>
                      <w:u w:val="none"/>
                      <w:lang w:val="en-US" w:eastAsia="zh-CN"/>
                    </w:rPr>
                  </w:pPr>
                  <w:r>
                    <w:rPr>
                      <w:rFonts w:hint="eastAsia"/>
                      <w:color w:val="auto"/>
                      <w:u w:val="none"/>
                      <w:lang w:val="en-US" w:eastAsia="zh-CN"/>
                    </w:rPr>
                    <w:t>0</w:t>
                  </w:r>
                </w:p>
              </w:tc>
              <w:tc>
                <w:tcPr>
                  <w:tcW w:w="885" w:type="dxa"/>
                  <w:noWrap w:val="0"/>
                  <w:vAlign w:val="center"/>
                </w:tcPr>
                <w:p w14:paraId="0D726BE5">
                  <w:pPr>
                    <w:jc w:val="center"/>
                    <w:rPr>
                      <w:rFonts w:hint="default" w:eastAsia="宋体"/>
                      <w:color w:val="auto"/>
                      <w:u w:val="none"/>
                      <w:lang w:val="en-US" w:eastAsia="zh-CN"/>
                    </w:rPr>
                  </w:pPr>
                  <w:r>
                    <w:rPr>
                      <w:rFonts w:hint="eastAsia"/>
                      <w:color w:val="auto"/>
                      <w:u w:val="none"/>
                      <w:lang w:val="en-US" w:eastAsia="zh-CN"/>
                    </w:rPr>
                    <w:t>0</w:t>
                  </w:r>
                </w:p>
              </w:tc>
              <w:tc>
                <w:tcPr>
                  <w:tcW w:w="897" w:type="dxa"/>
                  <w:noWrap w:val="0"/>
                  <w:vAlign w:val="center"/>
                </w:tcPr>
                <w:p w14:paraId="6ED74900">
                  <w:pPr>
                    <w:jc w:val="center"/>
                    <w:rPr>
                      <w:rFonts w:hint="eastAsia"/>
                      <w:color w:val="auto"/>
                      <w:u w:val="none"/>
                    </w:rPr>
                  </w:pPr>
                  <w:r>
                    <w:rPr>
                      <w:rFonts w:hint="eastAsia"/>
                      <w:color w:val="auto"/>
                      <w:u w:val="none"/>
                      <w:lang w:val="en-US" w:eastAsia="zh-CN"/>
                    </w:rPr>
                    <w:t>0</w:t>
                  </w:r>
                </w:p>
              </w:tc>
              <w:tc>
                <w:tcPr>
                  <w:tcW w:w="866" w:type="dxa"/>
                  <w:noWrap w:val="0"/>
                  <w:vAlign w:val="center"/>
                </w:tcPr>
                <w:p w14:paraId="48CE476F">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olor w:val="auto"/>
                      <w:u w:val="none"/>
                      <w:lang w:val="en-US" w:eastAsia="zh-CN"/>
                    </w:rPr>
                    <w:t>0</w:t>
                  </w:r>
                </w:p>
              </w:tc>
              <w:tc>
                <w:tcPr>
                  <w:tcW w:w="913" w:type="dxa"/>
                  <w:noWrap w:val="0"/>
                  <w:vAlign w:val="center"/>
                </w:tcPr>
                <w:p w14:paraId="1EE9D548">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s="Times New Roman"/>
                      <w:color w:val="000000"/>
                      <w:kern w:val="0"/>
                      <w:sz w:val="21"/>
                      <w:szCs w:val="21"/>
                      <w:u w:val="none"/>
                      <w:lang w:val="en-US" w:eastAsia="zh-CN"/>
                    </w:rPr>
                    <w:t>8748</w:t>
                  </w:r>
                </w:p>
              </w:tc>
              <w:tc>
                <w:tcPr>
                  <w:tcW w:w="964" w:type="dxa"/>
                  <w:tcBorders>
                    <w:right w:val="single" w:color="auto" w:sz="4" w:space="0"/>
                  </w:tcBorders>
                  <w:noWrap w:val="0"/>
                  <w:vAlign w:val="center"/>
                </w:tcPr>
                <w:p w14:paraId="68C00BDF">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olor w:val="auto"/>
                      <w:u w:val="none"/>
                      <w:lang w:val="en-US" w:eastAsia="zh-CN"/>
                    </w:rPr>
                    <w:t>0</w:t>
                  </w:r>
                </w:p>
              </w:tc>
            </w:tr>
            <w:tr w14:paraId="1C50A9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left w:val="single" w:color="auto" w:sz="4" w:space="0"/>
                  </w:tcBorders>
                  <w:noWrap w:val="0"/>
                  <w:vAlign w:val="center"/>
                </w:tcPr>
                <w:p w14:paraId="42AB46D6">
                  <w:pPr>
                    <w:jc w:val="center"/>
                    <w:rPr>
                      <w:color w:val="auto"/>
                      <w:u w:val="none"/>
                    </w:rPr>
                  </w:pPr>
                </w:p>
              </w:tc>
              <w:tc>
                <w:tcPr>
                  <w:tcW w:w="1683" w:type="dxa"/>
                  <w:noWrap w:val="0"/>
                  <w:vAlign w:val="center"/>
                </w:tcPr>
                <w:p w14:paraId="1B65E070">
                  <w:pPr>
                    <w:pStyle w:val="7"/>
                    <w:jc w:val="center"/>
                    <w:rPr>
                      <w:color w:val="auto"/>
                      <w:u w:val="none"/>
                    </w:rPr>
                  </w:pPr>
                  <w:r>
                    <w:rPr>
                      <w:rFonts w:hint="eastAsia" w:ascii="Times New Roman" w:hAnsi="Times New Roman" w:eastAsia="宋体" w:cs="Times New Roman"/>
                      <w:color w:val="000000"/>
                      <w:kern w:val="0"/>
                      <w:sz w:val="21"/>
                      <w:szCs w:val="21"/>
                      <w:u w:val="none"/>
                      <w:lang w:val="en-US" w:eastAsia="zh-CN"/>
                    </w:rPr>
                    <w:t>COD</w:t>
                  </w:r>
                </w:p>
              </w:tc>
              <w:tc>
                <w:tcPr>
                  <w:tcW w:w="925" w:type="dxa"/>
                  <w:noWrap w:val="0"/>
                  <w:vAlign w:val="center"/>
                </w:tcPr>
                <w:p w14:paraId="2F23EFB7">
                  <w:pPr>
                    <w:widowControl/>
                    <w:jc w:val="center"/>
                    <w:textAlignment w:val="center"/>
                    <w:rPr>
                      <w:rFonts w:hint="default" w:eastAsia="宋体"/>
                      <w:color w:val="auto"/>
                      <w:u w:val="none"/>
                      <w:lang w:val="en-US" w:eastAsia="zh-CN"/>
                    </w:rPr>
                  </w:pPr>
                  <w:r>
                    <w:rPr>
                      <w:rFonts w:hint="eastAsia" w:cs="Times New Roman"/>
                      <w:color w:val="000000"/>
                      <w:kern w:val="0"/>
                      <w:sz w:val="21"/>
                      <w:szCs w:val="21"/>
                      <w:u w:val="none"/>
                      <w:lang w:val="en-US" w:eastAsia="zh-CN"/>
                    </w:rPr>
                    <w:t>2.4932</w:t>
                  </w:r>
                </w:p>
              </w:tc>
              <w:tc>
                <w:tcPr>
                  <w:tcW w:w="952" w:type="dxa"/>
                  <w:noWrap w:val="0"/>
                  <w:vAlign w:val="center"/>
                </w:tcPr>
                <w:p w14:paraId="102C8A5B">
                  <w:pPr>
                    <w:jc w:val="center"/>
                    <w:rPr>
                      <w:rFonts w:hint="default" w:eastAsia="宋体"/>
                      <w:color w:val="auto"/>
                      <w:u w:val="none"/>
                      <w:lang w:val="en-US" w:eastAsia="zh-CN"/>
                    </w:rPr>
                  </w:pPr>
                  <w:r>
                    <w:rPr>
                      <w:rFonts w:hint="eastAsia"/>
                      <w:color w:val="auto"/>
                      <w:u w:val="none"/>
                      <w:lang w:val="en-US" w:eastAsia="zh-CN"/>
                    </w:rPr>
                    <w:t>0</w:t>
                  </w:r>
                </w:p>
              </w:tc>
              <w:tc>
                <w:tcPr>
                  <w:tcW w:w="885" w:type="dxa"/>
                  <w:noWrap w:val="0"/>
                  <w:vAlign w:val="center"/>
                </w:tcPr>
                <w:p w14:paraId="55202C05">
                  <w:pPr>
                    <w:jc w:val="center"/>
                    <w:rPr>
                      <w:rFonts w:hint="default" w:eastAsia="宋体"/>
                      <w:color w:val="auto"/>
                      <w:u w:val="none"/>
                      <w:lang w:val="en-US" w:eastAsia="zh-CN"/>
                    </w:rPr>
                  </w:pPr>
                  <w:r>
                    <w:rPr>
                      <w:rFonts w:hint="eastAsia"/>
                      <w:color w:val="auto"/>
                      <w:u w:val="none"/>
                      <w:lang w:val="en-US" w:eastAsia="zh-CN"/>
                    </w:rPr>
                    <w:t>0</w:t>
                  </w:r>
                </w:p>
              </w:tc>
              <w:tc>
                <w:tcPr>
                  <w:tcW w:w="897" w:type="dxa"/>
                  <w:noWrap w:val="0"/>
                  <w:vAlign w:val="center"/>
                </w:tcPr>
                <w:p w14:paraId="5CBBF38A">
                  <w:pPr>
                    <w:jc w:val="center"/>
                    <w:rPr>
                      <w:rFonts w:hint="default" w:eastAsia="宋体"/>
                      <w:color w:val="auto"/>
                      <w:u w:val="none"/>
                      <w:lang w:val="en-US" w:eastAsia="zh-CN"/>
                    </w:rPr>
                  </w:pPr>
                  <w:r>
                    <w:rPr>
                      <w:rFonts w:hint="eastAsia"/>
                      <w:color w:val="auto"/>
                      <w:u w:val="none"/>
                      <w:lang w:val="en-US" w:eastAsia="zh-CN"/>
                    </w:rPr>
                    <w:t>0</w:t>
                  </w:r>
                </w:p>
              </w:tc>
              <w:tc>
                <w:tcPr>
                  <w:tcW w:w="866" w:type="dxa"/>
                  <w:noWrap w:val="0"/>
                  <w:vAlign w:val="center"/>
                </w:tcPr>
                <w:p w14:paraId="4C92E914">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olor w:val="auto"/>
                      <w:u w:val="none"/>
                      <w:lang w:val="en-US" w:eastAsia="zh-CN"/>
                    </w:rPr>
                    <w:t>0</w:t>
                  </w:r>
                </w:p>
              </w:tc>
              <w:tc>
                <w:tcPr>
                  <w:tcW w:w="913" w:type="dxa"/>
                  <w:noWrap w:val="0"/>
                  <w:vAlign w:val="center"/>
                </w:tcPr>
                <w:p w14:paraId="7F78FEDD">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s="Times New Roman"/>
                      <w:color w:val="000000"/>
                      <w:kern w:val="0"/>
                      <w:sz w:val="21"/>
                      <w:szCs w:val="21"/>
                      <w:u w:val="none"/>
                      <w:lang w:val="en-US" w:eastAsia="zh-CN"/>
                    </w:rPr>
                    <w:t>2.4932</w:t>
                  </w:r>
                </w:p>
              </w:tc>
              <w:tc>
                <w:tcPr>
                  <w:tcW w:w="964" w:type="dxa"/>
                  <w:tcBorders>
                    <w:right w:val="single" w:color="auto" w:sz="4" w:space="0"/>
                  </w:tcBorders>
                  <w:noWrap w:val="0"/>
                  <w:vAlign w:val="center"/>
                </w:tcPr>
                <w:p w14:paraId="57DE4640">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olor w:val="auto"/>
                      <w:u w:val="none"/>
                      <w:lang w:val="en-US" w:eastAsia="zh-CN"/>
                    </w:rPr>
                    <w:t>0</w:t>
                  </w:r>
                </w:p>
              </w:tc>
            </w:tr>
            <w:tr w14:paraId="794F7E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left w:val="single" w:color="auto" w:sz="4" w:space="0"/>
                  </w:tcBorders>
                  <w:noWrap w:val="0"/>
                  <w:vAlign w:val="center"/>
                </w:tcPr>
                <w:p w14:paraId="088033CF">
                  <w:pPr>
                    <w:jc w:val="center"/>
                    <w:rPr>
                      <w:color w:val="auto"/>
                      <w:u w:val="none"/>
                    </w:rPr>
                  </w:pPr>
                </w:p>
              </w:tc>
              <w:tc>
                <w:tcPr>
                  <w:tcW w:w="1683" w:type="dxa"/>
                  <w:noWrap w:val="0"/>
                  <w:vAlign w:val="center"/>
                </w:tcPr>
                <w:p w14:paraId="29734833">
                  <w:pPr>
                    <w:pStyle w:val="7"/>
                    <w:jc w:val="center"/>
                    <w:rPr>
                      <w:color w:val="auto"/>
                      <w:u w:val="none"/>
                    </w:rPr>
                  </w:pPr>
                  <w:r>
                    <w:rPr>
                      <w:rFonts w:hint="eastAsia" w:ascii="Times New Roman" w:hAnsi="Times New Roman" w:eastAsia="宋体" w:cs="Times New Roman"/>
                      <w:color w:val="000000"/>
                      <w:kern w:val="0"/>
                      <w:sz w:val="21"/>
                      <w:szCs w:val="21"/>
                      <w:u w:val="none"/>
                      <w:lang w:val="en-US" w:eastAsia="zh-CN"/>
                    </w:rPr>
                    <w:t>NH</w:t>
                  </w:r>
                  <w:r>
                    <w:rPr>
                      <w:rFonts w:hint="eastAsia" w:ascii="Times New Roman" w:hAnsi="Times New Roman" w:eastAsia="宋体" w:cs="Times New Roman"/>
                      <w:color w:val="000000"/>
                      <w:kern w:val="0"/>
                      <w:sz w:val="21"/>
                      <w:szCs w:val="21"/>
                      <w:u w:val="none"/>
                      <w:vertAlign w:val="subscript"/>
                      <w:lang w:val="en-US" w:eastAsia="zh-CN"/>
                    </w:rPr>
                    <w:t>3</w:t>
                  </w:r>
                  <w:r>
                    <w:rPr>
                      <w:rFonts w:hint="eastAsia" w:ascii="Times New Roman" w:hAnsi="Times New Roman" w:eastAsia="宋体" w:cs="Times New Roman"/>
                      <w:color w:val="000000"/>
                      <w:kern w:val="0"/>
                      <w:sz w:val="21"/>
                      <w:szCs w:val="21"/>
                      <w:u w:val="none"/>
                      <w:lang w:val="en-US" w:eastAsia="zh-CN"/>
                    </w:rPr>
                    <w:t>-N</w:t>
                  </w:r>
                </w:p>
              </w:tc>
              <w:tc>
                <w:tcPr>
                  <w:tcW w:w="925" w:type="dxa"/>
                  <w:noWrap w:val="0"/>
                  <w:vAlign w:val="center"/>
                </w:tcPr>
                <w:p w14:paraId="414D884E">
                  <w:pPr>
                    <w:widowControl/>
                    <w:jc w:val="center"/>
                    <w:textAlignment w:val="center"/>
                    <w:rPr>
                      <w:rFonts w:hint="default" w:eastAsia="宋体"/>
                      <w:color w:val="auto"/>
                      <w:u w:val="none"/>
                      <w:lang w:val="en-US" w:eastAsia="zh-CN"/>
                    </w:rPr>
                  </w:pPr>
                  <w:r>
                    <w:rPr>
                      <w:rFonts w:hint="eastAsia" w:cs="Times New Roman"/>
                      <w:color w:val="000000"/>
                      <w:kern w:val="0"/>
                      <w:sz w:val="21"/>
                      <w:szCs w:val="21"/>
                      <w:u w:val="none"/>
                      <w:lang w:val="en-US" w:eastAsia="zh-CN"/>
                    </w:rPr>
                    <w:t>0.2476</w:t>
                  </w:r>
                </w:p>
              </w:tc>
              <w:tc>
                <w:tcPr>
                  <w:tcW w:w="952" w:type="dxa"/>
                  <w:noWrap w:val="0"/>
                  <w:vAlign w:val="center"/>
                </w:tcPr>
                <w:p w14:paraId="24888F88">
                  <w:pPr>
                    <w:jc w:val="center"/>
                    <w:rPr>
                      <w:rFonts w:hint="default" w:eastAsia="宋体"/>
                      <w:color w:val="auto"/>
                      <w:u w:val="none"/>
                      <w:lang w:val="en-US" w:eastAsia="zh-CN"/>
                    </w:rPr>
                  </w:pPr>
                  <w:r>
                    <w:rPr>
                      <w:rFonts w:hint="eastAsia"/>
                      <w:color w:val="auto"/>
                      <w:u w:val="none"/>
                      <w:lang w:val="en-US" w:eastAsia="zh-CN"/>
                    </w:rPr>
                    <w:t>0</w:t>
                  </w:r>
                </w:p>
              </w:tc>
              <w:tc>
                <w:tcPr>
                  <w:tcW w:w="885" w:type="dxa"/>
                  <w:noWrap w:val="0"/>
                  <w:vAlign w:val="center"/>
                </w:tcPr>
                <w:p w14:paraId="2DAAF6A3">
                  <w:pPr>
                    <w:jc w:val="center"/>
                    <w:rPr>
                      <w:rFonts w:hint="default" w:eastAsia="宋体"/>
                      <w:color w:val="auto"/>
                      <w:u w:val="none"/>
                      <w:lang w:val="en-US" w:eastAsia="zh-CN"/>
                    </w:rPr>
                  </w:pPr>
                  <w:r>
                    <w:rPr>
                      <w:rFonts w:hint="eastAsia"/>
                      <w:color w:val="auto"/>
                      <w:u w:val="none"/>
                      <w:lang w:val="en-US" w:eastAsia="zh-CN"/>
                    </w:rPr>
                    <w:t>0</w:t>
                  </w:r>
                </w:p>
              </w:tc>
              <w:tc>
                <w:tcPr>
                  <w:tcW w:w="897" w:type="dxa"/>
                  <w:noWrap w:val="0"/>
                  <w:vAlign w:val="center"/>
                </w:tcPr>
                <w:p w14:paraId="39E36D23">
                  <w:pPr>
                    <w:jc w:val="center"/>
                    <w:rPr>
                      <w:rFonts w:hint="default" w:eastAsia="宋体"/>
                      <w:color w:val="auto"/>
                      <w:u w:val="none"/>
                      <w:lang w:val="en-US" w:eastAsia="zh-CN"/>
                    </w:rPr>
                  </w:pPr>
                  <w:r>
                    <w:rPr>
                      <w:rFonts w:hint="eastAsia"/>
                      <w:color w:val="auto"/>
                      <w:u w:val="none"/>
                      <w:lang w:val="en-US" w:eastAsia="zh-CN"/>
                    </w:rPr>
                    <w:t>0</w:t>
                  </w:r>
                </w:p>
              </w:tc>
              <w:tc>
                <w:tcPr>
                  <w:tcW w:w="866" w:type="dxa"/>
                  <w:noWrap w:val="0"/>
                  <w:vAlign w:val="center"/>
                </w:tcPr>
                <w:p w14:paraId="4F23E134">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olor w:val="auto"/>
                      <w:u w:val="none"/>
                      <w:lang w:val="en-US" w:eastAsia="zh-CN"/>
                    </w:rPr>
                    <w:t>0</w:t>
                  </w:r>
                </w:p>
              </w:tc>
              <w:tc>
                <w:tcPr>
                  <w:tcW w:w="913" w:type="dxa"/>
                  <w:noWrap w:val="0"/>
                  <w:vAlign w:val="center"/>
                </w:tcPr>
                <w:p w14:paraId="1694AD09">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s="Times New Roman"/>
                      <w:color w:val="000000"/>
                      <w:kern w:val="0"/>
                      <w:sz w:val="21"/>
                      <w:szCs w:val="21"/>
                      <w:u w:val="none"/>
                      <w:lang w:val="en-US" w:eastAsia="zh-CN"/>
                    </w:rPr>
                    <w:t>0.2476</w:t>
                  </w:r>
                </w:p>
              </w:tc>
              <w:tc>
                <w:tcPr>
                  <w:tcW w:w="964" w:type="dxa"/>
                  <w:tcBorders>
                    <w:right w:val="single" w:color="auto" w:sz="4" w:space="0"/>
                  </w:tcBorders>
                  <w:noWrap w:val="0"/>
                  <w:vAlign w:val="center"/>
                </w:tcPr>
                <w:p w14:paraId="790BEB13">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olor w:val="auto"/>
                      <w:u w:val="none"/>
                      <w:lang w:val="en-US" w:eastAsia="zh-CN"/>
                    </w:rPr>
                    <w:t>0</w:t>
                  </w:r>
                </w:p>
              </w:tc>
            </w:tr>
            <w:tr w14:paraId="5D6D5D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left w:val="single" w:color="auto" w:sz="4" w:space="0"/>
                  </w:tcBorders>
                  <w:noWrap w:val="0"/>
                  <w:vAlign w:val="center"/>
                </w:tcPr>
                <w:p w14:paraId="07BD4D07">
                  <w:pPr>
                    <w:jc w:val="center"/>
                    <w:rPr>
                      <w:color w:val="auto"/>
                      <w:u w:val="none"/>
                    </w:rPr>
                  </w:pPr>
                </w:p>
              </w:tc>
              <w:tc>
                <w:tcPr>
                  <w:tcW w:w="1683" w:type="dxa"/>
                  <w:noWrap w:val="0"/>
                  <w:vAlign w:val="center"/>
                </w:tcPr>
                <w:p w14:paraId="3865B01B">
                  <w:pPr>
                    <w:pStyle w:val="7"/>
                    <w:jc w:val="center"/>
                    <w:rPr>
                      <w:color w:val="auto"/>
                      <w:u w:val="none"/>
                    </w:rPr>
                  </w:pPr>
                  <w:r>
                    <w:rPr>
                      <w:rFonts w:hint="eastAsia" w:ascii="Times New Roman" w:hAnsi="Times New Roman" w:eastAsia="宋体" w:cs="Times New Roman"/>
                      <w:color w:val="000000"/>
                      <w:kern w:val="0"/>
                      <w:sz w:val="21"/>
                      <w:szCs w:val="21"/>
                      <w:u w:val="none"/>
                      <w:lang w:val="en-US" w:eastAsia="zh-CN"/>
                    </w:rPr>
                    <w:t>TN</w:t>
                  </w:r>
                </w:p>
              </w:tc>
              <w:tc>
                <w:tcPr>
                  <w:tcW w:w="925" w:type="dxa"/>
                  <w:noWrap w:val="0"/>
                  <w:vAlign w:val="center"/>
                </w:tcPr>
                <w:p w14:paraId="5650DB89">
                  <w:pPr>
                    <w:widowControl/>
                    <w:jc w:val="center"/>
                    <w:textAlignment w:val="center"/>
                    <w:rPr>
                      <w:rFonts w:hint="default" w:eastAsia="宋体"/>
                      <w:color w:val="auto"/>
                      <w:u w:val="none"/>
                      <w:lang w:val="en-US" w:eastAsia="zh-CN"/>
                    </w:rPr>
                  </w:pPr>
                  <w:r>
                    <w:rPr>
                      <w:rFonts w:hint="eastAsia" w:cs="Times New Roman"/>
                      <w:color w:val="000000"/>
                      <w:kern w:val="0"/>
                      <w:sz w:val="21"/>
                      <w:szCs w:val="21"/>
                      <w:u w:val="none"/>
                      <w:lang w:val="en-US" w:eastAsia="zh-CN"/>
                    </w:rPr>
                    <w:t>0.3447</w:t>
                  </w:r>
                </w:p>
              </w:tc>
              <w:tc>
                <w:tcPr>
                  <w:tcW w:w="952" w:type="dxa"/>
                  <w:noWrap w:val="0"/>
                  <w:vAlign w:val="center"/>
                </w:tcPr>
                <w:p w14:paraId="46C78687">
                  <w:pPr>
                    <w:jc w:val="center"/>
                    <w:rPr>
                      <w:rFonts w:hint="default" w:eastAsia="宋体"/>
                      <w:color w:val="auto"/>
                      <w:u w:val="none"/>
                      <w:lang w:val="en-US" w:eastAsia="zh-CN"/>
                    </w:rPr>
                  </w:pPr>
                  <w:r>
                    <w:rPr>
                      <w:rFonts w:hint="eastAsia"/>
                      <w:color w:val="auto"/>
                      <w:u w:val="none"/>
                      <w:lang w:val="en-US" w:eastAsia="zh-CN"/>
                    </w:rPr>
                    <w:t>0</w:t>
                  </w:r>
                </w:p>
              </w:tc>
              <w:tc>
                <w:tcPr>
                  <w:tcW w:w="885" w:type="dxa"/>
                  <w:noWrap w:val="0"/>
                  <w:vAlign w:val="center"/>
                </w:tcPr>
                <w:p w14:paraId="5AFB3EAC">
                  <w:pPr>
                    <w:jc w:val="center"/>
                    <w:rPr>
                      <w:rFonts w:hint="default" w:eastAsia="宋体"/>
                      <w:color w:val="auto"/>
                      <w:u w:val="none"/>
                      <w:lang w:val="en-US" w:eastAsia="zh-CN"/>
                    </w:rPr>
                  </w:pPr>
                  <w:r>
                    <w:rPr>
                      <w:rFonts w:hint="eastAsia"/>
                      <w:color w:val="auto"/>
                      <w:u w:val="none"/>
                      <w:lang w:val="en-US" w:eastAsia="zh-CN"/>
                    </w:rPr>
                    <w:t>0</w:t>
                  </w:r>
                </w:p>
              </w:tc>
              <w:tc>
                <w:tcPr>
                  <w:tcW w:w="897" w:type="dxa"/>
                  <w:noWrap w:val="0"/>
                  <w:vAlign w:val="center"/>
                </w:tcPr>
                <w:p w14:paraId="3EF0484D">
                  <w:pPr>
                    <w:jc w:val="center"/>
                    <w:rPr>
                      <w:rFonts w:hint="default" w:eastAsia="宋体"/>
                      <w:color w:val="auto"/>
                      <w:u w:val="none"/>
                      <w:lang w:val="en-US" w:eastAsia="zh-CN"/>
                    </w:rPr>
                  </w:pPr>
                  <w:r>
                    <w:rPr>
                      <w:rFonts w:hint="eastAsia"/>
                      <w:color w:val="auto"/>
                      <w:u w:val="none"/>
                      <w:lang w:val="en-US" w:eastAsia="zh-CN"/>
                    </w:rPr>
                    <w:t>0</w:t>
                  </w:r>
                </w:p>
              </w:tc>
              <w:tc>
                <w:tcPr>
                  <w:tcW w:w="866" w:type="dxa"/>
                  <w:noWrap w:val="0"/>
                  <w:vAlign w:val="center"/>
                </w:tcPr>
                <w:p w14:paraId="65E93541">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olor w:val="auto"/>
                      <w:u w:val="none"/>
                      <w:lang w:val="en-US" w:eastAsia="zh-CN"/>
                    </w:rPr>
                    <w:t>0</w:t>
                  </w:r>
                </w:p>
              </w:tc>
              <w:tc>
                <w:tcPr>
                  <w:tcW w:w="913" w:type="dxa"/>
                  <w:noWrap w:val="0"/>
                  <w:vAlign w:val="center"/>
                </w:tcPr>
                <w:p w14:paraId="40564454">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s="Times New Roman"/>
                      <w:color w:val="000000"/>
                      <w:kern w:val="0"/>
                      <w:sz w:val="21"/>
                      <w:szCs w:val="21"/>
                      <w:u w:val="none"/>
                      <w:lang w:val="en-US" w:eastAsia="zh-CN"/>
                    </w:rPr>
                    <w:t>0.3447</w:t>
                  </w:r>
                </w:p>
              </w:tc>
              <w:tc>
                <w:tcPr>
                  <w:tcW w:w="964" w:type="dxa"/>
                  <w:tcBorders>
                    <w:right w:val="single" w:color="auto" w:sz="4" w:space="0"/>
                  </w:tcBorders>
                  <w:noWrap w:val="0"/>
                  <w:vAlign w:val="center"/>
                </w:tcPr>
                <w:p w14:paraId="0650E69A">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olor w:val="auto"/>
                      <w:u w:val="none"/>
                      <w:lang w:val="en-US" w:eastAsia="zh-CN"/>
                    </w:rPr>
                    <w:t>0</w:t>
                  </w:r>
                </w:p>
              </w:tc>
            </w:tr>
            <w:tr w14:paraId="6EE33E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left w:val="single" w:color="auto" w:sz="4" w:space="0"/>
                  </w:tcBorders>
                  <w:noWrap w:val="0"/>
                  <w:vAlign w:val="center"/>
                </w:tcPr>
                <w:p w14:paraId="082E59FB">
                  <w:pPr>
                    <w:jc w:val="center"/>
                    <w:rPr>
                      <w:color w:val="auto"/>
                      <w:u w:val="none"/>
                    </w:rPr>
                  </w:pPr>
                </w:p>
              </w:tc>
              <w:tc>
                <w:tcPr>
                  <w:tcW w:w="1683" w:type="dxa"/>
                  <w:noWrap w:val="0"/>
                  <w:vAlign w:val="center"/>
                </w:tcPr>
                <w:p w14:paraId="79401A98">
                  <w:pPr>
                    <w:pStyle w:val="7"/>
                    <w:jc w:val="center"/>
                    <w:rPr>
                      <w:color w:val="auto"/>
                      <w:u w:val="none"/>
                    </w:rPr>
                  </w:pPr>
                  <w:r>
                    <w:rPr>
                      <w:rFonts w:hint="eastAsia" w:ascii="Times New Roman" w:hAnsi="Times New Roman" w:eastAsia="宋体" w:cs="Times New Roman"/>
                      <w:color w:val="000000"/>
                      <w:kern w:val="0"/>
                      <w:sz w:val="21"/>
                      <w:szCs w:val="21"/>
                      <w:u w:val="none"/>
                      <w:lang w:val="en-US" w:eastAsia="zh-CN"/>
                    </w:rPr>
                    <w:t>TP</w:t>
                  </w:r>
                </w:p>
              </w:tc>
              <w:tc>
                <w:tcPr>
                  <w:tcW w:w="925" w:type="dxa"/>
                  <w:noWrap w:val="0"/>
                  <w:vAlign w:val="center"/>
                </w:tcPr>
                <w:p w14:paraId="7506641F">
                  <w:pPr>
                    <w:widowControl/>
                    <w:jc w:val="center"/>
                    <w:textAlignment w:val="center"/>
                    <w:rPr>
                      <w:rFonts w:hint="default" w:eastAsia="宋体"/>
                      <w:color w:val="auto"/>
                      <w:u w:val="none"/>
                      <w:lang w:val="en-US" w:eastAsia="zh-CN"/>
                    </w:rPr>
                  </w:pPr>
                  <w:r>
                    <w:rPr>
                      <w:rFonts w:hint="eastAsia" w:cs="Times New Roman"/>
                      <w:color w:val="000000"/>
                      <w:kern w:val="0"/>
                      <w:sz w:val="21"/>
                      <w:szCs w:val="21"/>
                      <w:u w:val="none"/>
                      <w:lang w:val="en-US" w:eastAsia="zh-CN"/>
                    </w:rPr>
                    <w:t>0.0359</w:t>
                  </w:r>
                </w:p>
              </w:tc>
              <w:tc>
                <w:tcPr>
                  <w:tcW w:w="952" w:type="dxa"/>
                  <w:noWrap w:val="0"/>
                  <w:vAlign w:val="center"/>
                </w:tcPr>
                <w:p w14:paraId="5A6DCA96">
                  <w:pPr>
                    <w:jc w:val="center"/>
                    <w:rPr>
                      <w:rFonts w:hint="default" w:eastAsia="宋体"/>
                      <w:color w:val="auto"/>
                      <w:u w:val="none"/>
                      <w:lang w:val="en-US" w:eastAsia="zh-CN"/>
                    </w:rPr>
                  </w:pPr>
                  <w:r>
                    <w:rPr>
                      <w:rFonts w:hint="eastAsia"/>
                      <w:color w:val="auto"/>
                      <w:u w:val="none"/>
                      <w:lang w:val="en-US" w:eastAsia="zh-CN"/>
                    </w:rPr>
                    <w:t>0</w:t>
                  </w:r>
                </w:p>
              </w:tc>
              <w:tc>
                <w:tcPr>
                  <w:tcW w:w="885" w:type="dxa"/>
                  <w:noWrap w:val="0"/>
                  <w:vAlign w:val="center"/>
                </w:tcPr>
                <w:p w14:paraId="39C91C2C">
                  <w:pPr>
                    <w:jc w:val="center"/>
                    <w:rPr>
                      <w:rFonts w:hint="default" w:eastAsia="宋体"/>
                      <w:color w:val="auto"/>
                      <w:u w:val="none"/>
                      <w:lang w:val="en-US" w:eastAsia="zh-CN"/>
                    </w:rPr>
                  </w:pPr>
                  <w:r>
                    <w:rPr>
                      <w:rFonts w:hint="eastAsia"/>
                      <w:color w:val="auto"/>
                      <w:u w:val="none"/>
                      <w:lang w:val="en-US" w:eastAsia="zh-CN"/>
                    </w:rPr>
                    <w:t>0</w:t>
                  </w:r>
                </w:p>
              </w:tc>
              <w:tc>
                <w:tcPr>
                  <w:tcW w:w="897" w:type="dxa"/>
                  <w:noWrap w:val="0"/>
                  <w:vAlign w:val="center"/>
                </w:tcPr>
                <w:p w14:paraId="63CA9FEA">
                  <w:pPr>
                    <w:jc w:val="center"/>
                    <w:rPr>
                      <w:rFonts w:hint="default" w:eastAsia="宋体"/>
                      <w:color w:val="auto"/>
                      <w:u w:val="none"/>
                      <w:lang w:val="en-US" w:eastAsia="zh-CN"/>
                    </w:rPr>
                  </w:pPr>
                  <w:r>
                    <w:rPr>
                      <w:rFonts w:hint="eastAsia"/>
                      <w:color w:val="auto"/>
                      <w:u w:val="none"/>
                      <w:lang w:val="en-US" w:eastAsia="zh-CN"/>
                    </w:rPr>
                    <w:t>0</w:t>
                  </w:r>
                </w:p>
              </w:tc>
              <w:tc>
                <w:tcPr>
                  <w:tcW w:w="866" w:type="dxa"/>
                  <w:noWrap w:val="0"/>
                  <w:vAlign w:val="center"/>
                </w:tcPr>
                <w:p w14:paraId="01F3D52E">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olor w:val="auto"/>
                      <w:u w:val="none"/>
                      <w:lang w:val="en-US" w:eastAsia="zh-CN"/>
                    </w:rPr>
                    <w:t>0</w:t>
                  </w:r>
                </w:p>
              </w:tc>
              <w:tc>
                <w:tcPr>
                  <w:tcW w:w="913" w:type="dxa"/>
                  <w:noWrap w:val="0"/>
                  <w:vAlign w:val="center"/>
                </w:tcPr>
                <w:p w14:paraId="7E004D86">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s="Times New Roman"/>
                      <w:color w:val="000000"/>
                      <w:kern w:val="0"/>
                      <w:sz w:val="21"/>
                      <w:szCs w:val="21"/>
                      <w:u w:val="none"/>
                      <w:lang w:val="en-US" w:eastAsia="zh-CN"/>
                    </w:rPr>
                    <w:t>0.0359</w:t>
                  </w:r>
                </w:p>
              </w:tc>
              <w:tc>
                <w:tcPr>
                  <w:tcW w:w="964" w:type="dxa"/>
                  <w:tcBorders>
                    <w:right w:val="single" w:color="auto" w:sz="4" w:space="0"/>
                  </w:tcBorders>
                  <w:noWrap w:val="0"/>
                  <w:vAlign w:val="center"/>
                </w:tcPr>
                <w:p w14:paraId="5BAD6A33">
                  <w:pPr>
                    <w:widowControl/>
                    <w:jc w:val="center"/>
                    <w:textAlignment w:val="center"/>
                    <w:rPr>
                      <w:rFonts w:hint="default" w:ascii="Times New Roman" w:hAnsi="Times New Roman" w:eastAsia="宋体" w:cs="Times New Roman"/>
                      <w:color w:val="auto"/>
                      <w:kern w:val="0"/>
                      <w:szCs w:val="21"/>
                      <w:u w:val="none"/>
                      <w:lang w:val="en-US" w:eastAsia="zh-CN"/>
                    </w:rPr>
                  </w:pPr>
                  <w:r>
                    <w:rPr>
                      <w:rFonts w:hint="eastAsia"/>
                      <w:color w:val="auto"/>
                      <w:u w:val="none"/>
                      <w:lang w:val="en-US" w:eastAsia="zh-CN"/>
                    </w:rPr>
                    <w:t>0</w:t>
                  </w:r>
                </w:p>
              </w:tc>
            </w:tr>
            <w:tr w14:paraId="3B4CE6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left w:val="single" w:color="auto" w:sz="4" w:space="0"/>
                  </w:tcBorders>
                  <w:noWrap w:val="0"/>
                  <w:vAlign w:val="center"/>
                </w:tcPr>
                <w:p w14:paraId="4D2D0A83">
                  <w:pPr>
                    <w:jc w:val="center"/>
                    <w:rPr>
                      <w:color w:val="auto"/>
                      <w:u w:val="none"/>
                    </w:rPr>
                  </w:pPr>
                  <w:r>
                    <w:rPr>
                      <w:color w:val="auto"/>
                      <w:u w:val="none"/>
                    </w:rPr>
                    <w:t>固废</w:t>
                  </w:r>
                </w:p>
              </w:tc>
              <w:tc>
                <w:tcPr>
                  <w:tcW w:w="1683" w:type="dxa"/>
                  <w:noWrap w:val="0"/>
                  <w:vAlign w:val="center"/>
                </w:tcPr>
                <w:p w14:paraId="41FB7CCF">
                  <w:pPr>
                    <w:jc w:val="center"/>
                    <w:rPr>
                      <w:color w:val="auto"/>
                      <w:u w:val="none"/>
                    </w:rPr>
                  </w:pPr>
                  <w:r>
                    <w:rPr>
                      <w:rFonts w:hint="eastAsia" w:ascii="Times New Roman" w:hAnsi="Times New Roman" w:eastAsia="宋体" w:cs="Times New Roman"/>
                      <w:bCs/>
                      <w:color w:val="000000"/>
                      <w:sz w:val="21"/>
                      <w:szCs w:val="21"/>
                      <w:u w:val="none"/>
                      <w:lang w:val="en-US" w:eastAsia="zh-CN"/>
                    </w:rPr>
                    <w:t>废包装袋</w:t>
                  </w:r>
                </w:p>
              </w:tc>
              <w:tc>
                <w:tcPr>
                  <w:tcW w:w="925" w:type="dxa"/>
                  <w:noWrap w:val="0"/>
                  <w:vAlign w:val="center"/>
                </w:tcPr>
                <w:p w14:paraId="3CE557B2">
                  <w:pPr>
                    <w:jc w:val="center"/>
                    <w:rPr>
                      <w:rFonts w:hint="default" w:eastAsia="宋体"/>
                      <w:color w:val="auto"/>
                      <w:u w:val="none"/>
                      <w:lang w:val="en-US" w:eastAsia="zh-CN"/>
                    </w:rPr>
                  </w:pPr>
                  <w:r>
                    <w:rPr>
                      <w:rFonts w:hint="eastAsia" w:eastAsia="宋体"/>
                      <w:color w:val="auto"/>
                      <w:u w:val="none"/>
                      <w:lang w:val="en-US" w:eastAsia="zh-CN"/>
                    </w:rPr>
                    <w:t>0</w:t>
                  </w:r>
                </w:p>
              </w:tc>
              <w:tc>
                <w:tcPr>
                  <w:tcW w:w="952" w:type="dxa"/>
                  <w:noWrap w:val="0"/>
                  <w:vAlign w:val="center"/>
                </w:tcPr>
                <w:p w14:paraId="1E6D7B71">
                  <w:pPr>
                    <w:jc w:val="center"/>
                    <w:rPr>
                      <w:rFonts w:hint="default" w:eastAsia="宋体"/>
                      <w:color w:val="auto"/>
                      <w:u w:val="none"/>
                      <w:lang w:val="en-US" w:eastAsia="zh-CN"/>
                    </w:rPr>
                  </w:pPr>
                  <w:r>
                    <w:rPr>
                      <w:rFonts w:hint="eastAsia"/>
                      <w:color w:val="auto"/>
                      <w:u w:val="none"/>
                      <w:lang w:val="en-US" w:eastAsia="zh-CN"/>
                    </w:rPr>
                    <w:t>0</w:t>
                  </w:r>
                </w:p>
              </w:tc>
              <w:tc>
                <w:tcPr>
                  <w:tcW w:w="885" w:type="dxa"/>
                  <w:noWrap w:val="0"/>
                  <w:vAlign w:val="center"/>
                </w:tcPr>
                <w:p w14:paraId="49895637">
                  <w:pPr>
                    <w:jc w:val="center"/>
                    <w:rPr>
                      <w:color w:val="auto"/>
                      <w:u w:val="none"/>
                    </w:rPr>
                  </w:pPr>
                  <w:r>
                    <w:rPr>
                      <w:rFonts w:hint="eastAsia"/>
                      <w:color w:val="auto"/>
                      <w:u w:val="none"/>
                      <w:lang w:val="en-US" w:eastAsia="zh-CN"/>
                    </w:rPr>
                    <w:t>0</w:t>
                  </w:r>
                </w:p>
              </w:tc>
              <w:tc>
                <w:tcPr>
                  <w:tcW w:w="897" w:type="dxa"/>
                  <w:noWrap w:val="0"/>
                  <w:vAlign w:val="center"/>
                </w:tcPr>
                <w:p w14:paraId="7AEA5B92">
                  <w:pPr>
                    <w:jc w:val="center"/>
                    <w:rPr>
                      <w:rFonts w:hint="eastAsia" w:eastAsia="宋体"/>
                      <w:color w:val="auto"/>
                      <w:u w:val="none"/>
                      <w:lang w:val="en-US" w:eastAsia="zh-CN"/>
                    </w:rPr>
                  </w:pPr>
                  <w:r>
                    <w:rPr>
                      <w:rFonts w:hint="eastAsia"/>
                      <w:color w:val="auto"/>
                      <w:u w:val="none"/>
                      <w:lang w:val="en-US" w:eastAsia="zh-CN"/>
                    </w:rPr>
                    <w:t>0</w:t>
                  </w:r>
                </w:p>
              </w:tc>
              <w:tc>
                <w:tcPr>
                  <w:tcW w:w="866" w:type="dxa"/>
                  <w:noWrap w:val="0"/>
                  <w:vAlign w:val="center"/>
                </w:tcPr>
                <w:p w14:paraId="562F81F1">
                  <w:pPr>
                    <w:jc w:val="center"/>
                    <w:rPr>
                      <w:rFonts w:hint="eastAsia" w:eastAsia="宋体"/>
                      <w:color w:val="auto"/>
                      <w:u w:val="none"/>
                      <w:lang w:eastAsia="zh-CN"/>
                    </w:rPr>
                  </w:pPr>
                  <w:r>
                    <w:rPr>
                      <w:rFonts w:hint="eastAsia"/>
                      <w:color w:val="auto"/>
                      <w:u w:val="none"/>
                      <w:lang w:val="en-US" w:eastAsia="zh-CN"/>
                    </w:rPr>
                    <w:t>0</w:t>
                  </w:r>
                </w:p>
              </w:tc>
              <w:tc>
                <w:tcPr>
                  <w:tcW w:w="913" w:type="dxa"/>
                  <w:noWrap w:val="0"/>
                  <w:vAlign w:val="center"/>
                </w:tcPr>
                <w:p w14:paraId="6F0B9AA6">
                  <w:pPr>
                    <w:jc w:val="center"/>
                    <w:rPr>
                      <w:color w:val="auto"/>
                      <w:u w:val="none"/>
                    </w:rPr>
                  </w:pPr>
                  <w:r>
                    <w:rPr>
                      <w:rFonts w:hint="eastAsia"/>
                      <w:color w:val="auto"/>
                      <w:u w:val="none"/>
                      <w:lang w:val="en-US" w:eastAsia="zh-CN"/>
                    </w:rPr>
                    <w:t>0</w:t>
                  </w:r>
                </w:p>
              </w:tc>
              <w:tc>
                <w:tcPr>
                  <w:tcW w:w="964" w:type="dxa"/>
                  <w:tcBorders>
                    <w:right w:val="single" w:color="auto" w:sz="4" w:space="0"/>
                  </w:tcBorders>
                  <w:noWrap w:val="0"/>
                  <w:vAlign w:val="center"/>
                </w:tcPr>
                <w:p w14:paraId="6B23D71E">
                  <w:pPr>
                    <w:jc w:val="center"/>
                    <w:rPr>
                      <w:rFonts w:hint="eastAsia" w:eastAsia="宋体"/>
                      <w:color w:val="auto"/>
                      <w:u w:val="none"/>
                      <w:lang w:eastAsia="zh-CN"/>
                    </w:rPr>
                  </w:pPr>
                  <w:r>
                    <w:rPr>
                      <w:rFonts w:hint="eastAsia"/>
                      <w:color w:val="auto"/>
                      <w:u w:val="none"/>
                      <w:lang w:val="en-US" w:eastAsia="zh-CN"/>
                    </w:rPr>
                    <w:t>0</w:t>
                  </w:r>
                </w:p>
              </w:tc>
            </w:tr>
            <w:tr w14:paraId="6F3853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left w:val="single" w:color="auto" w:sz="4" w:space="0"/>
                  </w:tcBorders>
                  <w:noWrap w:val="0"/>
                  <w:vAlign w:val="center"/>
                </w:tcPr>
                <w:p w14:paraId="2258DFBD">
                  <w:pPr>
                    <w:jc w:val="center"/>
                    <w:rPr>
                      <w:color w:val="auto"/>
                      <w:u w:val="none"/>
                    </w:rPr>
                  </w:pPr>
                </w:p>
              </w:tc>
              <w:tc>
                <w:tcPr>
                  <w:tcW w:w="1683" w:type="dxa"/>
                  <w:noWrap w:val="0"/>
                  <w:vAlign w:val="center"/>
                </w:tcPr>
                <w:p w14:paraId="684DAB96">
                  <w:pPr>
                    <w:jc w:val="center"/>
                    <w:rPr>
                      <w:rFonts w:hint="eastAsia" w:eastAsia="宋体"/>
                      <w:color w:val="auto"/>
                      <w:u w:val="none"/>
                      <w:lang w:eastAsia="zh-CN"/>
                    </w:rPr>
                  </w:pPr>
                  <w:r>
                    <w:rPr>
                      <w:rFonts w:hint="eastAsia" w:ascii="Times New Roman" w:hAnsi="Times New Roman" w:eastAsia="宋体" w:cs="Times New Roman"/>
                      <w:bCs/>
                      <w:color w:val="000000"/>
                      <w:sz w:val="21"/>
                      <w:szCs w:val="21"/>
                      <w:u w:val="none"/>
                      <w:lang w:val="en-US" w:eastAsia="zh-CN"/>
                    </w:rPr>
                    <w:t>废包装箱</w:t>
                  </w:r>
                </w:p>
              </w:tc>
              <w:tc>
                <w:tcPr>
                  <w:tcW w:w="925" w:type="dxa"/>
                  <w:noWrap w:val="0"/>
                  <w:vAlign w:val="center"/>
                </w:tcPr>
                <w:p w14:paraId="26F1F270">
                  <w:pPr>
                    <w:jc w:val="center"/>
                    <w:rPr>
                      <w:rFonts w:hint="eastAsia" w:eastAsia="宋体"/>
                      <w:color w:val="auto"/>
                      <w:u w:val="none"/>
                      <w:lang w:val="en-US" w:eastAsia="zh-CN"/>
                    </w:rPr>
                  </w:pPr>
                  <w:r>
                    <w:rPr>
                      <w:rFonts w:hint="eastAsia"/>
                      <w:color w:val="auto"/>
                      <w:u w:val="none"/>
                      <w:lang w:val="en-US" w:eastAsia="zh-CN"/>
                    </w:rPr>
                    <w:t>0</w:t>
                  </w:r>
                </w:p>
              </w:tc>
              <w:tc>
                <w:tcPr>
                  <w:tcW w:w="952" w:type="dxa"/>
                  <w:noWrap w:val="0"/>
                  <w:vAlign w:val="center"/>
                </w:tcPr>
                <w:p w14:paraId="48566850">
                  <w:pPr>
                    <w:jc w:val="center"/>
                    <w:rPr>
                      <w:rFonts w:hint="default" w:eastAsia="宋体"/>
                      <w:color w:val="auto"/>
                      <w:u w:val="none"/>
                      <w:lang w:val="en-US" w:eastAsia="zh-CN"/>
                    </w:rPr>
                  </w:pPr>
                  <w:r>
                    <w:rPr>
                      <w:rFonts w:hint="eastAsia"/>
                      <w:color w:val="auto"/>
                      <w:u w:val="none"/>
                      <w:lang w:val="en-US" w:eastAsia="zh-CN"/>
                    </w:rPr>
                    <w:t>0</w:t>
                  </w:r>
                </w:p>
              </w:tc>
              <w:tc>
                <w:tcPr>
                  <w:tcW w:w="885" w:type="dxa"/>
                  <w:noWrap w:val="0"/>
                  <w:vAlign w:val="center"/>
                </w:tcPr>
                <w:p w14:paraId="5FF1B1DE">
                  <w:pPr>
                    <w:jc w:val="center"/>
                    <w:rPr>
                      <w:rFonts w:hint="default"/>
                      <w:color w:val="auto"/>
                      <w:u w:val="none"/>
                      <w:lang w:val="en-US"/>
                    </w:rPr>
                  </w:pPr>
                  <w:r>
                    <w:rPr>
                      <w:rFonts w:hint="eastAsia"/>
                      <w:color w:val="auto"/>
                      <w:u w:val="none"/>
                      <w:lang w:val="en-US" w:eastAsia="zh-CN"/>
                    </w:rPr>
                    <w:t>0</w:t>
                  </w:r>
                </w:p>
              </w:tc>
              <w:tc>
                <w:tcPr>
                  <w:tcW w:w="897" w:type="dxa"/>
                  <w:noWrap w:val="0"/>
                  <w:vAlign w:val="center"/>
                </w:tcPr>
                <w:p w14:paraId="3A13E3EA">
                  <w:pPr>
                    <w:jc w:val="center"/>
                    <w:rPr>
                      <w:rFonts w:hint="eastAsia" w:eastAsia="宋体"/>
                      <w:color w:val="auto"/>
                      <w:u w:val="none"/>
                      <w:lang w:val="en-US" w:eastAsia="zh-CN"/>
                    </w:rPr>
                  </w:pPr>
                  <w:r>
                    <w:rPr>
                      <w:rFonts w:hint="eastAsia"/>
                      <w:color w:val="auto"/>
                      <w:u w:val="none"/>
                      <w:lang w:val="en-US" w:eastAsia="zh-CN"/>
                    </w:rPr>
                    <w:t>0</w:t>
                  </w:r>
                </w:p>
              </w:tc>
              <w:tc>
                <w:tcPr>
                  <w:tcW w:w="866" w:type="dxa"/>
                  <w:noWrap w:val="0"/>
                  <w:vAlign w:val="center"/>
                </w:tcPr>
                <w:p w14:paraId="250C9EA5">
                  <w:pPr>
                    <w:jc w:val="center"/>
                    <w:rPr>
                      <w:color w:val="auto"/>
                      <w:u w:val="none"/>
                    </w:rPr>
                  </w:pPr>
                  <w:r>
                    <w:rPr>
                      <w:rFonts w:hint="eastAsia"/>
                      <w:color w:val="auto"/>
                      <w:u w:val="none"/>
                      <w:lang w:val="en-US" w:eastAsia="zh-CN"/>
                    </w:rPr>
                    <w:t>0</w:t>
                  </w:r>
                </w:p>
              </w:tc>
              <w:tc>
                <w:tcPr>
                  <w:tcW w:w="913" w:type="dxa"/>
                  <w:noWrap w:val="0"/>
                  <w:vAlign w:val="center"/>
                </w:tcPr>
                <w:p w14:paraId="531E3835">
                  <w:pPr>
                    <w:jc w:val="center"/>
                    <w:rPr>
                      <w:color w:val="auto"/>
                      <w:u w:val="none"/>
                    </w:rPr>
                  </w:pPr>
                  <w:r>
                    <w:rPr>
                      <w:rFonts w:hint="eastAsia"/>
                      <w:color w:val="auto"/>
                      <w:u w:val="none"/>
                      <w:lang w:val="en-US" w:eastAsia="zh-CN"/>
                    </w:rPr>
                    <w:t>0</w:t>
                  </w:r>
                </w:p>
              </w:tc>
              <w:tc>
                <w:tcPr>
                  <w:tcW w:w="964" w:type="dxa"/>
                  <w:tcBorders>
                    <w:right w:val="single" w:color="auto" w:sz="4" w:space="0"/>
                  </w:tcBorders>
                  <w:noWrap w:val="0"/>
                  <w:vAlign w:val="center"/>
                </w:tcPr>
                <w:p w14:paraId="2961BE11">
                  <w:pPr>
                    <w:jc w:val="center"/>
                    <w:rPr>
                      <w:color w:val="auto"/>
                      <w:u w:val="none"/>
                    </w:rPr>
                  </w:pPr>
                  <w:r>
                    <w:rPr>
                      <w:rFonts w:hint="eastAsia"/>
                      <w:color w:val="auto"/>
                      <w:u w:val="none"/>
                      <w:lang w:val="en-US" w:eastAsia="zh-CN"/>
                    </w:rPr>
                    <w:t>0</w:t>
                  </w:r>
                </w:p>
              </w:tc>
            </w:tr>
            <w:tr w14:paraId="72C86C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left w:val="single" w:color="auto" w:sz="4" w:space="0"/>
                  </w:tcBorders>
                  <w:noWrap w:val="0"/>
                  <w:vAlign w:val="center"/>
                </w:tcPr>
                <w:p w14:paraId="268CF9D3">
                  <w:pPr>
                    <w:jc w:val="center"/>
                    <w:rPr>
                      <w:color w:val="auto"/>
                      <w:u w:val="none"/>
                    </w:rPr>
                  </w:pPr>
                </w:p>
              </w:tc>
              <w:tc>
                <w:tcPr>
                  <w:tcW w:w="1683" w:type="dxa"/>
                  <w:noWrap w:val="0"/>
                  <w:vAlign w:val="center"/>
                </w:tcPr>
                <w:p w14:paraId="61D6A276">
                  <w:pPr>
                    <w:jc w:val="center"/>
                    <w:rPr>
                      <w:rFonts w:hint="default" w:ascii="Times New Roman" w:hAnsi="Times New Roman" w:eastAsia="宋体" w:cs="Times New Roman"/>
                      <w:bCs/>
                      <w:color w:val="000000"/>
                      <w:sz w:val="21"/>
                      <w:szCs w:val="21"/>
                      <w:u w:val="none"/>
                      <w:lang w:val="en-US" w:eastAsia="zh-CN"/>
                    </w:rPr>
                  </w:pPr>
                  <w:r>
                    <w:rPr>
                      <w:rFonts w:hint="eastAsia" w:cs="Times New Roman"/>
                      <w:bCs/>
                      <w:color w:val="000000"/>
                      <w:sz w:val="21"/>
                      <w:szCs w:val="21"/>
                      <w:u w:val="none"/>
                      <w:lang w:val="en-US" w:eastAsia="zh-CN"/>
                    </w:rPr>
                    <w:t>废包装（待鉴定）</w:t>
                  </w:r>
                </w:p>
              </w:tc>
              <w:tc>
                <w:tcPr>
                  <w:tcW w:w="925" w:type="dxa"/>
                  <w:noWrap w:val="0"/>
                  <w:vAlign w:val="center"/>
                </w:tcPr>
                <w:p w14:paraId="467AE825">
                  <w:pPr>
                    <w:jc w:val="center"/>
                    <w:rPr>
                      <w:rFonts w:hint="eastAsia"/>
                      <w:color w:val="auto"/>
                      <w:u w:val="none"/>
                      <w:lang w:val="en-US" w:eastAsia="zh-CN"/>
                    </w:rPr>
                  </w:pPr>
                  <w:r>
                    <w:rPr>
                      <w:rFonts w:hint="eastAsia"/>
                      <w:color w:val="auto"/>
                      <w:u w:val="none"/>
                      <w:lang w:val="en-US" w:eastAsia="zh-CN"/>
                    </w:rPr>
                    <w:t>0</w:t>
                  </w:r>
                </w:p>
              </w:tc>
              <w:tc>
                <w:tcPr>
                  <w:tcW w:w="952" w:type="dxa"/>
                  <w:noWrap w:val="0"/>
                  <w:vAlign w:val="center"/>
                </w:tcPr>
                <w:p w14:paraId="71CBE766">
                  <w:pPr>
                    <w:jc w:val="center"/>
                    <w:rPr>
                      <w:rFonts w:hint="default"/>
                      <w:color w:val="auto"/>
                      <w:u w:val="none"/>
                      <w:lang w:val="en-US" w:eastAsia="zh-CN"/>
                    </w:rPr>
                  </w:pPr>
                  <w:r>
                    <w:rPr>
                      <w:rFonts w:hint="eastAsia"/>
                      <w:color w:val="auto"/>
                      <w:u w:val="none"/>
                      <w:lang w:val="en-US" w:eastAsia="zh-CN"/>
                    </w:rPr>
                    <w:t>2.0</w:t>
                  </w:r>
                </w:p>
              </w:tc>
              <w:tc>
                <w:tcPr>
                  <w:tcW w:w="885" w:type="dxa"/>
                  <w:noWrap w:val="0"/>
                  <w:vAlign w:val="center"/>
                </w:tcPr>
                <w:p w14:paraId="289A75B6">
                  <w:pPr>
                    <w:jc w:val="center"/>
                    <w:rPr>
                      <w:rFonts w:hint="default"/>
                      <w:color w:val="auto"/>
                      <w:u w:val="none"/>
                      <w:lang w:val="en-US" w:eastAsia="zh-CN"/>
                    </w:rPr>
                  </w:pPr>
                  <w:r>
                    <w:rPr>
                      <w:rFonts w:hint="eastAsia"/>
                      <w:color w:val="auto"/>
                      <w:u w:val="none"/>
                      <w:lang w:val="en-US" w:eastAsia="zh-CN"/>
                    </w:rPr>
                    <w:t>2.0</w:t>
                  </w:r>
                </w:p>
              </w:tc>
              <w:tc>
                <w:tcPr>
                  <w:tcW w:w="897" w:type="dxa"/>
                  <w:noWrap w:val="0"/>
                  <w:vAlign w:val="center"/>
                </w:tcPr>
                <w:p w14:paraId="24C245C2">
                  <w:pPr>
                    <w:jc w:val="center"/>
                    <w:rPr>
                      <w:rFonts w:hint="eastAsia"/>
                      <w:color w:val="auto"/>
                      <w:u w:val="none"/>
                      <w:lang w:val="en-US" w:eastAsia="zh-CN"/>
                    </w:rPr>
                  </w:pPr>
                  <w:r>
                    <w:rPr>
                      <w:rFonts w:hint="eastAsia"/>
                      <w:color w:val="auto"/>
                      <w:u w:val="none"/>
                      <w:lang w:val="en-US" w:eastAsia="zh-CN"/>
                    </w:rPr>
                    <w:t>0</w:t>
                  </w:r>
                </w:p>
              </w:tc>
              <w:tc>
                <w:tcPr>
                  <w:tcW w:w="866" w:type="dxa"/>
                  <w:noWrap w:val="0"/>
                  <w:vAlign w:val="center"/>
                </w:tcPr>
                <w:p w14:paraId="67F4BFD3">
                  <w:pPr>
                    <w:jc w:val="center"/>
                    <w:rPr>
                      <w:rFonts w:hint="eastAsia"/>
                      <w:color w:val="auto"/>
                      <w:u w:val="none"/>
                      <w:lang w:val="en-US" w:eastAsia="zh-CN"/>
                    </w:rPr>
                  </w:pPr>
                  <w:r>
                    <w:rPr>
                      <w:rFonts w:hint="eastAsia"/>
                      <w:color w:val="auto"/>
                      <w:u w:val="none"/>
                      <w:lang w:val="en-US" w:eastAsia="zh-CN"/>
                    </w:rPr>
                    <w:t>0</w:t>
                  </w:r>
                </w:p>
              </w:tc>
              <w:tc>
                <w:tcPr>
                  <w:tcW w:w="913" w:type="dxa"/>
                  <w:noWrap w:val="0"/>
                  <w:vAlign w:val="center"/>
                </w:tcPr>
                <w:p w14:paraId="3376A122">
                  <w:pPr>
                    <w:jc w:val="center"/>
                    <w:rPr>
                      <w:rFonts w:hint="eastAsia"/>
                      <w:color w:val="auto"/>
                      <w:u w:val="none"/>
                      <w:lang w:val="en-US" w:eastAsia="zh-CN"/>
                    </w:rPr>
                  </w:pPr>
                  <w:r>
                    <w:rPr>
                      <w:rFonts w:hint="eastAsia"/>
                      <w:color w:val="auto"/>
                      <w:u w:val="none"/>
                      <w:lang w:val="en-US" w:eastAsia="zh-CN"/>
                    </w:rPr>
                    <w:t>0</w:t>
                  </w:r>
                </w:p>
              </w:tc>
              <w:tc>
                <w:tcPr>
                  <w:tcW w:w="964" w:type="dxa"/>
                  <w:tcBorders>
                    <w:right w:val="single" w:color="auto" w:sz="4" w:space="0"/>
                  </w:tcBorders>
                  <w:noWrap w:val="0"/>
                  <w:vAlign w:val="center"/>
                </w:tcPr>
                <w:p w14:paraId="7D45930B">
                  <w:pPr>
                    <w:jc w:val="center"/>
                    <w:rPr>
                      <w:rFonts w:hint="eastAsia"/>
                      <w:color w:val="auto"/>
                      <w:u w:val="none"/>
                      <w:lang w:val="en-US" w:eastAsia="zh-CN"/>
                    </w:rPr>
                  </w:pPr>
                  <w:r>
                    <w:rPr>
                      <w:rFonts w:hint="eastAsia"/>
                      <w:color w:val="auto"/>
                      <w:u w:val="none"/>
                      <w:lang w:val="en-US" w:eastAsia="zh-CN"/>
                    </w:rPr>
                    <w:t>0</w:t>
                  </w:r>
                </w:p>
              </w:tc>
            </w:tr>
            <w:tr w14:paraId="107743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left w:val="single" w:color="auto" w:sz="4" w:space="0"/>
                  </w:tcBorders>
                  <w:noWrap w:val="0"/>
                  <w:vAlign w:val="center"/>
                </w:tcPr>
                <w:p w14:paraId="5B49347A">
                  <w:pPr>
                    <w:jc w:val="center"/>
                    <w:rPr>
                      <w:color w:val="auto"/>
                      <w:u w:val="none"/>
                    </w:rPr>
                  </w:pPr>
                </w:p>
              </w:tc>
              <w:tc>
                <w:tcPr>
                  <w:tcW w:w="1683" w:type="dxa"/>
                  <w:noWrap w:val="0"/>
                  <w:vAlign w:val="center"/>
                </w:tcPr>
                <w:p w14:paraId="0FF0BA7A">
                  <w:pPr>
                    <w:jc w:val="center"/>
                    <w:rPr>
                      <w:color w:val="auto"/>
                      <w:u w:val="none"/>
                    </w:rPr>
                  </w:pPr>
                  <w:r>
                    <w:rPr>
                      <w:rFonts w:hint="eastAsia" w:ascii="Times New Roman" w:hAnsi="Times New Roman" w:eastAsia="宋体" w:cs="Times New Roman"/>
                      <w:bCs/>
                      <w:color w:val="000000"/>
                      <w:sz w:val="21"/>
                      <w:szCs w:val="21"/>
                      <w:u w:val="none"/>
                      <w:lang w:val="en-US" w:eastAsia="zh-CN"/>
                    </w:rPr>
                    <w:t>生活垃圾</w:t>
                  </w:r>
                </w:p>
              </w:tc>
              <w:tc>
                <w:tcPr>
                  <w:tcW w:w="925" w:type="dxa"/>
                  <w:noWrap w:val="0"/>
                  <w:vAlign w:val="center"/>
                </w:tcPr>
                <w:p w14:paraId="32D5B3BA">
                  <w:pPr>
                    <w:jc w:val="center"/>
                    <w:rPr>
                      <w:rFonts w:hint="eastAsia" w:eastAsia="宋体"/>
                      <w:color w:val="auto"/>
                      <w:u w:val="none"/>
                      <w:lang w:val="en-US" w:eastAsia="zh-CN"/>
                    </w:rPr>
                  </w:pPr>
                  <w:r>
                    <w:rPr>
                      <w:rFonts w:hint="eastAsia"/>
                      <w:color w:val="auto"/>
                      <w:u w:val="none"/>
                      <w:lang w:val="en-US" w:eastAsia="zh-CN"/>
                    </w:rPr>
                    <w:t>0</w:t>
                  </w:r>
                </w:p>
              </w:tc>
              <w:tc>
                <w:tcPr>
                  <w:tcW w:w="952" w:type="dxa"/>
                  <w:noWrap w:val="0"/>
                  <w:vAlign w:val="center"/>
                </w:tcPr>
                <w:p w14:paraId="714D9C41">
                  <w:pPr>
                    <w:jc w:val="center"/>
                    <w:rPr>
                      <w:rFonts w:hint="default" w:eastAsia="宋体"/>
                      <w:color w:val="auto"/>
                      <w:u w:val="none"/>
                      <w:lang w:val="en-US" w:eastAsia="zh-CN"/>
                    </w:rPr>
                  </w:pPr>
                  <w:r>
                    <w:rPr>
                      <w:rFonts w:hint="eastAsia"/>
                      <w:color w:val="auto"/>
                      <w:u w:val="none"/>
                      <w:lang w:val="en-US" w:eastAsia="zh-CN"/>
                    </w:rPr>
                    <w:t>0</w:t>
                  </w:r>
                </w:p>
              </w:tc>
              <w:tc>
                <w:tcPr>
                  <w:tcW w:w="885" w:type="dxa"/>
                  <w:noWrap w:val="0"/>
                  <w:vAlign w:val="center"/>
                </w:tcPr>
                <w:p w14:paraId="5256D3FD">
                  <w:pPr>
                    <w:jc w:val="center"/>
                    <w:rPr>
                      <w:color w:val="auto"/>
                      <w:u w:val="none"/>
                    </w:rPr>
                  </w:pPr>
                  <w:r>
                    <w:rPr>
                      <w:rFonts w:hint="eastAsia"/>
                      <w:color w:val="auto"/>
                      <w:u w:val="none"/>
                      <w:lang w:val="en-US" w:eastAsia="zh-CN"/>
                    </w:rPr>
                    <w:t>0</w:t>
                  </w:r>
                </w:p>
              </w:tc>
              <w:tc>
                <w:tcPr>
                  <w:tcW w:w="897" w:type="dxa"/>
                  <w:noWrap w:val="0"/>
                  <w:vAlign w:val="center"/>
                </w:tcPr>
                <w:p w14:paraId="632C0BE5">
                  <w:pPr>
                    <w:jc w:val="center"/>
                    <w:rPr>
                      <w:rFonts w:hint="eastAsia" w:eastAsia="宋体"/>
                      <w:color w:val="auto"/>
                      <w:u w:val="none"/>
                      <w:lang w:val="en-US" w:eastAsia="zh-CN"/>
                    </w:rPr>
                  </w:pPr>
                  <w:r>
                    <w:rPr>
                      <w:rFonts w:hint="eastAsia"/>
                      <w:color w:val="auto"/>
                      <w:u w:val="none"/>
                      <w:lang w:val="en-US" w:eastAsia="zh-CN"/>
                    </w:rPr>
                    <w:t>0</w:t>
                  </w:r>
                </w:p>
              </w:tc>
              <w:tc>
                <w:tcPr>
                  <w:tcW w:w="866" w:type="dxa"/>
                  <w:noWrap w:val="0"/>
                  <w:vAlign w:val="center"/>
                </w:tcPr>
                <w:p w14:paraId="05C857C6">
                  <w:pPr>
                    <w:jc w:val="center"/>
                    <w:rPr>
                      <w:rFonts w:hint="eastAsia"/>
                      <w:color w:val="auto"/>
                      <w:u w:val="none"/>
                    </w:rPr>
                  </w:pPr>
                  <w:r>
                    <w:rPr>
                      <w:rFonts w:hint="eastAsia"/>
                      <w:color w:val="auto"/>
                      <w:u w:val="none"/>
                      <w:lang w:val="en-US" w:eastAsia="zh-CN"/>
                    </w:rPr>
                    <w:t>0</w:t>
                  </w:r>
                </w:p>
              </w:tc>
              <w:tc>
                <w:tcPr>
                  <w:tcW w:w="913" w:type="dxa"/>
                  <w:noWrap w:val="0"/>
                  <w:vAlign w:val="center"/>
                </w:tcPr>
                <w:p w14:paraId="66353E92">
                  <w:pPr>
                    <w:jc w:val="center"/>
                    <w:rPr>
                      <w:rFonts w:hint="eastAsia"/>
                      <w:color w:val="auto"/>
                      <w:u w:val="none"/>
                    </w:rPr>
                  </w:pPr>
                  <w:r>
                    <w:rPr>
                      <w:rFonts w:hint="eastAsia"/>
                      <w:color w:val="auto"/>
                      <w:u w:val="none"/>
                      <w:lang w:val="en-US" w:eastAsia="zh-CN"/>
                    </w:rPr>
                    <w:t>0</w:t>
                  </w:r>
                </w:p>
              </w:tc>
              <w:tc>
                <w:tcPr>
                  <w:tcW w:w="964" w:type="dxa"/>
                  <w:tcBorders>
                    <w:right w:val="single" w:color="auto" w:sz="4" w:space="0"/>
                  </w:tcBorders>
                  <w:noWrap w:val="0"/>
                  <w:vAlign w:val="center"/>
                </w:tcPr>
                <w:p w14:paraId="271A56E2">
                  <w:pPr>
                    <w:jc w:val="center"/>
                    <w:rPr>
                      <w:rFonts w:hint="eastAsia"/>
                      <w:color w:val="auto"/>
                      <w:u w:val="none"/>
                    </w:rPr>
                  </w:pPr>
                  <w:r>
                    <w:rPr>
                      <w:rFonts w:hint="eastAsia"/>
                      <w:color w:val="auto"/>
                      <w:u w:val="none"/>
                      <w:lang w:val="en-US" w:eastAsia="zh-CN"/>
                    </w:rPr>
                    <w:t>0</w:t>
                  </w:r>
                </w:p>
              </w:tc>
            </w:tr>
          </w:tbl>
          <w:p w14:paraId="6F195A12">
            <w:pPr>
              <w:spacing w:line="500" w:lineRule="exact"/>
              <w:rPr>
                <w:rFonts w:hint="eastAsia"/>
                <w:b/>
                <w:bCs/>
                <w:sz w:val="24"/>
              </w:rPr>
            </w:pPr>
            <w:r>
              <w:rPr>
                <w:rFonts w:hint="eastAsia"/>
                <w:b/>
                <w:bCs/>
                <w:sz w:val="24"/>
              </w:rPr>
              <w:t>1</w:t>
            </w:r>
            <w:r>
              <w:rPr>
                <w:rFonts w:hint="eastAsia"/>
                <w:b/>
                <w:bCs/>
                <w:sz w:val="24"/>
                <w:lang w:val="en-US" w:eastAsia="zh-CN"/>
              </w:rPr>
              <w:t>2</w:t>
            </w:r>
            <w:r>
              <w:rPr>
                <w:rFonts w:hint="eastAsia"/>
                <w:b/>
                <w:bCs/>
                <w:sz w:val="24"/>
              </w:rPr>
              <w:t>、排污许可证申请</w:t>
            </w:r>
          </w:p>
          <w:p w14:paraId="25844559">
            <w:pPr>
              <w:pStyle w:val="6"/>
              <w:spacing w:line="500" w:lineRule="exact"/>
              <w:ind w:firstLine="48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本项目属于《固定污染源排污许可分类管理名录（2019年版）》中的“四十四、装卸搬运和仓储业 59”中的“危险品仓储 594”的“其他危险品仓储（含油品码头后方配套油库，不含储备油库）”，属于登记管理，</w:t>
            </w:r>
            <w:r>
              <w:rPr>
                <w:rFonts w:hint="eastAsia" w:ascii="Times New Roman" w:hAnsi="Times New Roman" w:eastAsia="宋体" w:cs="Times New Roman"/>
                <w:kern w:val="0"/>
                <w:sz w:val="24"/>
              </w:rPr>
              <w:t>可参照《排污许可证申请与核发技术规范 总则》（HJ 942-2018）</w:t>
            </w:r>
            <w:r>
              <w:rPr>
                <w:rFonts w:hint="eastAsia" w:ascii="Times New Roman" w:hAnsi="Times New Roman" w:eastAsia="宋体" w:cs="Times New Roman"/>
                <w:kern w:val="0"/>
                <w:sz w:val="24"/>
                <w:lang w:val="en-US" w:eastAsia="zh-CN"/>
              </w:rPr>
              <w:t>进行排污许可登记。</w:t>
            </w:r>
          </w:p>
          <w:p w14:paraId="60C311B5">
            <w:pPr>
              <w:pStyle w:val="6"/>
              <w:spacing w:line="500" w:lineRule="exact"/>
              <w:ind w:left="0" w:leftChars="0" w:firstLine="0" w:firstLineChars="0"/>
              <w:rPr>
                <w:rFonts w:hint="eastAsia"/>
                <w:spacing w:val="-1"/>
                <w:sz w:val="24"/>
                <w:lang w:val="en-US" w:eastAsia="zh-CN"/>
              </w:rPr>
            </w:pPr>
          </w:p>
          <w:p w14:paraId="338F9A49">
            <w:pPr>
              <w:pStyle w:val="6"/>
              <w:spacing w:line="500" w:lineRule="exact"/>
              <w:ind w:left="0" w:leftChars="0" w:firstLine="0" w:firstLineChars="0"/>
              <w:rPr>
                <w:rFonts w:hint="eastAsia"/>
                <w:spacing w:val="-1"/>
                <w:sz w:val="24"/>
                <w:lang w:val="en-US" w:eastAsia="zh-CN"/>
              </w:rPr>
            </w:pPr>
          </w:p>
          <w:p w14:paraId="63E8074A">
            <w:pPr>
              <w:pStyle w:val="6"/>
              <w:spacing w:line="500" w:lineRule="exact"/>
              <w:ind w:left="0" w:leftChars="0" w:firstLine="0" w:firstLineChars="0"/>
              <w:rPr>
                <w:rFonts w:hint="eastAsia"/>
                <w:spacing w:val="-1"/>
                <w:sz w:val="24"/>
                <w:lang w:val="en-US" w:eastAsia="zh-CN"/>
              </w:rPr>
            </w:pPr>
          </w:p>
          <w:p w14:paraId="6D40A4F2">
            <w:pPr>
              <w:pStyle w:val="6"/>
              <w:spacing w:line="500" w:lineRule="exact"/>
              <w:ind w:left="0" w:leftChars="0" w:firstLine="0" w:firstLineChars="0"/>
              <w:rPr>
                <w:rFonts w:hint="eastAsia"/>
                <w:spacing w:val="-1"/>
                <w:sz w:val="24"/>
                <w:lang w:val="en-US" w:eastAsia="zh-CN"/>
              </w:rPr>
            </w:pPr>
          </w:p>
          <w:p w14:paraId="7C072B0B">
            <w:pPr>
              <w:pStyle w:val="6"/>
              <w:spacing w:line="500" w:lineRule="exact"/>
              <w:ind w:left="0" w:leftChars="0" w:firstLine="0" w:firstLineChars="0"/>
              <w:rPr>
                <w:rFonts w:hint="eastAsia"/>
                <w:spacing w:val="-1"/>
                <w:sz w:val="24"/>
                <w:lang w:val="en-US" w:eastAsia="zh-CN"/>
              </w:rPr>
            </w:pPr>
          </w:p>
          <w:p w14:paraId="07966AFD">
            <w:pPr>
              <w:pStyle w:val="6"/>
              <w:spacing w:line="500" w:lineRule="exact"/>
              <w:ind w:left="0" w:leftChars="0" w:firstLine="0" w:firstLineChars="0"/>
              <w:rPr>
                <w:rFonts w:hint="eastAsia"/>
                <w:spacing w:val="-1"/>
                <w:sz w:val="24"/>
                <w:lang w:val="en-US" w:eastAsia="zh-CN"/>
              </w:rPr>
            </w:pPr>
          </w:p>
          <w:p w14:paraId="67259981">
            <w:pPr>
              <w:pStyle w:val="6"/>
              <w:spacing w:line="500" w:lineRule="exact"/>
              <w:ind w:left="0" w:leftChars="0" w:firstLine="0" w:firstLineChars="0"/>
              <w:rPr>
                <w:rFonts w:hint="eastAsia"/>
                <w:spacing w:val="-1"/>
                <w:sz w:val="24"/>
                <w:lang w:val="en-US" w:eastAsia="zh-CN"/>
              </w:rPr>
            </w:pPr>
          </w:p>
          <w:p w14:paraId="3C7DF868">
            <w:pPr>
              <w:pStyle w:val="6"/>
              <w:spacing w:line="500" w:lineRule="exact"/>
              <w:ind w:left="0" w:leftChars="0" w:firstLine="0" w:firstLineChars="0"/>
              <w:rPr>
                <w:rFonts w:hint="eastAsia"/>
                <w:spacing w:val="-1"/>
                <w:sz w:val="24"/>
                <w:lang w:val="en-US" w:eastAsia="zh-CN"/>
              </w:rPr>
            </w:pPr>
          </w:p>
          <w:p w14:paraId="29CB4E9C">
            <w:pPr>
              <w:pStyle w:val="6"/>
              <w:spacing w:line="500" w:lineRule="exact"/>
              <w:ind w:left="0" w:leftChars="0" w:firstLine="0" w:firstLineChars="0"/>
              <w:rPr>
                <w:rFonts w:hint="eastAsia"/>
                <w:spacing w:val="-1"/>
                <w:sz w:val="24"/>
                <w:lang w:val="en-US" w:eastAsia="zh-CN"/>
              </w:rPr>
            </w:pPr>
          </w:p>
          <w:p w14:paraId="5E0151C3">
            <w:pPr>
              <w:pStyle w:val="6"/>
              <w:spacing w:line="500" w:lineRule="exact"/>
              <w:ind w:left="0" w:leftChars="0" w:firstLine="0" w:firstLineChars="0"/>
              <w:rPr>
                <w:rFonts w:hint="eastAsia"/>
                <w:spacing w:val="-1"/>
                <w:sz w:val="24"/>
                <w:lang w:val="en-US" w:eastAsia="zh-CN"/>
              </w:rPr>
            </w:pPr>
          </w:p>
          <w:p w14:paraId="7EA69C78">
            <w:pPr>
              <w:pStyle w:val="6"/>
              <w:spacing w:line="500" w:lineRule="exact"/>
              <w:ind w:left="0" w:leftChars="0" w:firstLine="0" w:firstLineChars="0"/>
              <w:rPr>
                <w:rFonts w:hint="eastAsia"/>
                <w:spacing w:val="-1"/>
                <w:sz w:val="24"/>
                <w:lang w:val="en-US" w:eastAsia="zh-CN"/>
              </w:rPr>
            </w:pPr>
          </w:p>
          <w:p w14:paraId="13984200">
            <w:pPr>
              <w:pStyle w:val="6"/>
              <w:spacing w:line="500" w:lineRule="exact"/>
              <w:ind w:left="0" w:leftChars="0" w:firstLine="0" w:firstLineChars="0"/>
              <w:rPr>
                <w:rFonts w:hint="eastAsia"/>
                <w:spacing w:val="-1"/>
                <w:sz w:val="24"/>
                <w:lang w:val="en-US" w:eastAsia="zh-CN"/>
              </w:rPr>
            </w:pPr>
          </w:p>
          <w:p w14:paraId="1D9275D5">
            <w:pPr>
              <w:pStyle w:val="6"/>
              <w:spacing w:line="500" w:lineRule="exact"/>
              <w:ind w:left="0" w:leftChars="0" w:firstLine="0" w:firstLineChars="0"/>
              <w:rPr>
                <w:rFonts w:hint="eastAsia"/>
                <w:spacing w:val="-1"/>
                <w:sz w:val="24"/>
                <w:lang w:val="en-US" w:eastAsia="zh-CN"/>
              </w:rPr>
            </w:pPr>
          </w:p>
          <w:p w14:paraId="7102CD43">
            <w:pPr>
              <w:pStyle w:val="6"/>
              <w:spacing w:line="500" w:lineRule="exact"/>
              <w:ind w:left="0" w:leftChars="0" w:firstLine="0" w:firstLineChars="0"/>
              <w:rPr>
                <w:rFonts w:hint="eastAsia"/>
                <w:spacing w:val="-1"/>
                <w:sz w:val="24"/>
                <w:lang w:val="en-US" w:eastAsia="zh-CN"/>
              </w:rPr>
            </w:pPr>
          </w:p>
          <w:p w14:paraId="584A2B58">
            <w:pPr>
              <w:pStyle w:val="6"/>
              <w:spacing w:line="500" w:lineRule="exact"/>
              <w:ind w:left="0" w:leftChars="0" w:firstLine="0" w:firstLineChars="0"/>
              <w:rPr>
                <w:rFonts w:hint="eastAsia"/>
                <w:spacing w:val="-1"/>
                <w:sz w:val="24"/>
                <w:lang w:val="en-US" w:eastAsia="zh-CN"/>
              </w:rPr>
            </w:pPr>
          </w:p>
          <w:p w14:paraId="44963295">
            <w:pPr>
              <w:pStyle w:val="6"/>
              <w:spacing w:line="500" w:lineRule="exact"/>
              <w:ind w:left="0" w:leftChars="0" w:firstLine="0" w:firstLineChars="0"/>
              <w:rPr>
                <w:rFonts w:hint="eastAsia"/>
                <w:spacing w:val="-1"/>
                <w:sz w:val="24"/>
                <w:lang w:val="en-US" w:eastAsia="zh-CN"/>
              </w:rPr>
            </w:pPr>
          </w:p>
          <w:p w14:paraId="15E7DBCE">
            <w:pPr>
              <w:pStyle w:val="6"/>
              <w:spacing w:line="500" w:lineRule="exact"/>
              <w:ind w:left="0" w:leftChars="0" w:firstLine="0" w:firstLineChars="0"/>
              <w:rPr>
                <w:rFonts w:hint="eastAsia"/>
                <w:spacing w:val="-1"/>
                <w:sz w:val="24"/>
                <w:lang w:val="en-US" w:eastAsia="zh-CN"/>
              </w:rPr>
            </w:pPr>
          </w:p>
          <w:p w14:paraId="71398F91">
            <w:pPr>
              <w:pStyle w:val="6"/>
              <w:spacing w:line="500" w:lineRule="exact"/>
              <w:ind w:left="0" w:leftChars="0" w:firstLine="0" w:firstLineChars="0"/>
              <w:rPr>
                <w:rFonts w:hint="eastAsia"/>
                <w:spacing w:val="-1"/>
                <w:sz w:val="24"/>
                <w:lang w:val="en-US" w:eastAsia="zh-CN"/>
              </w:rPr>
            </w:pPr>
          </w:p>
          <w:p w14:paraId="27C78BFB">
            <w:pPr>
              <w:pStyle w:val="6"/>
              <w:spacing w:line="500" w:lineRule="exact"/>
              <w:ind w:left="0" w:leftChars="0" w:firstLine="0" w:firstLineChars="0"/>
              <w:rPr>
                <w:rFonts w:hint="eastAsia"/>
                <w:spacing w:val="-1"/>
                <w:sz w:val="24"/>
                <w:lang w:val="en-US" w:eastAsia="zh-CN"/>
              </w:rPr>
            </w:pPr>
          </w:p>
          <w:p w14:paraId="61B0F78C">
            <w:pPr>
              <w:pStyle w:val="6"/>
              <w:spacing w:line="500" w:lineRule="exact"/>
              <w:ind w:left="0" w:leftChars="0" w:firstLine="0" w:firstLineChars="0"/>
              <w:rPr>
                <w:rFonts w:hint="eastAsia"/>
                <w:spacing w:val="-1"/>
                <w:sz w:val="24"/>
                <w:lang w:val="en-US" w:eastAsia="zh-CN"/>
              </w:rPr>
            </w:pPr>
          </w:p>
          <w:p w14:paraId="710B84B9">
            <w:pPr>
              <w:pStyle w:val="6"/>
              <w:spacing w:line="500" w:lineRule="exact"/>
              <w:ind w:left="0" w:leftChars="0" w:firstLine="0" w:firstLineChars="0"/>
              <w:rPr>
                <w:rFonts w:hint="default" w:eastAsia="宋体"/>
                <w:spacing w:val="-1"/>
                <w:sz w:val="24"/>
                <w:lang w:val="en-US" w:eastAsia="zh-CN"/>
              </w:rPr>
            </w:pPr>
          </w:p>
        </w:tc>
      </w:tr>
    </w:tbl>
    <w:p w14:paraId="3AFD6742">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29CAD4F">
      <w:pPr>
        <w:pStyle w:val="17"/>
        <w:jc w:val="center"/>
        <w:outlineLvl w:val="0"/>
        <w:rPr>
          <w:rFonts w:ascii="黑体" w:hAnsi="黑体" w:eastAsia="黑体"/>
          <w:snapToGrid w:val="0"/>
          <w:sz w:val="30"/>
          <w:szCs w:val="30"/>
        </w:rPr>
      </w:pPr>
      <w:bookmarkStart w:id="25" w:name="_Toc13178"/>
      <w:bookmarkStart w:id="26" w:name="_Toc11090"/>
      <w:r>
        <w:rPr>
          <w:rFonts w:hint="eastAsia" w:ascii="黑体" w:hAnsi="黑体" w:eastAsia="黑体"/>
          <w:snapToGrid w:val="0"/>
          <w:sz w:val="30"/>
          <w:szCs w:val="30"/>
        </w:rPr>
        <w:t>五、</w:t>
      </w:r>
      <w:bookmarkStart w:id="27" w:name="_Hlk54167917"/>
      <w:r>
        <w:rPr>
          <w:rFonts w:hint="eastAsia" w:ascii="黑体" w:hAnsi="黑体" w:eastAsia="黑体"/>
          <w:snapToGrid w:val="0"/>
          <w:sz w:val="30"/>
          <w:szCs w:val="30"/>
        </w:rPr>
        <w:t>环境保护措施监督检查清单</w:t>
      </w:r>
      <w:bookmarkEnd w:id="25"/>
      <w:bookmarkEnd w:id="26"/>
      <w:bookmarkEnd w:id="27"/>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475"/>
        <w:gridCol w:w="1740"/>
        <w:gridCol w:w="1545"/>
        <w:gridCol w:w="2262"/>
      </w:tblGrid>
      <w:tr w14:paraId="638B8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14:paraId="64762E31">
            <w:pPr>
              <w:adjustRightInd w:val="0"/>
              <w:snapToGrid w:val="0"/>
              <w:ind w:firstLine="840"/>
              <w:rPr>
                <w:szCs w:val="21"/>
              </w:rPr>
            </w:pPr>
            <w:r>
              <w:rPr>
                <w:szCs w:val="21"/>
              </w:rPr>
              <w:t>内容</w:t>
            </w:r>
          </w:p>
          <w:p w14:paraId="63851815">
            <w:pPr>
              <w:adjustRightInd w:val="0"/>
              <w:snapToGrid w:val="0"/>
              <w:rPr>
                <w:szCs w:val="21"/>
              </w:rPr>
            </w:pPr>
            <w:r>
              <w:rPr>
                <w:szCs w:val="21"/>
              </w:rPr>
              <w:t>要素</w:t>
            </w:r>
          </w:p>
        </w:tc>
        <w:tc>
          <w:tcPr>
            <w:tcW w:w="1475" w:type="dxa"/>
            <w:noWrap w:val="0"/>
            <w:vAlign w:val="center"/>
          </w:tcPr>
          <w:p w14:paraId="23CABA1B">
            <w:pPr>
              <w:adjustRightInd w:val="0"/>
              <w:snapToGrid w:val="0"/>
              <w:jc w:val="center"/>
              <w:rPr>
                <w:szCs w:val="21"/>
              </w:rPr>
            </w:pPr>
            <w:r>
              <w:rPr>
                <w:szCs w:val="21"/>
              </w:rPr>
              <w:t>排放口</w:t>
            </w:r>
            <w:r>
              <w:rPr>
                <w:rFonts w:hint="eastAsia"/>
                <w:szCs w:val="21"/>
                <w:lang w:eastAsia="zh-CN"/>
              </w:rPr>
              <w:t>（</w:t>
            </w:r>
            <w:r>
              <w:rPr>
                <w:szCs w:val="21"/>
              </w:rPr>
              <w:t>编号、</w:t>
            </w:r>
          </w:p>
          <w:p w14:paraId="479DDAFD">
            <w:pPr>
              <w:adjustRightInd w:val="0"/>
              <w:snapToGrid w:val="0"/>
              <w:jc w:val="center"/>
              <w:rPr>
                <w:szCs w:val="21"/>
              </w:rPr>
            </w:pPr>
            <w:r>
              <w:rPr>
                <w:szCs w:val="21"/>
              </w:rPr>
              <w:t>名称</w:t>
            </w:r>
            <w:r>
              <w:rPr>
                <w:rFonts w:hint="eastAsia"/>
                <w:szCs w:val="21"/>
                <w:lang w:eastAsia="zh-CN"/>
              </w:rPr>
              <w:t>）</w:t>
            </w:r>
            <w:r>
              <w:rPr>
                <w:szCs w:val="21"/>
              </w:rPr>
              <w:t>/污染源</w:t>
            </w:r>
          </w:p>
        </w:tc>
        <w:tc>
          <w:tcPr>
            <w:tcW w:w="1740" w:type="dxa"/>
            <w:noWrap w:val="0"/>
            <w:vAlign w:val="center"/>
          </w:tcPr>
          <w:p w14:paraId="52709FD6">
            <w:pPr>
              <w:adjustRightInd w:val="0"/>
              <w:snapToGrid w:val="0"/>
              <w:jc w:val="center"/>
              <w:rPr>
                <w:szCs w:val="21"/>
              </w:rPr>
            </w:pPr>
            <w:r>
              <w:rPr>
                <w:szCs w:val="21"/>
              </w:rPr>
              <w:t>污染物项目</w:t>
            </w:r>
          </w:p>
        </w:tc>
        <w:tc>
          <w:tcPr>
            <w:tcW w:w="1545" w:type="dxa"/>
            <w:noWrap w:val="0"/>
            <w:vAlign w:val="center"/>
          </w:tcPr>
          <w:p w14:paraId="22DF109D">
            <w:pPr>
              <w:adjustRightInd w:val="0"/>
              <w:snapToGrid w:val="0"/>
              <w:jc w:val="center"/>
              <w:rPr>
                <w:szCs w:val="21"/>
              </w:rPr>
            </w:pPr>
            <w:r>
              <w:rPr>
                <w:szCs w:val="21"/>
              </w:rPr>
              <w:t>环境保护措施</w:t>
            </w:r>
          </w:p>
        </w:tc>
        <w:tc>
          <w:tcPr>
            <w:tcW w:w="2262" w:type="dxa"/>
            <w:noWrap w:val="0"/>
            <w:vAlign w:val="center"/>
          </w:tcPr>
          <w:p w14:paraId="3B859769">
            <w:pPr>
              <w:adjustRightInd w:val="0"/>
              <w:snapToGrid w:val="0"/>
              <w:jc w:val="center"/>
              <w:rPr>
                <w:szCs w:val="21"/>
              </w:rPr>
            </w:pPr>
            <w:r>
              <w:rPr>
                <w:szCs w:val="21"/>
              </w:rPr>
              <w:t>执行标准</w:t>
            </w:r>
          </w:p>
        </w:tc>
      </w:tr>
      <w:tr w14:paraId="232A9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14:paraId="125D9C3E">
            <w:pPr>
              <w:adjustRightInd w:val="0"/>
              <w:snapToGrid w:val="0"/>
              <w:jc w:val="center"/>
              <w:rPr>
                <w:szCs w:val="21"/>
              </w:rPr>
            </w:pPr>
            <w:r>
              <w:rPr>
                <w:szCs w:val="21"/>
              </w:rPr>
              <w:t>大气环境</w:t>
            </w:r>
          </w:p>
        </w:tc>
        <w:tc>
          <w:tcPr>
            <w:tcW w:w="1475" w:type="dxa"/>
            <w:noWrap w:val="0"/>
            <w:vAlign w:val="center"/>
          </w:tcPr>
          <w:p w14:paraId="65EE484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汽车尾气</w:t>
            </w:r>
          </w:p>
        </w:tc>
        <w:tc>
          <w:tcPr>
            <w:tcW w:w="1740" w:type="dxa"/>
            <w:noWrap w:val="0"/>
            <w:vAlign w:val="center"/>
          </w:tcPr>
          <w:p w14:paraId="6E73E1F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CO、NOx</w:t>
            </w:r>
          </w:p>
        </w:tc>
        <w:tc>
          <w:tcPr>
            <w:tcW w:w="1545" w:type="dxa"/>
            <w:noWrap w:val="0"/>
            <w:vAlign w:val="center"/>
          </w:tcPr>
          <w:p w14:paraId="5383E082">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u w:val="none"/>
                <w:lang w:val="en-US" w:eastAsia="zh-CN"/>
              </w:rPr>
              <w:t>无</w:t>
            </w:r>
          </w:p>
        </w:tc>
        <w:tc>
          <w:tcPr>
            <w:tcW w:w="2262" w:type="dxa"/>
            <w:vMerge w:val="restart"/>
            <w:noWrap w:val="0"/>
            <w:vAlign w:val="center"/>
          </w:tcPr>
          <w:p w14:paraId="7C57456B">
            <w:pPr>
              <w:adjustRightInd w:val="0"/>
              <w:snapToGrid w:val="0"/>
              <w:jc w:val="center"/>
              <w:rPr>
                <w:rFonts w:hint="eastAsia" w:ascii="Times New Roman" w:hAnsi="Times New Roman" w:eastAsia="宋体" w:cs="Times New Roman"/>
                <w:color w:val="auto"/>
                <w:szCs w:val="21"/>
                <w:u w:val="none"/>
              </w:rPr>
            </w:pPr>
            <w:r>
              <w:rPr>
                <w:rFonts w:hint="eastAsia" w:ascii="Times New Roman" w:hAnsi="Times New Roman" w:eastAsia="宋体" w:cs="Times New Roman"/>
                <w:color w:val="auto"/>
                <w:szCs w:val="21"/>
                <w:u w:val="none"/>
              </w:rPr>
              <w:t>《大气污染物综合排放标准》（GB16297-1996）</w:t>
            </w:r>
          </w:p>
        </w:tc>
      </w:tr>
      <w:tr w14:paraId="2D404B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359184A9">
            <w:pPr>
              <w:adjustRightInd w:val="0"/>
              <w:snapToGrid w:val="0"/>
              <w:jc w:val="center"/>
              <w:rPr>
                <w:szCs w:val="21"/>
              </w:rPr>
            </w:pPr>
          </w:p>
        </w:tc>
        <w:tc>
          <w:tcPr>
            <w:tcW w:w="1475" w:type="dxa"/>
            <w:noWrap w:val="0"/>
            <w:vAlign w:val="center"/>
          </w:tcPr>
          <w:p w14:paraId="4660A72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运输扬尘</w:t>
            </w:r>
          </w:p>
        </w:tc>
        <w:tc>
          <w:tcPr>
            <w:tcW w:w="1740" w:type="dxa"/>
            <w:noWrap w:val="0"/>
            <w:vAlign w:val="center"/>
          </w:tcPr>
          <w:p w14:paraId="11B271A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1545" w:type="dxa"/>
            <w:noWrap w:val="0"/>
            <w:vAlign w:val="center"/>
          </w:tcPr>
          <w:p w14:paraId="6A5A0C23">
            <w:pPr>
              <w:adjustRightInd w:val="0"/>
              <w:snapToGrid w:val="0"/>
              <w:jc w:val="center"/>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none"/>
                <w:lang w:val="en-US" w:eastAsia="zh-CN"/>
              </w:rPr>
              <w:t>洒水降尘</w:t>
            </w:r>
          </w:p>
        </w:tc>
        <w:tc>
          <w:tcPr>
            <w:tcW w:w="2262" w:type="dxa"/>
            <w:vMerge w:val="continue"/>
            <w:noWrap w:val="0"/>
            <w:vAlign w:val="center"/>
          </w:tcPr>
          <w:p w14:paraId="7EC30B6B">
            <w:pPr>
              <w:adjustRightInd w:val="0"/>
              <w:snapToGrid w:val="0"/>
              <w:jc w:val="center"/>
              <w:rPr>
                <w:rFonts w:hint="eastAsia" w:ascii="Times New Roman" w:hAnsi="Times New Roman" w:eastAsia="宋体" w:cs="Times New Roman"/>
                <w:color w:val="auto"/>
                <w:szCs w:val="21"/>
                <w:u w:val="none"/>
              </w:rPr>
            </w:pPr>
          </w:p>
        </w:tc>
      </w:tr>
      <w:tr w14:paraId="230E0C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15906CA3">
            <w:pPr>
              <w:adjustRightInd w:val="0"/>
              <w:snapToGrid w:val="0"/>
              <w:jc w:val="center"/>
              <w:rPr>
                <w:szCs w:val="21"/>
              </w:rPr>
            </w:pPr>
            <w:r>
              <w:rPr>
                <w:szCs w:val="21"/>
              </w:rPr>
              <w:t>地表水环境</w:t>
            </w:r>
          </w:p>
        </w:tc>
        <w:tc>
          <w:tcPr>
            <w:tcW w:w="1475" w:type="dxa"/>
            <w:noWrap w:val="0"/>
            <w:vAlign w:val="center"/>
          </w:tcPr>
          <w:p w14:paraId="69AA272B">
            <w:pPr>
              <w:adjustRightInd w:val="0"/>
              <w:snapToGrid w:val="0"/>
              <w:jc w:val="center"/>
              <w:rPr>
                <w:color w:val="auto"/>
                <w:szCs w:val="21"/>
              </w:rPr>
            </w:pPr>
            <w:r>
              <w:rPr>
                <w:rFonts w:hint="eastAsia"/>
                <w:color w:val="auto"/>
                <w:szCs w:val="21"/>
                <w:lang w:val="en-US" w:eastAsia="zh-CN"/>
              </w:rPr>
              <w:t>初期雨水</w:t>
            </w:r>
          </w:p>
        </w:tc>
        <w:tc>
          <w:tcPr>
            <w:tcW w:w="1740" w:type="dxa"/>
            <w:noWrap w:val="0"/>
            <w:vAlign w:val="center"/>
          </w:tcPr>
          <w:p w14:paraId="7F221E14">
            <w:pPr>
              <w:adjustRightInd w:val="0"/>
              <w:snapToGrid w:val="0"/>
              <w:jc w:val="center"/>
              <w:rPr>
                <w:rFonts w:hint="eastAsia"/>
                <w:color w:val="auto"/>
                <w:szCs w:val="21"/>
              </w:rPr>
            </w:pPr>
            <w:r>
              <w:rPr>
                <w:rFonts w:hint="eastAsia"/>
                <w:color w:val="auto"/>
                <w:szCs w:val="21"/>
                <w:lang w:val="en-US" w:eastAsia="zh-CN"/>
              </w:rPr>
              <w:t>COD、SS</w:t>
            </w:r>
          </w:p>
        </w:tc>
        <w:tc>
          <w:tcPr>
            <w:tcW w:w="1545" w:type="dxa"/>
            <w:noWrap w:val="0"/>
            <w:vAlign w:val="center"/>
          </w:tcPr>
          <w:p w14:paraId="74866B8E">
            <w:pPr>
              <w:adjustRightInd w:val="0"/>
              <w:snapToGrid w:val="0"/>
              <w:jc w:val="center"/>
              <w:rPr>
                <w:color w:val="auto"/>
                <w:szCs w:val="21"/>
              </w:rPr>
            </w:pPr>
            <w:r>
              <w:rPr>
                <w:rFonts w:hint="eastAsia"/>
                <w:color w:val="auto"/>
                <w:szCs w:val="21"/>
                <w:lang w:val="en-US" w:eastAsia="zh-CN"/>
              </w:rPr>
              <w:t>初期雨水收集池收集后排至园区污水管网</w:t>
            </w:r>
          </w:p>
        </w:tc>
        <w:tc>
          <w:tcPr>
            <w:tcW w:w="2262" w:type="dxa"/>
            <w:noWrap w:val="0"/>
            <w:vAlign w:val="center"/>
          </w:tcPr>
          <w:p w14:paraId="581F1BA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钦州港工业污水集中处理厂</w:t>
            </w:r>
            <w:r>
              <w:rPr>
                <w:rFonts w:hint="eastAsia" w:ascii="Times New Roman" w:hAnsi="Times New Roman" w:eastAsia="宋体" w:cs="Times New Roman"/>
                <w:color w:val="auto"/>
                <w:szCs w:val="21"/>
                <w:lang w:val="en-US" w:eastAsia="zh-CN"/>
              </w:rPr>
              <w:t>进水水质</w:t>
            </w:r>
            <w:r>
              <w:rPr>
                <w:rFonts w:hint="eastAsia" w:cs="Times New Roman"/>
                <w:color w:val="auto"/>
                <w:szCs w:val="21"/>
                <w:lang w:val="en-US" w:eastAsia="zh-CN"/>
              </w:rPr>
              <w:t>要求</w:t>
            </w:r>
          </w:p>
        </w:tc>
      </w:tr>
      <w:tr w14:paraId="5D26EA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35B3ED2E">
            <w:pPr>
              <w:adjustRightInd w:val="0"/>
              <w:snapToGrid w:val="0"/>
              <w:jc w:val="center"/>
              <w:rPr>
                <w:szCs w:val="21"/>
              </w:rPr>
            </w:pPr>
            <w:r>
              <w:rPr>
                <w:szCs w:val="21"/>
              </w:rPr>
              <w:t>声环境</w:t>
            </w:r>
          </w:p>
        </w:tc>
        <w:tc>
          <w:tcPr>
            <w:tcW w:w="1475" w:type="dxa"/>
            <w:noWrap w:val="0"/>
            <w:vAlign w:val="center"/>
          </w:tcPr>
          <w:p w14:paraId="3EF1C430">
            <w:pPr>
              <w:adjustRightInd w:val="0"/>
              <w:snapToGrid w:val="0"/>
              <w:jc w:val="center"/>
              <w:rPr>
                <w:rFonts w:hint="eastAsia"/>
                <w:color w:val="auto"/>
                <w:szCs w:val="21"/>
              </w:rPr>
            </w:pPr>
            <w:r>
              <w:rPr>
                <w:rFonts w:hint="eastAsia"/>
                <w:color w:val="auto"/>
                <w:szCs w:val="21"/>
              </w:rPr>
              <w:t>厂界外</w:t>
            </w:r>
          </w:p>
        </w:tc>
        <w:tc>
          <w:tcPr>
            <w:tcW w:w="1740" w:type="dxa"/>
            <w:noWrap w:val="0"/>
            <w:vAlign w:val="center"/>
          </w:tcPr>
          <w:p w14:paraId="68809283">
            <w:pPr>
              <w:adjustRightInd w:val="0"/>
              <w:snapToGrid w:val="0"/>
              <w:jc w:val="center"/>
              <w:rPr>
                <w:rFonts w:hint="eastAsia"/>
                <w:color w:val="auto"/>
                <w:szCs w:val="21"/>
              </w:rPr>
            </w:pPr>
            <w:r>
              <w:rPr>
                <w:rFonts w:hint="eastAsia"/>
                <w:color w:val="auto"/>
                <w:szCs w:val="21"/>
              </w:rPr>
              <w:t>等效声级</w:t>
            </w:r>
          </w:p>
          <w:p w14:paraId="317F86E7">
            <w:pPr>
              <w:adjustRightInd w:val="0"/>
              <w:snapToGrid w:val="0"/>
              <w:jc w:val="center"/>
              <w:rPr>
                <w:color w:val="auto"/>
                <w:szCs w:val="21"/>
              </w:rPr>
            </w:pPr>
            <w:r>
              <w:rPr>
                <w:rFonts w:hint="eastAsia"/>
                <w:color w:val="auto"/>
                <w:szCs w:val="21"/>
              </w:rPr>
              <w:t>dB(A)</w:t>
            </w:r>
          </w:p>
        </w:tc>
        <w:tc>
          <w:tcPr>
            <w:tcW w:w="1545" w:type="dxa"/>
            <w:noWrap w:val="0"/>
            <w:vAlign w:val="center"/>
          </w:tcPr>
          <w:p w14:paraId="7FEBA191">
            <w:pPr>
              <w:adjustRightInd w:val="0"/>
              <w:snapToGrid w:val="0"/>
              <w:jc w:val="center"/>
              <w:rPr>
                <w:color w:val="auto"/>
                <w:szCs w:val="21"/>
              </w:rPr>
            </w:pPr>
            <w:r>
              <w:rPr>
                <w:color w:val="auto"/>
                <w:szCs w:val="21"/>
              </w:rPr>
              <w:t>选用高效低噪声设备</w:t>
            </w:r>
          </w:p>
        </w:tc>
        <w:tc>
          <w:tcPr>
            <w:tcW w:w="2262" w:type="dxa"/>
            <w:noWrap w:val="0"/>
            <w:vAlign w:val="center"/>
          </w:tcPr>
          <w:p w14:paraId="488E1C79">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《工业企业厂界环境噪声排放标准》（GB12348-2008）中3</w:t>
            </w:r>
            <w:r>
              <w:rPr>
                <w:rFonts w:hint="eastAsia" w:ascii="Times New Roman" w:hAnsi="Times New Roman" w:eastAsia="宋体" w:cs="Times New Roman"/>
                <w:color w:val="auto"/>
                <w:szCs w:val="21"/>
                <w:highlight w:val="none"/>
              </w:rPr>
              <w:t>类</w:t>
            </w:r>
            <w:r>
              <w:rPr>
                <w:rFonts w:hint="eastAsia" w:ascii="Times New Roman" w:hAnsi="Times New Roman" w:eastAsia="宋体" w:cs="Times New Roman"/>
                <w:color w:val="auto"/>
                <w:szCs w:val="21"/>
              </w:rPr>
              <w:t>排放标准</w:t>
            </w:r>
          </w:p>
        </w:tc>
      </w:tr>
      <w:tr w14:paraId="66146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7D886827">
            <w:pPr>
              <w:adjustRightInd w:val="0"/>
              <w:snapToGrid w:val="0"/>
              <w:jc w:val="center"/>
              <w:rPr>
                <w:szCs w:val="21"/>
              </w:rPr>
            </w:pPr>
            <w:r>
              <w:rPr>
                <w:szCs w:val="21"/>
              </w:rPr>
              <w:t>电磁辐射</w:t>
            </w:r>
          </w:p>
        </w:tc>
        <w:tc>
          <w:tcPr>
            <w:tcW w:w="1475" w:type="dxa"/>
            <w:noWrap w:val="0"/>
            <w:vAlign w:val="center"/>
          </w:tcPr>
          <w:p w14:paraId="09455C9E">
            <w:pPr>
              <w:adjustRightInd w:val="0"/>
              <w:snapToGrid w:val="0"/>
              <w:jc w:val="center"/>
              <w:rPr>
                <w:color w:val="auto"/>
                <w:szCs w:val="21"/>
              </w:rPr>
            </w:pPr>
            <w:r>
              <w:rPr>
                <w:color w:val="auto"/>
                <w:szCs w:val="21"/>
              </w:rPr>
              <w:t>/</w:t>
            </w:r>
          </w:p>
        </w:tc>
        <w:tc>
          <w:tcPr>
            <w:tcW w:w="1740" w:type="dxa"/>
            <w:noWrap w:val="0"/>
            <w:vAlign w:val="center"/>
          </w:tcPr>
          <w:p w14:paraId="3C6E96EB">
            <w:pPr>
              <w:adjustRightInd w:val="0"/>
              <w:snapToGrid w:val="0"/>
              <w:jc w:val="center"/>
              <w:rPr>
                <w:color w:val="auto"/>
                <w:szCs w:val="21"/>
              </w:rPr>
            </w:pPr>
            <w:r>
              <w:rPr>
                <w:color w:val="auto"/>
                <w:szCs w:val="21"/>
              </w:rPr>
              <w:t>/</w:t>
            </w:r>
          </w:p>
        </w:tc>
        <w:tc>
          <w:tcPr>
            <w:tcW w:w="1545" w:type="dxa"/>
            <w:noWrap w:val="0"/>
            <w:vAlign w:val="center"/>
          </w:tcPr>
          <w:p w14:paraId="118969F5">
            <w:pPr>
              <w:adjustRightInd w:val="0"/>
              <w:snapToGrid w:val="0"/>
              <w:jc w:val="center"/>
              <w:rPr>
                <w:color w:val="auto"/>
                <w:szCs w:val="21"/>
              </w:rPr>
            </w:pPr>
            <w:r>
              <w:rPr>
                <w:color w:val="auto"/>
                <w:szCs w:val="21"/>
              </w:rPr>
              <w:t>/</w:t>
            </w:r>
          </w:p>
        </w:tc>
        <w:tc>
          <w:tcPr>
            <w:tcW w:w="2262" w:type="dxa"/>
            <w:noWrap w:val="0"/>
            <w:vAlign w:val="center"/>
          </w:tcPr>
          <w:p w14:paraId="3985BEBF">
            <w:pPr>
              <w:adjustRightInd w:val="0"/>
              <w:snapToGrid w:val="0"/>
              <w:jc w:val="center"/>
              <w:rPr>
                <w:color w:val="auto"/>
                <w:szCs w:val="21"/>
              </w:rPr>
            </w:pPr>
            <w:r>
              <w:rPr>
                <w:color w:val="auto"/>
                <w:szCs w:val="21"/>
              </w:rPr>
              <w:t>/</w:t>
            </w:r>
          </w:p>
        </w:tc>
      </w:tr>
      <w:tr w14:paraId="7EB5C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1778" w:type="dxa"/>
            <w:noWrap w:val="0"/>
            <w:vAlign w:val="center"/>
          </w:tcPr>
          <w:p w14:paraId="7C41FD78">
            <w:pPr>
              <w:adjustRightInd w:val="0"/>
              <w:snapToGrid w:val="0"/>
              <w:jc w:val="center"/>
              <w:rPr>
                <w:color w:val="auto"/>
                <w:szCs w:val="21"/>
              </w:rPr>
            </w:pPr>
            <w:r>
              <w:rPr>
                <w:color w:val="auto"/>
                <w:szCs w:val="21"/>
              </w:rPr>
              <w:t>固体废物</w:t>
            </w:r>
          </w:p>
        </w:tc>
        <w:tc>
          <w:tcPr>
            <w:tcW w:w="7022" w:type="dxa"/>
            <w:gridSpan w:val="4"/>
            <w:noWrap w:val="0"/>
            <w:vAlign w:val="center"/>
          </w:tcPr>
          <w:p w14:paraId="14D34676">
            <w:pPr>
              <w:adjustRightInd w:val="0"/>
              <w:snapToGrid w:val="0"/>
              <w:rPr>
                <w:rFonts w:hint="eastAsia"/>
                <w:color w:val="auto"/>
                <w:szCs w:val="21"/>
              </w:rPr>
            </w:pPr>
            <w:r>
              <w:rPr>
                <w:rFonts w:hint="eastAsia"/>
                <w:color w:val="auto"/>
                <w:szCs w:val="21"/>
                <w:u w:val="none"/>
                <w:lang w:val="en-US" w:eastAsia="zh-CN"/>
              </w:rPr>
              <w:t>废包装袋/桶经鉴定属于危险废物的，</w:t>
            </w:r>
            <w:r>
              <w:rPr>
                <w:rFonts w:hint="eastAsia"/>
                <w:color w:val="auto"/>
                <w:szCs w:val="21"/>
                <w:u w:val="none"/>
              </w:rPr>
              <w:t>暂存</w:t>
            </w:r>
            <w:r>
              <w:rPr>
                <w:rFonts w:hint="eastAsia"/>
                <w:color w:val="auto"/>
                <w:szCs w:val="21"/>
                <w:u w:val="none"/>
                <w:lang w:eastAsia="zh-CN"/>
              </w:rPr>
              <w:t>危险废物暂存间</w:t>
            </w:r>
            <w:r>
              <w:rPr>
                <w:rFonts w:hint="eastAsia"/>
                <w:color w:val="auto"/>
                <w:szCs w:val="21"/>
                <w:u w:val="none"/>
              </w:rPr>
              <w:t>，定期委托有相关资质单位处置</w:t>
            </w:r>
            <w:r>
              <w:rPr>
                <w:rFonts w:hint="eastAsia"/>
                <w:color w:val="auto"/>
                <w:szCs w:val="21"/>
                <w:u w:val="none"/>
                <w:lang w:eastAsia="zh-CN"/>
              </w:rPr>
              <w:t>，</w:t>
            </w:r>
            <w:r>
              <w:rPr>
                <w:rFonts w:hint="eastAsia"/>
                <w:color w:val="auto"/>
                <w:szCs w:val="21"/>
                <w:u w:val="none"/>
                <w:lang w:val="en-US" w:eastAsia="zh-CN"/>
              </w:rPr>
              <w:t>经鉴定不属于危险废物的，外售一般固废单位处置</w:t>
            </w:r>
            <w:r>
              <w:rPr>
                <w:rFonts w:hint="eastAsia"/>
                <w:color w:val="auto"/>
                <w:szCs w:val="21"/>
                <w:u w:val="none"/>
              </w:rPr>
              <w:t>。</w:t>
            </w:r>
          </w:p>
        </w:tc>
      </w:tr>
      <w:tr w14:paraId="7165C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124BEE5A">
            <w:pPr>
              <w:adjustRightInd w:val="0"/>
              <w:snapToGrid w:val="0"/>
              <w:jc w:val="center"/>
              <w:rPr>
                <w:color w:val="auto"/>
                <w:szCs w:val="21"/>
              </w:rPr>
            </w:pPr>
            <w:r>
              <w:rPr>
                <w:color w:val="auto"/>
                <w:szCs w:val="21"/>
              </w:rPr>
              <w:t>土壤及地下水</w:t>
            </w:r>
          </w:p>
          <w:p w14:paraId="3721D520">
            <w:pPr>
              <w:adjustRightInd w:val="0"/>
              <w:snapToGrid w:val="0"/>
              <w:jc w:val="center"/>
              <w:rPr>
                <w:color w:val="auto"/>
                <w:szCs w:val="21"/>
              </w:rPr>
            </w:pPr>
            <w:r>
              <w:rPr>
                <w:color w:val="auto"/>
                <w:szCs w:val="21"/>
              </w:rPr>
              <w:t>污染防治措施</w:t>
            </w:r>
          </w:p>
        </w:tc>
        <w:tc>
          <w:tcPr>
            <w:tcW w:w="7022" w:type="dxa"/>
            <w:gridSpan w:val="4"/>
            <w:noWrap w:val="0"/>
            <w:vAlign w:val="center"/>
          </w:tcPr>
          <w:p w14:paraId="751C3E00">
            <w:pPr>
              <w:adjustRightInd w:val="0"/>
              <w:snapToGrid w:val="0"/>
              <w:jc w:val="left"/>
              <w:rPr>
                <w:rFonts w:hint="eastAsia"/>
                <w:color w:val="auto"/>
                <w:szCs w:val="21"/>
              </w:rPr>
            </w:pPr>
            <w:r>
              <w:rPr>
                <w:rFonts w:hint="eastAsia" w:hAnsi="宋体"/>
                <w:color w:val="auto"/>
                <w:szCs w:val="21"/>
                <w:lang w:val="en-US" w:eastAsia="zh-CN"/>
              </w:rPr>
              <w:t>2号仓库、4号仓库、5号仓库、危险品集装箱拆装棚地面</w:t>
            </w:r>
            <w:r>
              <w:rPr>
                <w:rFonts w:hint="eastAsia" w:hAnsi="宋体"/>
                <w:color w:val="auto"/>
                <w:szCs w:val="21"/>
                <w:lang w:eastAsia="zh-CN"/>
              </w:rPr>
              <w:t>、</w:t>
            </w:r>
            <w:r>
              <w:rPr>
                <w:rFonts w:hint="eastAsia" w:hAnsi="宋体"/>
                <w:color w:val="auto"/>
                <w:szCs w:val="21"/>
                <w:lang w:val="en-US" w:eastAsia="zh-CN"/>
              </w:rPr>
              <w:t>导流沟及初期雨水池、</w:t>
            </w:r>
            <w:r>
              <w:rPr>
                <w:rFonts w:hint="eastAsia" w:hAnsi="宋体"/>
                <w:color w:val="auto"/>
                <w:szCs w:val="21"/>
                <w:lang w:eastAsia="zh-CN"/>
              </w:rPr>
              <w:t>事故应急池</w:t>
            </w:r>
            <w:r>
              <w:rPr>
                <w:rFonts w:hint="eastAsia" w:hAnsi="宋体"/>
                <w:color w:val="auto"/>
                <w:szCs w:val="21"/>
              </w:rPr>
              <w:t>、</w:t>
            </w:r>
            <w:r>
              <w:rPr>
                <w:rFonts w:hint="eastAsia" w:hAnsi="宋体"/>
                <w:color w:val="auto"/>
                <w:szCs w:val="21"/>
                <w:lang w:val="en-US" w:eastAsia="zh-CN"/>
              </w:rPr>
              <w:t>危险废物暂存间</w:t>
            </w:r>
            <w:r>
              <w:rPr>
                <w:rFonts w:hint="eastAsia" w:hAnsi="宋体"/>
                <w:color w:val="auto"/>
                <w:szCs w:val="21"/>
              </w:rPr>
              <w:t>需按相关要求进行防渗，定期检查各区地面、池壁防渗抹面，一旦发现可能存在的</w:t>
            </w:r>
            <w:r>
              <w:rPr>
                <w:rFonts w:hint="eastAsia" w:hAnsi="宋体"/>
                <w:color w:val="auto"/>
                <w:szCs w:val="21"/>
                <w:lang w:val="en-US" w:eastAsia="zh-CN"/>
              </w:rPr>
              <w:t>包装/</w:t>
            </w:r>
            <w:r>
              <w:rPr>
                <w:rFonts w:hint="eastAsia" w:hAnsi="宋体"/>
                <w:color w:val="auto"/>
                <w:szCs w:val="21"/>
              </w:rPr>
              <w:t>装置破损、变形，地面或池壁裂缝，应立即组织抢修或更换设备。</w:t>
            </w:r>
          </w:p>
        </w:tc>
      </w:tr>
      <w:tr w14:paraId="08E6C6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778" w:type="dxa"/>
            <w:noWrap w:val="0"/>
            <w:vAlign w:val="center"/>
          </w:tcPr>
          <w:p w14:paraId="1251390B">
            <w:pPr>
              <w:adjustRightInd w:val="0"/>
              <w:snapToGrid w:val="0"/>
              <w:jc w:val="center"/>
              <w:rPr>
                <w:color w:val="auto"/>
                <w:szCs w:val="21"/>
              </w:rPr>
            </w:pPr>
            <w:r>
              <w:rPr>
                <w:color w:val="auto"/>
                <w:szCs w:val="21"/>
              </w:rPr>
              <w:t>生态保护措施</w:t>
            </w:r>
          </w:p>
        </w:tc>
        <w:tc>
          <w:tcPr>
            <w:tcW w:w="7022" w:type="dxa"/>
            <w:gridSpan w:val="4"/>
            <w:noWrap w:val="0"/>
            <w:vAlign w:val="center"/>
          </w:tcPr>
          <w:p w14:paraId="5AA296E5">
            <w:pPr>
              <w:adjustRightInd w:val="0"/>
              <w:snapToGrid w:val="0"/>
              <w:jc w:val="center"/>
              <w:rPr>
                <w:rFonts w:hint="eastAsia"/>
                <w:color w:val="auto"/>
                <w:szCs w:val="21"/>
              </w:rPr>
            </w:pPr>
            <w:r>
              <w:rPr>
                <w:rFonts w:hint="eastAsia"/>
                <w:color w:val="auto"/>
                <w:szCs w:val="21"/>
              </w:rPr>
              <w:t>无</w:t>
            </w:r>
          </w:p>
        </w:tc>
      </w:tr>
      <w:tr w14:paraId="1C507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2025BCA8">
            <w:pPr>
              <w:adjustRightInd w:val="0"/>
              <w:snapToGrid w:val="0"/>
              <w:jc w:val="center"/>
              <w:rPr>
                <w:color w:val="auto"/>
                <w:spacing w:val="-8"/>
                <w:szCs w:val="21"/>
              </w:rPr>
            </w:pPr>
            <w:r>
              <w:rPr>
                <w:color w:val="auto"/>
                <w:spacing w:val="-8"/>
                <w:szCs w:val="21"/>
              </w:rPr>
              <w:t>环境风险</w:t>
            </w:r>
          </w:p>
          <w:p w14:paraId="751A9A02">
            <w:pPr>
              <w:adjustRightInd w:val="0"/>
              <w:snapToGrid w:val="0"/>
              <w:jc w:val="center"/>
              <w:rPr>
                <w:color w:val="auto"/>
                <w:spacing w:val="-8"/>
                <w:szCs w:val="21"/>
              </w:rPr>
            </w:pPr>
            <w:r>
              <w:rPr>
                <w:color w:val="auto"/>
                <w:spacing w:val="-8"/>
                <w:szCs w:val="21"/>
              </w:rPr>
              <w:t>防范措施</w:t>
            </w:r>
          </w:p>
        </w:tc>
        <w:tc>
          <w:tcPr>
            <w:tcW w:w="7022" w:type="dxa"/>
            <w:gridSpan w:val="4"/>
            <w:noWrap w:val="0"/>
            <w:vAlign w:val="center"/>
          </w:tcPr>
          <w:p w14:paraId="291790E5">
            <w:pPr>
              <w:adjustRightInd w:val="0"/>
              <w:snapToGrid w:val="0"/>
              <w:jc w:val="left"/>
              <w:rPr>
                <w:rFonts w:ascii="宋体" w:hAnsi="宋体" w:cs="宋体"/>
                <w:color w:val="auto"/>
                <w:szCs w:val="21"/>
              </w:rPr>
            </w:pPr>
            <w:r>
              <w:rPr>
                <w:rFonts w:ascii="宋体" w:hAnsi="宋体" w:cs="宋体"/>
                <w:color w:val="auto"/>
                <w:szCs w:val="21"/>
              </w:rPr>
              <w:t>①加强员工的思想、道德教育，提高员工的责任心和主观能动性，提高员</w:t>
            </w:r>
          </w:p>
          <w:p w14:paraId="12F7EFBE">
            <w:pPr>
              <w:adjustRightInd w:val="0"/>
              <w:snapToGrid w:val="0"/>
              <w:jc w:val="left"/>
              <w:rPr>
                <w:rFonts w:hint="eastAsia"/>
                <w:color w:val="auto"/>
                <w:szCs w:val="21"/>
              </w:rPr>
            </w:pPr>
            <w:r>
              <w:rPr>
                <w:rFonts w:ascii="宋体" w:hAnsi="宋体" w:cs="宋体"/>
                <w:color w:val="auto"/>
                <w:szCs w:val="21"/>
              </w:rPr>
              <w:t>工素质，增强安全意识</w:t>
            </w:r>
            <w:r>
              <w:rPr>
                <w:rFonts w:hint="eastAsia" w:ascii="宋体" w:hAnsi="宋体" w:cs="宋体"/>
                <w:color w:val="auto"/>
                <w:szCs w:val="21"/>
              </w:rPr>
              <w:t>；</w:t>
            </w:r>
            <w:r>
              <w:rPr>
                <w:rFonts w:ascii="宋体" w:hAnsi="宋体" w:cs="宋体"/>
                <w:color w:val="auto"/>
                <w:szCs w:val="21"/>
              </w:rPr>
              <w:t>②定期或不定期检查</w:t>
            </w:r>
            <w:r>
              <w:rPr>
                <w:rFonts w:hint="eastAsia" w:ascii="宋体" w:hAnsi="宋体" w:cs="宋体"/>
                <w:color w:val="auto"/>
                <w:szCs w:val="21"/>
                <w:lang w:val="en-US" w:eastAsia="zh-CN"/>
              </w:rPr>
              <w:t>危险化学品包装</w:t>
            </w:r>
            <w:r>
              <w:rPr>
                <w:rFonts w:ascii="宋体" w:hAnsi="宋体" w:cs="宋体"/>
                <w:color w:val="auto"/>
                <w:szCs w:val="21"/>
              </w:rPr>
              <w:t>等，防止跑、冒、漏现象出现</w:t>
            </w:r>
            <w:r>
              <w:rPr>
                <w:rFonts w:hint="eastAsia" w:ascii="宋体" w:hAnsi="宋体" w:cs="宋体"/>
                <w:color w:val="auto"/>
                <w:szCs w:val="21"/>
              </w:rPr>
              <w:t>；</w:t>
            </w:r>
            <w:r>
              <w:rPr>
                <w:rFonts w:ascii="宋体" w:hAnsi="宋体" w:cs="宋体"/>
                <w:color w:val="auto"/>
                <w:szCs w:val="21"/>
              </w:rPr>
              <w:t>③发生突发情况，</w:t>
            </w:r>
            <w:r>
              <w:rPr>
                <w:rFonts w:hint="eastAsia" w:ascii="宋体" w:hAnsi="宋体" w:cs="宋体"/>
                <w:color w:val="auto"/>
                <w:szCs w:val="21"/>
                <w:lang w:val="en-US" w:eastAsia="zh-CN"/>
              </w:rPr>
              <w:t>危险化学品</w:t>
            </w:r>
            <w:r>
              <w:rPr>
                <w:rFonts w:ascii="宋体" w:hAnsi="宋体" w:cs="宋体"/>
                <w:color w:val="auto"/>
                <w:szCs w:val="21"/>
              </w:rPr>
              <w:t>等发生泄漏时，</w:t>
            </w:r>
            <w:r>
              <w:rPr>
                <w:rFonts w:hint="eastAsia" w:ascii="宋体" w:hAnsi="宋体" w:cs="宋体"/>
                <w:color w:val="auto"/>
                <w:szCs w:val="21"/>
                <w:highlight w:val="none"/>
                <w:lang w:val="en-US" w:eastAsia="zh-CN"/>
              </w:rPr>
              <w:t>应</w:t>
            </w:r>
            <w:r>
              <w:rPr>
                <w:rFonts w:ascii="宋体" w:hAnsi="宋体" w:cs="宋体"/>
                <w:color w:val="auto"/>
                <w:szCs w:val="21"/>
              </w:rPr>
              <w:t>立刻采取措施，控制泄漏物进入外环境。</w:t>
            </w:r>
          </w:p>
        </w:tc>
      </w:tr>
      <w:tr w14:paraId="1A792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778" w:type="dxa"/>
            <w:noWrap w:val="0"/>
            <w:vAlign w:val="center"/>
          </w:tcPr>
          <w:p w14:paraId="43E8B258">
            <w:pPr>
              <w:adjustRightInd w:val="0"/>
              <w:snapToGrid w:val="0"/>
              <w:jc w:val="center"/>
              <w:rPr>
                <w:spacing w:val="-8"/>
                <w:szCs w:val="21"/>
              </w:rPr>
            </w:pPr>
            <w:r>
              <w:rPr>
                <w:spacing w:val="-8"/>
                <w:szCs w:val="21"/>
              </w:rPr>
              <w:t>其他环境</w:t>
            </w:r>
          </w:p>
          <w:p w14:paraId="5622CB4E">
            <w:pPr>
              <w:adjustRightInd w:val="0"/>
              <w:snapToGrid w:val="0"/>
              <w:jc w:val="center"/>
              <w:rPr>
                <w:spacing w:val="-8"/>
                <w:szCs w:val="21"/>
              </w:rPr>
            </w:pPr>
            <w:r>
              <w:rPr>
                <w:spacing w:val="-8"/>
                <w:szCs w:val="21"/>
              </w:rPr>
              <w:t>管理要求</w:t>
            </w:r>
          </w:p>
        </w:tc>
        <w:tc>
          <w:tcPr>
            <w:tcW w:w="7022" w:type="dxa"/>
            <w:gridSpan w:val="4"/>
            <w:noWrap w:val="0"/>
            <w:vAlign w:val="center"/>
          </w:tcPr>
          <w:p w14:paraId="0FD7B48D">
            <w:pPr>
              <w:adjustRightInd w:val="0"/>
              <w:snapToGrid w:val="0"/>
              <w:jc w:val="center"/>
              <w:rPr>
                <w:szCs w:val="21"/>
              </w:rPr>
            </w:pPr>
            <w:r>
              <w:rPr>
                <w:szCs w:val="21"/>
              </w:rPr>
              <w:t>无</w:t>
            </w:r>
          </w:p>
        </w:tc>
      </w:tr>
    </w:tbl>
    <w:p w14:paraId="0D138D32">
      <w:pPr>
        <w:pStyle w:val="17"/>
        <w:jc w:val="center"/>
        <w:outlineLvl w:val="0"/>
        <w:rPr>
          <w:rFonts w:ascii="黑体" w:hAnsi="黑体" w:eastAsia="黑体"/>
          <w:snapToGrid w:val="0"/>
          <w:sz w:val="30"/>
          <w:szCs w:val="30"/>
        </w:rPr>
      </w:pPr>
      <w:r>
        <w:rPr>
          <w:snapToGrid w:val="0"/>
        </w:rPr>
        <w:br w:type="page"/>
      </w:r>
      <w:bookmarkStart w:id="28" w:name="_Toc28572"/>
      <w:bookmarkStart w:id="29" w:name="_Toc16448"/>
      <w:r>
        <w:rPr>
          <w:rFonts w:hint="eastAsia" w:ascii="黑体" w:hAnsi="黑体" w:eastAsia="黑体"/>
          <w:snapToGrid w:val="0"/>
          <w:sz w:val="30"/>
          <w:szCs w:val="30"/>
        </w:rPr>
        <w:t>六、结论</w:t>
      </w:r>
      <w:bookmarkEnd w:id="28"/>
      <w:bookmarkEnd w:id="29"/>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608B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2092A429">
            <w:pPr>
              <w:pStyle w:val="6"/>
              <w:spacing w:line="500" w:lineRule="exact"/>
              <w:ind w:firstLine="480"/>
              <w:rPr>
                <w:kern w:val="0"/>
                <w:sz w:val="24"/>
              </w:rPr>
            </w:pPr>
            <w:r>
              <w:rPr>
                <w:rFonts w:hint="eastAsia"/>
                <w:color w:val="auto"/>
                <w:kern w:val="0"/>
                <w:sz w:val="24"/>
                <w:lang w:eastAsia="zh-CN"/>
              </w:rPr>
              <w:t>钦州石化产业园区志得化学品仓储物流项目（一期）</w:t>
            </w:r>
            <w:r>
              <w:rPr>
                <w:rFonts w:hint="eastAsia"/>
                <w:kern w:val="0"/>
                <w:sz w:val="24"/>
              </w:rPr>
              <w:t>在</w:t>
            </w:r>
            <w:r>
              <w:rPr>
                <w:rFonts w:hint="eastAsia"/>
                <w:kern w:val="0"/>
                <w:sz w:val="24"/>
                <w:lang w:val="en-US" w:eastAsia="zh-CN"/>
              </w:rPr>
              <w:t>运行</w:t>
            </w:r>
            <w:r>
              <w:rPr>
                <w:rFonts w:hint="eastAsia"/>
                <w:kern w:val="0"/>
                <w:sz w:val="24"/>
              </w:rPr>
              <w:t>过程中会产生废水、废气、噪声、固体废物等，在全面落实本</w:t>
            </w:r>
            <w:r>
              <w:rPr>
                <w:rFonts w:hint="eastAsia"/>
                <w:kern w:val="0"/>
                <w:sz w:val="24"/>
                <w:highlight w:val="none"/>
              </w:rPr>
              <w:t>报告表</w:t>
            </w:r>
            <w:r>
              <w:rPr>
                <w:rFonts w:hint="eastAsia"/>
                <w:kern w:val="0"/>
                <w:sz w:val="24"/>
              </w:rPr>
              <w:t>提出的各项环境保护措施的基础上，切实做到“三同时”，并在</w:t>
            </w:r>
            <w:r>
              <w:rPr>
                <w:rFonts w:hint="eastAsia"/>
                <w:kern w:val="0"/>
                <w:sz w:val="24"/>
                <w:lang w:eastAsia="zh-CN"/>
              </w:rPr>
              <w:t>运营</w:t>
            </w:r>
            <w:r>
              <w:rPr>
                <w:rFonts w:hint="eastAsia"/>
                <w:kern w:val="0"/>
                <w:sz w:val="24"/>
              </w:rPr>
              <w:t>期内持之以恒加强环境管理的前提下，从环境保护角度，本项目环境影响可行。</w:t>
            </w:r>
          </w:p>
          <w:p w14:paraId="003D7B88">
            <w:pPr>
              <w:spacing w:line="360" w:lineRule="auto"/>
              <w:rPr>
                <w:rFonts w:ascii="宋体" w:cs="宋体"/>
                <w:sz w:val="24"/>
              </w:rPr>
            </w:pPr>
          </w:p>
          <w:p w14:paraId="15A2CF32">
            <w:pPr>
              <w:spacing w:line="360" w:lineRule="auto"/>
              <w:rPr>
                <w:rFonts w:ascii="宋体" w:cs="宋体"/>
                <w:sz w:val="24"/>
              </w:rPr>
            </w:pPr>
          </w:p>
          <w:p w14:paraId="0287667D">
            <w:pPr>
              <w:spacing w:line="360" w:lineRule="auto"/>
              <w:rPr>
                <w:rFonts w:ascii="宋体" w:cs="宋体"/>
                <w:sz w:val="24"/>
              </w:rPr>
            </w:pPr>
          </w:p>
          <w:p w14:paraId="44E48CD4">
            <w:pPr>
              <w:spacing w:line="360" w:lineRule="auto"/>
              <w:rPr>
                <w:rFonts w:ascii="宋体" w:cs="宋体"/>
                <w:sz w:val="24"/>
              </w:rPr>
            </w:pPr>
          </w:p>
          <w:p w14:paraId="07C5840C">
            <w:pPr>
              <w:spacing w:line="360" w:lineRule="auto"/>
              <w:rPr>
                <w:rFonts w:ascii="宋体" w:cs="宋体"/>
                <w:sz w:val="24"/>
              </w:rPr>
            </w:pPr>
          </w:p>
          <w:p w14:paraId="5E1BC0AD">
            <w:pPr>
              <w:spacing w:line="360" w:lineRule="auto"/>
              <w:rPr>
                <w:rFonts w:ascii="宋体" w:cs="宋体"/>
                <w:sz w:val="24"/>
              </w:rPr>
            </w:pPr>
          </w:p>
          <w:p w14:paraId="097E3CD4">
            <w:pPr>
              <w:spacing w:line="360" w:lineRule="auto"/>
              <w:rPr>
                <w:rFonts w:ascii="宋体" w:cs="宋体"/>
                <w:sz w:val="24"/>
              </w:rPr>
            </w:pPr>
          </w:p>
          <w:p w14:paraId="2CB949CE">
            <w:pPr>
              <w:spacing w:line="360" w:lineRule="auto"/>
              <w:rPr>
                <w:rFonts w:ascii="宋体" w:cs="宋体"/>
                <w:sz w:val="24"/>
              </w:rPr>
            </w:pPr>
          </w:p>
          <w:p w14:paraId="064F7421">
            <w:pPr>
              <w:spacing w:line="360" w:lineRule="auto"/>
              <w:rPr>
                <w:rFonts w:ascii="宋体" w:cs="宋体"/>
                <w:sz w:val="24"/>
              </w:rPr>
            </w:pPr>
          </w:p>
          <w:p w14:paraId="7E2B2AD5">
            <w:pPr>
              <w:spacing w:line="360" w:lineRule="auto"/>
              <w:rPr>
                <w:rFonts w:ascii="宋体" w:cs="宋体"/>
                <w:sz w:val="24"/>
              </w:rPr>
            </w:pPr>
          </w:p>
          <w:p w14:paraId="6381F190">
            <w:pPr>
              <w:spacing w:line="360" w:lineRule="auto"/>
              <w:rPr>
                <w:rFonts w:ascii="宋体" w:cs="宋体"/>
                <w:sz w:val="24"/>
              </w:rPr>
            </w:pPr>
          </w:p>
          <w:p w14:paraId="69E7886C">
            <w:pPr>
              <w:spacing w:line="360" w:lineRule="auto"/>
              <w:rPr>
                <w:rFonts w:ascii="宋体" w:cs="宋体"/>
                <w:sz w:val="24"/>
              </w:rPr>
            </w:pPr>
          </w:p>
          <w:p w14:paraId="04CB631B">
            <w:pPr>
              <w:spacing w:line="360" w:lineRule="auto"/>
              <w:rPr>
                <w:rFonts w:ascii="宋体" w:cs="宋体"/>
                <w:sz w:val="24"/>
              </w:rPr>
            </w:pPr>
          </w:p>
          <w:p w14:paraId="02EBBA53">
            <w:pPr>
              <w:spacing w:line="360" w:lineRule="auto"/>
              <w:rPr>
                <w:rFonts w:ascii="宋体" w:cs="宋体"/>
                <w:sz w:val="24"/>
              </w:rPr>
            </w:pPr>
          </w:p>
          <w:p w14:paraId="5345E273">
            <w:pPr>
              <w:spacing w:line="360" w:lineRule="auto"/>
              <w:rPr>
                <w:rFonts w:ascii="宋体" w:cs="宋体"/>
                <w:sz w:val="24"/>
              </w:rPr>
            </w:pPr>
          </w:p>
          <w:p w14:paraId="309453DB">
            <w:pPr>
              <w:spacing w:line="360" w:lineRule="auto"/>
              <w:rPr>
                <w:rFonts w:ascii="宋体" w:cs="宋体"/>
                <w:sz w:val="24"/>
              </w:rPr>
            </w:pPr>
          </w:p>
          <w:p w14:paraId="0335D822">
            <w:pPr>
              <w:spacing w:line="360" w:lineRule="auto"/>
              <w:rPr>
                <w:rFonts w:ascii="宋体" w:cs="宋体"/>
                <w:sz w:val="24"/>
              </w:rPr>
            </w:pPr>
          </w:p>
          <w:p w14:paraId="02AF2D4E">
            <w:pPr>
              <w:spacing w:line="360" w:lineRule="auto"/>
              <w:rPr>
                <w:rFonts w:ascii="宋体" w:cs="宋体"/>
                <w:sz w:val="24"/>
              </w:rPr>
            </w:pPr>
          </w:p>
          <w:p w14:paraId="7E2C5E97">
            <w:pPr>
              <w:spacing w:line="360" w:lineRule="auto"/>
              <w:rPr>
                <w:rFonts w:ascii="宋体" w:cs="宋体"/>
                <w:sz w:val="24"/>
              </w:rPr>
            </w:pPr>
          </w:p>
          <w:p w14:paraId="260E5B62">
            <w:pPr>
              <w:spacing w:line="360" w:lineRule="auto"/>
              <w:rPr>
                <w:rFonts w:ascii="宋体" w:cs="宋体"/>
                <w:sz w:val="24"/>
              </w:rPr>
            </w:pPr>
          </w:p>
          <w:p w14:paraId="69331EDA">
            <w:pPr>
              <w:spacing w:line="360" w:lineRule="auto"/>
              <w:rPr>
                <w:rFonts w:ascii="宋体" w:cs="宋体"/>
                <w:sz w:val="24"/>
              </w:rPr>
            </w:pPr>
          </w:p>
          <w:p w14:paraId="7C60011B">
            <w:pPr>
              <w:spacing w:line="360" w:lineRule="auto"/>
              <w:rPr>
                <w:rFonts w:ascii="宋体" w:cs="宋体"/>
                <w:sz w:val="24"/>
              </w:rPr>
            </w:pPr>
          </w:p>
        </w:tc>
      </w:tr>
    </w:tbl>
    <w:p w14:paraId="0C96A0F5">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86D16D1">
      <w:pPr>
        <w:pStyle w:val="17"/>
        <w:adjustRightInd w:val="0"/>
        <w:snapToGrid w:val="0"/>
        <w:spacing w:before="0" w:beforeAutospacing="0" w:after="0" w:afterAutospacing="0" w:line="648" w:lineRule="auto"/>
        <w:outlineLvl w:val="0"/>
        <w:rPr>
          <w:rFonts w:ascii="黑体" w:hAnsi="黑体" w:eastAsia="黑体"/>
          <w:snapToGrid w:val="0"/>
          <w:sz w:val="32"/>
          <w:szCs w:val="32"/>
        </w:rPr>
      </w:pPr>
      <w:bookmarkStart w:id="30" w:name="_Toc29884"/>
      <w:bookmarkStart w:id="31" w:name="_Toc25593"/>
      <w:r>
        <w:rPr>
          <w:rFonts w:hint="eastAsia" w:ascii="黑体" w:hAnsi="黑体" w:eastAsia="黑体"/>
          <w:snapToGrid w:val="0"/>
          <w:sz w:val="32"/>
          <w:szCs w:val="32"/>
        </w:rPr>
        <w:t>附表</w:t>
      </w:r>
      <w:bookmarkEnd w:id="30"/>
      <w:bookmarkEnd w:id="31"/>
    </w:p>
    <w:p w14:paraId="37E36878">
      <w:pPr>
        <w:pStyle w:val="17"/>
        <w:adjustRightInd w:val="0"/>
        <w:snapToGrid w:val="0"/>
        <w:spacing w:before="0" w:beforeAutospacing="0" w:after="0" w:afterAutospacing="0" w:line="552" w:lineRule="auto"/>
        <w:jc w:val="center"/>
        <w:outlineLvl w:val="0"/>
        <w:rPr>
          <w:rFonts w:hint="eastAsia" w:ascii="方正小标宋_GBK" w:hAnsi="黑体" w:eastAsia="方正小标宋_GBK"/>
          <w:snapToGrid w:val="0"/>
          <w:color w:val="auto"/>
          <w:sz w:val="38"/>
          <w:szCs w:val="38"/>
        </w:rPr>
      </w:pPr>
      <w:bookmarkStart w:id="32" w:name="_Toc29838"/>
      <w:bookmarkStart w:id="33" w:name="_Toc11741"/>
      <w:r>
        <w:rPr>
          <w:rFonts w:hint="eastAsia" w:ascii="方正小标宋_GBK" w:hAnsi="黑体" w:eastAsia="方正小标宋_GBK"/>
          <w:snapToGrid w:val="0"/>
          <w:color w:val="auto"/>
          <w:sz w:val="38"/>
          <w:szCs w:val="38"/>
        </w:rPr>
        <w:t>建设项目污染物排放量汇总表</w:t>
      </w:r>
      <w:bookmarkEnd w:id="32"/>
      <w:bookmarkEnd w:id="33"/>
    </w:p>
    <w:tbl>
      <w:tblPr>
        <w:tblStyle w:val="1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22"/>
        <w:gridCol w:w="1596"/>
        <w:gridCol w:w="1276"/>
        <w:gridCol w:w="1701"/>
        <w:gridCol w:w="1559"/>
        <w:gridCol w:w="1761"/>
        <w:gridCol w:w="1661"/>
        <w:gridCol w:w="1124"/>
      </w:tblGrid>
      <w:tr w14:paraId="51042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7BBA88E7">
            <w:pPr>
              <w:pStyle w:val="28"/>
              <w:spacing w:beforeLines="0" w:afterLines="0" w:line="240" w:lineRule="auto"/>
              <w:ind w:left="396" w:hanging="396"/>
              <w:jc w:val="right"/>
              <w:rPr>
                <w:rFonts w:ascii="Times New Roman" w:eastAsia="黑体"/>
                <w:snapToGrid w:val="0"/>
                <w:color w:val="000000"/>
                <w:spacing w:val="-6"/>
                <w:kern w:val="21"/>
                <w:szCs w:val="21"/>
              </w:rPr>
            </w:pPr>
            <w:r>
              <w:rPr>
                <w:rFonts w:ascii="Times New Roman" w:eastAsia="黑体"/>
                <w:snapToGrid w:val="0"/>
                <w:color w:val="000000"/>
                <w:spacing w:val="-6"/>
                <w:kern w:val="21"/>
                <w:szCs w:val="21"/>
              </w:rPr>
              <w:t>项目</w:t>
            </w:r>
          </w:p>
          <w:p w14:paraId="05FEB104">
            <w:pPr>
              <w:pStyle w:val="28"/>
              <w:spacing w:beforeLines="0" w:afterLines="0" w:line="240" w:lineRule="auto"/>
              <w:ind w:left="396" w:hanging="396"/>
              <w:jc w:val="left"/>
              <w:rPr>
                <w:rFonts w:ascii="Times New Roman" w:eastAsia="黑体"/>
                <w:snapToGrid w:val="0"/>
                <w:color w:val="000000"/>
                <w:spacing w:val="-6"/>
                <w:kern w:val="21"/>
                <w:szCs w:val="21"/>
              </w:rPr>
            </w:pPr>
            <w:r>
              <w:rPr>
                <w:rFonts w:ascii="Times New Roman" w:eastAsia="黑体"/>
                <w:snapToGrid w:val="0"/>
                <w:color w:val="000000"/>
                <w:spacing w:val="-6"/>
                <w:kern w:val="21"/>
                <w:szCs w:val="21"/>
              </w:rPr>
              <w:t>分类</w:t>
            </w:r>
          </w:p>
        </w:tc>
        <w:tc>
          <w:tcPr>
            <w:tcW w:w="1522" w:type="dxa"/>
            <w:noWrap w:val="0"/>
            <w:tcMar>
              <w:left w:w="28" w:type="dxa"/>
              <w:right w:w="28" w:type="dxa"/>
            </w:tcMar>
            <w:vAlign w:val="center"/>
          </w:tcPr>
          <w:p w14:paraId="3171D52A">
            <w:pPr>
              <w:pStyle w:val="28"/>
              <w:spacing w:beforeLines="0" w:afterLines="0" w:line="240" w:lineRule="auto"/>
              <w:ind w:left="396" w:hanging="396"/>
              <w:rPr>
                <w:rFonts w:ascii="Times New Roman" w:eastAsia="黑体"/>
                <w:snapToGrid w:val="0"/>
                <w:color w:val="000000"/>
                <w:spacing w:val="-6"/>
                <w:kern w:val="21"/>
                <w:szCs w:val="21"/>
              </w:rPr>
            </w:pPr>
            <w:r>
              <w:rPr>
                <w:rFonts w:ascii="Times New Roman" w:eastAsia="黑体"/>
                <w:snapToGrid w:val="0"/>
                <w:color w:val="000000"/>
                <w:spacing w:val="-6"/>
                <w:kern w:val="21"/>
                <w:szCs w:val="21"/>
              </w:rPr>
              <w:t>污染物名称</w:t>
            </w:r>
          </w:p>
        </w:tc>
        <w:tc>
          <w:tcPr>
            <w:tcW w:w="1596" w:type="dxa"/>
            <w:noWrap w:val="0"/>
            <w:tcMar>
              <w:left w:w="28" w:type="dxa"/>
              <w:right w:w="28" w:type="dxa"/>
            </w:tcMar>
            <w:vAlign w:val="center"/>
          </w:tcPr>
          <w:p w14:paraId="6E5D3D4B">
            <w:pPr>
              <w:pStyle w:val="28"/>
              <w:spacing w:beforeLines="0" w:afterLines="0" w:line="240" w:lineRule="auto"/>
              <w:ind w:left="396" w:hanging="396"/>
              <w:rPr>
                <w:rFonts w:ascii="Times New Roman" w:eastAsia="黑体"/>
                <w:snapToGrid w:val="0"/>
                <w:color w:val="000000"/>
                <w:spacing w:val="-6"/>
                <w:kern w:val="21"/>
                <w:szCs w:val="21"/>
              </w:rPr>
            </w:pPr>
            <w:r>
              <w:rPr>
                <w:rFonts w:ascii="Times New Roman" w:eastAsia="黑体"/>
                <w:snapToGrid w:val="0"/>
                <w:color w:val="000000"/>
                <w:spacing w:val="-6"/>
                <w:kern w:val="21"/>
                <w:szCs w:val="21"/>
              </w:rPr>
              <w:t>现有工程</w:t>
            </w:r>
          </w:p>
          <w:p w14:paraId="537741CD">
            <w:pPr>
              <w:pStyle w:val="28"/>
              <w:spacing w:beforeLines="0" w:afterLines="0" w:line="240" w:lineRule="auto"/>
              <w:ind w:left="396" w:hanging="396"/>
              <w:rPr>
                <w:rFonts w:ascii="Times New Roman" w:eastAsia="黑体"/>
                <w:snapToGrid w:val="0"/>
                <w:color w:val="000000"/>
                <w:spacing w:val="-6"/>
                <w:kern w:val="21"/>
                <w:szCs w:val="21"/>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1 \* GB3 \* MERGEFORMAT </w:instrText>
            </w:r>
            <w:r>
              <w:rPr>
                <w:rFonts w:ascii="Times New Roman" w:eastAsia="黑体"/>
                <w:snapToGrid w:val="0"/>
                <w:color w:val="000000"/>
                <w:spacing w:val="-6"/>
                <w:kern w:val="21"/>
                <w:szCs w:val="21"/>
              </w:rPr>
              <w:fldChar w:fldCharType="separate"/>
            </w:r>
            <w:r>
              <w:rPr>
                <w:rFonts w:ascii="Times New Roman" w:eastAsia="黑体"/>
                <w:kern w:val="2"/>
                <w:szCs w:val="21"/>
              </w:rPr>
              <w:t>①</w:t>
            </w:r>
            <w:r>
              <w:rPr>
                <w:rFonts w:ascii="Times New Roman" w:eastAsia="黑体"/>
                <w:snapToGrid w:val="0"/>
                <w:color w:val="000000"/>
                <w:spacing w:val="-6"/>
                <w:kern w:val="21"/>
                <w:szCs w:val="21"/>
              </w:rPr>
              <w:fldChar w:fldCharType="end"/>
            </w:r>
          </w:p>
        </w:tc>
        <w:tc>
          <w:tcPr>
            <w:tcW w:w="1276" w:type="dxa"/>
            <w:noWrap w:val="0"/>
            <w:tcMar>
              <w:left w:w="28" w:type="dxa"/>
              <w:right w:w="28" w:type="dxa"/>
            </w:tcMar>
            <w:vAlign w:val="center"/>
          </w:tcPr>
          <w:p w14:paraId="1AEC86A2">
            <w:pPr>
              <w:pStyle w:val="28"/>
              <w:spacing w:beforeLines="0" w:afterLines="0" w:line="240" w:lineRule="auto"/>
              <w:ind w:left="396" w:hanging="396"/>
              <w:rPr>
                <w:rFonts w:ascii="Times New Roman" w:eastAsia="黑体"/>
                <w:snapToGrid w:val="0"/>
                <w:color w:val="000000"/>
                <w:spacing w:val="-6"/>
                <w:kern w:val="21"/>
                <w:szCs w:val="21"/>
              </w:rPr>
            </w:pPr>
            <w:r>
              <w:rPr>
                <w:rFonts w:ascii="Times New Roman" w:eastAsia="黑体"/>
                <w:snapToGrid w:val="0"/>
                <w:color w:val="000000"/>
                <w:spacing w:val="-6"/>
                <w:kern w:val="21"/>
                <w:szCs w:val="21"/>
              </w:rPr>
              <w:t>现有工程</w:t>
            </w:r>
          </w:p>
          <w:p w14:paraId="4BDFFB38">
            <w:pPr>
              <w:pStyle w:val="28"/>
              <w:spacing w:beforeLines="0" w:afterLines="0" w:line="240" w:lineRule="auto"/>
              <w:ind w:left="396" w:hanging="396"/>
              <w:rPr>
                <w:rFonts w:ascii="Times New Roman" w:eastAsia="黑体"/>
                <w:snapToGrid w:val="0"/>
                <w:color w:val="000000"/>
                <w:spacing w:val="-6"/>
                <w:kern w:val="21"/>
                <w:szCs w:val="21"/>
              </w:rPr>
            </w:pPr>
            <w:r>
              <w:rPr>
                <w:rFonts w:ascii="Times New Roman" w:eastAsia="黑体"/>
                <w:snapToGrid w:val="0"/>
                <w:color w:val="000000"/>
                <w:spacing w:val="-6"/>
                <w:kern w:val="21"/>
                <w:szCs w:val="21"/>
              </w:rPr>
              <w:t>许可排放量</w:t>
            </w:r>
          </w:p>
          <w:p w14:paraId="5A508C27">
            <w:pPr>
              <w:pStyle w:val="28"/>
              <w:spacing w:beforeLines="0" w:afterLines="0"/>
              <w:ind w:left="420" w:hanging="420"/>
              <w:rPr>
                <w:rFonts w:ascii="Times New Roman" w:eastAsia="黑体"/>
                <w:snapToGrid w:val="0"/>
                <w:color w:val="000000"/>
                <w:spacing w:val="-6"/>
                <w:kern w:val="21"/>
                <w:szCs w:val="21"/>
              </w:rPr>
            </w:pP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2 \* GB3 \* MERGEFORMAT </w:instrText>
            </w:r>
            <w:r>
              <w:rPr>
                <w:rFonts w:ascii="Times New Roman" w:eastAsia="黑体"/>
                <w:snapToGrid w:val="0"/>
                <w:color w:val="000000"/>
                <w:spacing w:val="-6"/>
                <w:kern w:val="21"/>
                <w:szCs w:val="21"/>
              </w:rPr>
              <w:fldChar w:fldCharType="separate"/>
            </w:r>
            <w:r>
              <w:rPr>
                <w:rFonts w:ascii="Times New Roman" w:eastAsia="黑体"/>
                <w:snapToGrid w:val="0"/>
                <w:color w:val="000000"/>
                <w:spacing w:val="-6"/>
                <w:kern w:val="21"/>
                <w:szCs w:val="21"/>
              </w:rPr>
              <w:t>②</w:t>
            </w:r>
            <w:r>
              <w:rPr>
                <w:rFonts w:ascii="Times New Roman" w:eastAsia="黑体"/>
                <w:snapToGrid w:val="0"/>
                <w:color w:val="000000"/>
                <w:spacing w:val="-6"/>
                <w:kern w:val="21"/>
                <w:szCs w:val="21"/>
              </w:rPr>
              <w:fldChar w:fldCharType="end"/>
            </w:r>
          </w:p>
        </w:tc>
        <w:tc>
          <w:tcPr>
            <w:tcW w:w="1701" w:type="dxa"/>
            <w:noWrap w:val="0"/>
            <w:tcMar>
              <w:left w:w="28" w:type="dxa"/>
              <w:right w:w="28" w:type="dxa"/>
            </w:tcMar>
            <w:vAlign w:val="center"/>
          </w:tcPr>
          <w:p w14:paraId="0FA38D07">
            <w:pPr>
              <w:pStyle w:val="28"/>
              <w:spacing w:beforeLines="0" w:afterLines="0" w:line="240" w:lineRule="auto"/>
              <w:ind w:left="396" w:hanging="396"/>
              <w:rPr>
                <w:rFonts w:ascii="Times New Roman" w:eastAsia="黑体"/>
                <w:snapToGrid w:val="0"/>
                <w:color w:val="000000"/>
                <w:spacing w:val="-6"/>
                <w:kern w:val="21"/>
                <w:szCs w:val="21"/>
              </w:rPr>
            </w:pPr>
            <w:r>
              <w:rPr>
                <w:rFonts w:ascii="Times New Roman" w:eastAsia="黑体"/>
                <w:snapToGrid w:val="0"/>
                <w:color w:val="000000"/>
                <w:spacing w:val="-6"/>
                <w:kern w:val="21"/>
                <w:szCs w:val="21"/>
              </w:rPr>
              <w:t>在建工程</w:t>
            </w:r>
          </w:p>
          <w:p w14:paraId="204F3C95">
            <w:pPr>
              <w:pStyle w:val="28"/>
              <w:spacing w:beforeLines="0" w:afterLines="0" w:line="240" w:lineRule="auto"/>
              <w:ind w:left="396" w:hanging="396"/>
              <w:rPr>
                <w:rFonts w:ascii="Times New Roman" w:eastAsia="黑体"/>
                <w:snapToGrid w:val="0"/>
                <w:color w:val="000000"/>
                <w:spacing w:val="-6"/>
                <w:kern w:val="21"/>
                <w:szCs w:val="21"/>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3 \* GB3 \* MERGEFORMAT </w:instrText>
            </w:r>
            <w:r>
              <w:rPr>
                <w:rFonts w:ascii="Times New Roman" w:eastAsia="黑体"/>
                <w:snapToGrid w:val="0"/>
                <w:color w:val="000000"/>
                <w:spacing w:val="-6"/>
                <w:kern w:val="21"/>
                <w:szCs w:val="21"/>
              </w:rPr>
              <w:fldChar w:fldCharType="separate"/>
            </w:r>
            <w:r>
              <w:rPr>
                <w:rFonts w:ascii="Times New Roman" w:eastAsia="黑体"/>
                <w:kern w:val="2"/>
                <w:szCs w:val="21"/>
              </w:rPr>
              <w:t>③</w:t>
            </w:r>
            <w:r>
              <w:rPr>
                <w:rFonts w:ascii="Times New Roman" w:eastAsia="黑体"/>
                <w:snapToGrid w:val="0"/>
                <w:color w:val="000000"/>
                <w:spacing w:val="-6"/>
                <w:kern w:val="21"/>
                <w:szCs w:val="21"/>
              </w:rPr>
              <w:fldChar w:fldCharType="end"/>
            </w:r>
          </w:p>
        </w:tc>
        <w:tc>
          <w:tcPr>
            <w:tcW w:w="1559" w:type="dxa"/>
            <w:noWrap w:val="0"/>
            <w:tcMar>
              <w:left w:w="28" w:type="dxa"/>
              <w:right w:w="28" w:type="dxa"/>
            </w:tcMar>
            <w:vAlign w:val="center"/>
          </w:tcPr>
          <w:p w14:paraId="0086D4FA">
            <w:pPr>
              <w:pStyle w:val="28"/>
              <w:spacing w:beforeLines="0" w:afterLines="0" w:line="240" w:lineRule="auto"/>
              <w:ind w:left="396" w:hanging="396"/>
              <w:rPr>
                <w:rFonts w:ascii="Times New Roman" w:eastAsia="黑体"/>
                <w:snapToGrid w:val="0"/>
                <w:color w:val="000000"/>
                <w:spacing w:val="-6"/>
                <w:kern w:val="21"/>
                <w:szCs w:val="21"/>
              </w:rPr>
            </w:pPr>
            <w:r>
              <w:rPr>
                <w:rFonts w:ascii="Times New Roman" w:eastAsia="黑体"/>
                <w:snapToGrid w:val="0"/>
                <w:color w:val="000000"/>
                <w:spacing w:val="-6"/>
                <w:kern w:val="21"/>
                <w:szCs w:val="21"/>
              </w:rPr>
              <w:t>本项目</w:t>
            </w:r>
          </w:p>
          <w:p w14:paraId="0645BC32">
            <w:pPr>
              <w:pStyle w:val="28"/>
              <w:spacing w:beforeLines="0" w:afterLines="0" w:line="240" w:lineRule="auto"/>
              <w:ind w:left="396" w:hanging="396"/>
              <w:rPr>
                <w:rFonts w:ascii="Times New Roman" w:eastAsia="黑体"/>
                <w:snapToGrid w:val="0"/>
                <w:color w:val="000000"/>
                <w:spacing w:val="-6"/>
                <w:kern w:val="21"/>
                <w:szCs w:val="21"/>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4 \* GB3 \* MERGEFORMAT </w:instrText>
            </w:r>
            <w:r>
              <w:rPr>
                <w:rFonts w:ascii="Times New Roman" w:eastAsia="黑体"/>
                <w:snapToGrid w:val="0"/>
                <w:color w:val="000000"/>
                <w:spacing w:val="-6"/>
                <w:kern w:val="21"/>
                <w:szCs w:val="21"/>
              </w:rPr>
              <w:fldChar w:fldCharType="separate"/>
            </w:r>
            <w:r>
              <w:rPr>
                <w:rFonts w:ascii="Times New Roman" w:eastAsia="黑体"/>
                <w:kern w:val="2"/>
                <w:szCs w:val="21"/>
              </w:rPr>
              <w:t>④</w:t>
            </w:r>
            <w:r>
              <w:rPr>
                <w:rFonts w:ascii="Times New Roman" w:eastAsia="黑体"/>
                <w:snapToGrid w:val="0"/>
                <w:color w:val="000000"/>
                <w:spacing w:val="-6"/>
                <w:kern w:val="21"/>
                <w:szCs w:val="21"/>
              </w:rPr>
              <w:fldChar w:fldCharType="end"/>
            </w:r>
          </w:p>
        </w:tc>
        <w:tc>
          <w:tcPr>
            <w:tcW w:w="1761" w:type="dxa"/>
            <w:noWrap w:val="0"/>
            <w:tcMar>
              <w:left w:w="28" w:type="dxa"/>
              <w:right w:w="28" w:type="dxa"/>
            </w:tcMar>
            <w:vAlign w:val="center"/>
          </w:tcPr>
          <w:p w14:paraId="2F4941F1">
            <w:pPr>
              <w:pStyle w:val="28"/>
              <w:spacing w:beforeLines="0" w:afterLines="0" w:line="240" w:lineRule="auto"/>
              <w:ind w:left="356" w:hanging="356"/>
              <w:rPr>
                <w:rFonts w:ascii="Times New Roman" w:eastAsia="黑体"/>
                <w:snapToGrid w:val="0"/>
                <w:color w:val="000000"/>
                <w:spacing w:val="-16"/>
                <w:kern w:val="21"/>
                <w:szCs w:val="21"/>
              </w:rPr>
            </w:pPr>
            <w:r>
              <w:rPr>
                <w:rFonts w:ascii="Times New Roman" w:eastAsia="黑体"/>
                <w:snapToGrid w:val="0"/>
                <w:color w:val="000000"/>
                <w:spacing w:val="-16"/>
                <w:kern w:val="21"/>
                <w:szCs w:val="21"/>
              </w:rPr>
              <w:t>以新带老削减量</w:t>
            </w:r>
          </w:p>
          <w:p w14:paraId="04423229">
            <w:pPr>
              <w:pStyle w:val="28"/>
              <w:spacing w:beforeLines="0" w:afterLines="0" w:line="240" w:lineRule="auto"/>
              <w:ind w:left="356" w:hanging="356"/>
              <w:rPr>
                <w:rFonts w:ascii="Times New Roman" w:eastAsia="黑体"/>
                <w:snapToGrid w:val="0"/>
                <w:color w:val="000000"/>
                <w:spacing w:val="-16"/>
                <w:kern w:val="21"/>
                <w:szCs w:val="21"/>
              </w:rPr>
            </w:pPr>
            <w:r>
              <w:rPr>
                <w:rFonts w:ascii="Times New Roman" w:eastAsia="黑体"/>
                <w:snapToGrid w:val="0"/>
                <w:color w:val="000000"/>
                <w:spacing w:val="-16"/>
                <w:kern w:val="21"/>
                <w:szCs w:val="21"/>
              </w:rPr>
              <w:t>（新建项目不填）</w:t>
            </w:r>
            <w:r>
              <w:rPr>
                <w:rFonts w:ascii="Times New Roman" w:eastAsia="黑体"/>
                <w:snapToGrid w:val="0"/>
                <w:color w:val="000000"/>
                <w:spacing w:val="-16"/>
                <w:kern w:val="21"/>
                <w:szCs w:val="21"/>
              </w:rPr>
              <w:fldChar w:fldCharType="begin"/>
            </w:r>
            <w:r>
              <w:rPr>
                <w:rFonts w:ascii="Times New Roman" w:eastAsia="黑体"/>
                <w:snapToGrid w:val="0"/>
                <w:color w:val="000000"/>
                <w:spacing w:val="-16"/>
                <w:kern w:val="21"/>
                <w:szCs w:val="21"/>
              </w:rPr>
              <w:instrText xml:space="preserve"> = 5 \* GB3 \* MERGEFORMAT </w:instrText>
            </w:r>
            <w:r>
              <w:rPr>
                <w:rFonts w:ascii="Times New Roman" w:eastAsia="黑体"/>
                <w:snapToGrid w:val="0"/>
                <w:color w:val="000000"/>
                <w:spacing w:val="-16"/>
                <w:kern w:val="21"/>
                <w:szCs w:val="21"/>
              </w:rPr>
              <w:fldChar w:fldCharType="separate"/>
            </w:r>
            <w:r>
              <w:rPr>
                <w:rFonts w:ascii="Times New Roman" w:eastAsia="黑体"/>
                <w:kern w:val="2"/>
                <w:szCs w:val="21"/>
              </w:rPr>
              <w:t>⑤</w:t>
            </w:r>
            <w:r>
              <w:rPr>
                <w:rFonts w:ascii="Times New Roman" w:eastAsia="黑体"/>
                <w:snapToGrid w:val="0"/>
                <w:color w:val="000000"/>
                <w:spacing w:val="-16"/>
                <w:kern w:val="21"/>
                <w:szCs w:val="21"/>
              </w:rPr>
              <w:fldChar w:fldCharType="end"/>
            </w:r>
          </w:p>
        </w:tc>
        <w:tc>
          <w:tcPr>
            <w:tcW w:w="1661" w:type="dxa"/>
            <w:noWrap w:val="0"/>
            <w:tcMar>
              <w:left w:w="28" w:type="dxa"/>
              <w:right w:w="28" w:type="dxa"/>
            </w:tcMar>
            <w:vAlign w:val="center"/>
          </w:tcPr>
          <w:p w14:paraId="78B53383">
            <w:pPr>
              <w:pStyle w:val="28"/>
              <w:spacing w:beforeLines="0" w:afterLines="0" w:line="240" w:lineRule="auto"/>
              <w:ind w:left="356" w:hanging="356"/>
              <w:rPr>
                <w:rFonts w:ascii="Times New Roman" w:eastAsia="黑体"/>
                <w:snapToGrid w:val="0"/>
                <w:color w:val="000000"/>
                <w:spacing w:val="-16"/>
                <w:kern w:val="21"/>
                <w:szCs w:val="21"/>
              </w:rPr>
            </w:pPr>
            <w:r>
              <w:rPr>
                <w:rFonts w:ascii="Times New Roman" w:eastAsia="黑体"/>
                <w:snapToGrid w:val="0"/>
                <w:color w:val="000000"/>
                <w:spacing w:val="-16"/>
                <w:kern w:val="21"/>
                <w:szCs w:val="21"/>
              </w:rPr>
              <w:t>本项目建成后</w:t>
            </w:r>
          </w:p>
          <w:p w14:paraId="2CA96F59">
            <w:pPr>
              <w:pStyle w:val="28"/>
              <w:spacing w:beforeLines="0" w:afterLines="0" w:line="240" w:lineRule="auto"/>
              <w:ind w:left="356" w:hanging="356"/>
              <w:rPr>
                <w:rFonts w:ascii="Times New Roman" w:eastAsia="黑体"/>
                <w:snapToGrid w:val="0"/>
                <w:color w:val="000000"/>
                <w:spacing w:val="-16"/>
                <w:kern w:val="21"/>
                <w:szCs w:val="21"/>
              </w:rPr>
            </w:pPr>
            <w:r>
              <w:rPr>
                <w:rFonts w:ascii="Times New Roman" w:eastAsia="黑体"/>
                <w:snapToGrid w:val="0"/>
                <w:color w:val="000000"/>
                <w:spacing w:val="-16"/>
                <w:kern w:val="21"/>
                <w:szCs w:val="21"/>
              </w:rPr>
              <w:t>全厂排放量（固体废物产生量）</w:t>
            </w:r>
            <w:r>
              <w:rPr>
                <w:rFonts w:ascii="Times New Roman" w:eastAsia="黑体"/>
                <w:snapToGrid w:val="0"/>
                <w:color w:val="000000"/>
                <w:spacing w:val="-16"/>
                <w:kern w:val="21"/>
                <w:szCs w:val="21"/>
              </w:rPr>
              <w:fldChar w:fldCharType="begin"/>
            </w:r>
            <w:r>
              <w:rPr>
                <w:rFonts w:ascii="Times New Roman" w:eastAsia="黑体"/>
                <w:snapToGrid w:val="0"/>
                <w:color w:val="000000"/>
                <w:spacing w:val="-16"/>
                <w:kern w:val="21"/>
                <w:szCs w:val="21"/>
              </w:rPr>
              <w:instrText xml:space="preserve"> = 6 \* GB3 \* MERGEFORMAT </w:instrText>
            </w:r>
            <w:r>
              <w:rPr>
                <w:rFonts w:ascii="Times New Roman" w:eastAsia="黑体"/>
                <w:snapToGrid w:val="0"/>
                <w:color w:val="000000"/>
                <w:spacing w:val="-16"/>
                <w:kern w:val="21"/>
                <w:szCs w:val="21"/>
              </w:rPr>
              <w:fldChar w:fldCharType="separate"/>
            </w:r>
            <w:r>
              <w:rPr>
                <w:rFonts w:ascii="Times New Roman" w:eastAsia="黑体"/>
                <w:kern w:val="2"/>
                <w:szCs w:val="21"/>
              </w:rPr>
              <w:t>⑥</w:t>
            </w:r>
            <w:r>
              <w:rPr>
                <w:rFonts w:ascii="Times New Roman" w:eastAsia="黑体"/>
                <w:snapToGrid w:val="0"/>
                <w:color w:val="000000"/>
                <w:spacing w:val="-16"/>
                <w:kern w:val="21"/>
                <w:szCs w:val="21"/>
              </w:rPr>
              <w:fldChar w:fldCharType="end"/>
            </w:r>
          </w:p>
        </w:tc>
        <w:tc>
          <w:tcPr>
            <w:tcW w:w="1124" w:type="dxa"/>
            <w:noWrap w:val="0"/>
            <w:tcMar>
              <w:left w:w="28" w:type="dxa"/>
              <w:right w:w="28" w:type="dxa"/>
            </w:tcMar>
            <w:vAlign w:val="center"/>
          </w:tcPr>
          <w:p w14:paraId="5A44206B">
            <w:pPr>
              <w:pStyle w:val="28"/>
              <w:spacing w:beforeLines="0" w:afterLines="0" w:line="240" w:lineRule="auto"/>
              <w:ind w:left="396" w:hanging="396"/>
              <w:rPr>
                <w:rFonts w:ascii="Times New Roman" w:eastAsia="黑体"/>
                <w:snapToGrid w:val="0"/>
                <w:color w:val="000000"/>
                <w:spacing w:val="-6"/>
                <w:kern w:val="21"/>
                <w:szCs w:val="21"/>
              </w:rPr>
            </w:pPr>
            <w:r>
              <w:rPr>
                <w:rFonts w:ascii="Times New Roman" w:eastAsia="黑体"/>
                <w:snapToGrid w:val="0"/>
                <w:color w:val="000000"/>
                <w:spacing w:val="-6"/>
                <w:kern w:val="21"/>
                <w:szCs w:val="21"/>
              </w:rPr>
              <w:t>变化量</w:t>
            </w:r>
          </w:p>
          <w:p w14:paraId="3BADD4DA">
            <w:pPr>
              <w:pStyle w:val="28"/>
              <w:spacing w:beforeLines="0" w:afterLines="0" w:line="240" w:lineRule="auto"/>
              <w:ind w:left="420" w:hanging="420"/>
              <w:rPr>
                <w:rFonts w:ascii="Times New Roman" w:eastAsia="黑体"/>
                <w:snapToGrid w:val="0"/>
                <w:color w:val="000000"/>
                <w:spacing w:val="-6"/>
                <w:kern w:val="21"/>
                <w:szCs w:val="21"/>
              </w:rPr>
            </w:pP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7 \* GB3 \* MERGEFORMAT </w:instrText>
            </w:r>
            <w:r>
              <w:rPr>
                <w:rFonts w:ascii="Times New Roman" w:eastAsia="黑体"/>
                <w:snapToGrid w:val="0"/>
                <w:color w:val="000000"/>
                <w:spacing w:val="-6"/>
                <w:kern w:val="21"/>
                <w:szCs w:val="21"/>
              </w:rPr>
              <w:fldChar w:fldCharType="separate"/>
            </w:r>
            <w:r>
              <w:rPr>
                <w:rFonts w:ascii="Times New Roman" w:eastAsia="黑体"/>
                <w:kern w:val="2"/>
                <w:szCs w:val="21"/>
              </w:rPr>
              <w:t>⑦</w:t>
            </w:r>
            <w:r>
              <w:rPr>
                <w:rFonts w:ascii="Times New Roman" w:eastAsia="黑体"/>
                <w:snapToGrid w:val="0"/>
                <w:color w:val="000000"/>
                <w:spacing w:val="-6"/>
                <w:kern w:val="21"/>
                <w:szCs w:val="21"/>
              </w:rPr>
              <w:fldChar w:fldCharType="end"/>
            </w:r>
          </w:p>
        </w:tc>
      </w:tr>
      <w:tr w14:paraId="44B01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noWrap w:val="0"/>
            <w:vAlign w:val="center"/>
          </w:tcPr>
          <w:p w14:paraId="4DDEE1FA">
            <w:pPr>
              <w:pStyle w:val="28"/>
              <w:spacing w:beforeLines="0" w:afterLines="0" w:line="240" w:lineRule="auto"/>
              <w:ind w:left="420" w:hanging="420"/>
              <w:rPr>
                <w:rFonts w:ascii="Times New Roman"/>
                <w:snapToGrid w:val="0"/>
                <w:color w:val="000000"/>
                <w:kern w:val="21"/>
                <w:szCs w:val="21"/>
              </w:rPr>
            </w:pPr>
            <w:r>
              <w:rPr>
                <w:rFonts w:ascii="Times New Roman"/>
                <w:snapToGrid w:val="0"/>
                <w:color w:val="000000"/>
                <w:kern w:val="21"/>
                <w:szCs w:val="21"/>
              </w:rPr>
              <w:t>废气</w:t>
            </w:r>
          </w:p>
        </w:tc>
        <w:tc>
          <w:tcPr>
            <w:tcW w:w="1522" w:type="dxa"/>
            <w:noWrap w:val="0"/>
            <w:vAlign w:val="center"/>
          </w:tcPr>
          <w:p w14:paraId="29444788">
            <w:pPr>
              <w:jc w:val="center"/>
              <w:rPr>
                <w:rFonts w:hint="eastAsia"/>
                <w:snapToGrid w:val="0"/>
                <w:color w:val="000000"/>
                <w:kern w:val="21"/>
                <w:szCs w:val="21"/>
              </w:rPr>
            </w:pPr>
            <w:r>
              <w:rPr>
                <w:rFonts w:hint="eastAsia"/>
                <w:snapToGrid w:val="0"/>
                <w:color w:val="000000"/>
                <w:kern w:val="21"/>
                <w:szCs w:val="21"/>
                <w:lang w:val="en-US" w:eastAsia="zh-CN"/>
              </w:rPr>
              <w:t>颗粒物</w:t>
            </w:r>
          </w:p>
        </w:tc>
        <w:tc>
          <w:tcPr>
            <w:tcW w:w="1596" w:type="dxa"/>
            <w:noWrap w:val="0"/>
            <w:vAlign w:val="center"/>
          </w:tcPr>
          <w:p w14:paraId="604F19EB">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0.52t/a</w:t>
            </w:r>
          </w:p>
        </w:tc>
        <w:tc>
          <w:tcPr>
            <w:tcW w:w="1276" w:type="dxa"/>
            <w:noWrap w:val="0"/>
            <w:vAlign w:val="center"/>
          </w:tcPr>
          <w:p w14:paraId="739D7E3F">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701" w:type="dxa"/>
            <w:noWrap w:val="0"/>
            <w:vAlign w:val="center"/>
          </w:tcPr>
          <w:p w14:paraId="67B17764">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559" w:type="dxa"/>
            <w:noWrap w:val="0"/>
            <w:vAlign w:val="center"/>
          </w:tcPr>
          <w:p w14:paraId="549D655E">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0.2535t/a</w:t>
            </w:r>
          </w:p>
        </w:tc>
        <w:tc>
          <w:tcPr>
            <w:tcW w:w="1761" w:type="dxa"/>
            <w:noWrap w:val="0"/>
            <w:vAlign w:val="center"/>
          </w:tcPr>
          <w:p w14:paraId="1479F395">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661" w:type="dxa"/>
            <w:noWrap w:val="0"/>
            <w:vAlign w:val="center"/>
          </w:tcPr>
          <w:p w14:paraId="0CFC9E08">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0.7735t/a</w:t>
            </w:r>
          </w:p>
        </w:tc>
        <w:tc>
          <w:tcPr>
            <w:tcW w:w="1124" w:type="dxa"/>
            <w:noWrap w:val="0"/>
            <w:vAlign w:val="center"/>
          </w:tcPr>
          <w:p w14:paraId="68BFE981">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0.2535t/a</w:t>
            </w:r>
          </w:p>
        </w:tc>
      </w:tr>
      <w:tr w14:paraId="16085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588" w:type="dxa"/>
            <w:vMerge w:val="restart"/>
            <w:noWrap w:val="0"/>
            <w:vAlign w:val="center"/>
          </w:tcPr>
          <w:p w14:paraId="4369E954">
            <w:pPr>
              <w:pStyle w:val="28"/>
              <w:spacing w:beforeLines="0" w:afterLines="0" w:line="240" w:lineRule="auto"/>
              <w:ind w:left="420" w:hanging="420"/>
              <w:rPr>
                <w:rFonts w:ascii="Times New Roman"/>
                <w:snapToGrid w:val="0"/>
                <w:color w:val="000000"/>
                <w:kern w:val="21"/>
                <w:szCs w:val="21"/>
              </w:rPr>
            </w:pPr>
            <w:r>
              <w:rPr>
                <w:rFonts w:ascii="Times New Roman"/>
                <w:snapToGrid w:val="0"/>
                <w:color w:val="000000"/>
                <w:kern w:val="21"/>
                <w:szCs w:val="21"/>
              </w:rPr>
              <w:t>废水</w:t>
            </w:r>
          </w:p>
        </w:tc>
        <w:tc>
          <w:tcPr>
            <w:tcW w:w="1522" w:type="dxa"/>
            <w:noWrap w:val="0"/>
            <w:vAlign w:val="center"/>
          </w:tcPr>
          <w:p w14:paraId="4CA1E1C5">
            <w:pPr>
              <w:jc w:val="center"/>
              <w:rPr>
                <w:snapToGrid w:val="0"/>
                <w:color w:val="000000"/>
                <w:kern w:val="21"/>
                <w:szCs w:val="21"/>
              </w:rPr>
            </w:pPr>
            <w:r>
              <w:rPr>
                <w:szCs w:val="21"/>
              </w:rPr>
              <w:t>CODcr</w:t>
            </w:r>
          </w:p>
        </w:tc>
        <w:tc>
          <w:tcPr>
            <w:tcW w:w="1596" w:type="dxa"/>
            <w:noWrap w:val="0"/>
            <w:vAlign w:val="center"/>
          </w:tcPr>
          <w:p w14:paraId="731436F3">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2.4932t/a</w:t>
            </w:r>
          </w:p>
        </w:tc>
        <w:tc>
          <w:tcPr>
            <w:tcW w:w="1276" w:type="dxa"/>
            <w:noWrap w:val="0"/>
            <w:vAlign w:val="center"/>
          </w:tcPr>
          <w:p w14:paraId="1A8AFB9B">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701" w:type="dxa"/>
            <w:noWrap w:val="0"/>
            <w:vAlign w:val="center"/>
          </w:tcPr>
          <w:p w14:paraId="0336C036">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559" w:type="dxa"/>
            <w:noWrap w:val="0"/>
            <w:vAlign w:val="center"/>
          </w:tcPr>
          <w:p w14:paraId="480A31CD">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w:t>
            </w:r>
          </w:p>
        </w:tc>
        <w:tc>
          <w:tcPr>
            <w:tcW w:w="1761" w:type="dxa"/>
            <w:noWrap w:val="0"/>
            <w:vAlign w:val="center"/>
          </w:tcPr>
          <w:p w14:paraId="1679BDAB">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661" w:type="dxa"/>
            <w:noWrap w:val="0"/>
            <w:vAlign w:val="center"/>
          </w:tcPr>
          <w:p w14:paraId="113175B4">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2.4932t/a</w:t>
            </w:r>
          </w:p>
        </w:tc>
        <w:tc>
          <w:tcPr>
            <w:tcW w:w="1124" w:type="dxa"/>
            <w:noWrap w:val="0"/>
            <w:vAlign w:val="center"/>
          </w:tcPr>
          <w:p w14:paraId="2D36128B">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w:t>
            </w:r>
          </w:p>
        </w:tc>
      </w:tr>
      <w:tr w14:paraId="7E141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88" w:type="dxa"/>
            <w:vMerge w:val="continue"/>
            <w:noWrap w:val="0"/>
            <w:vAlign w:val="center"/>
          </w:tcPr>
          <w:p w14:paraId="738094C1">
            <w:pPr>
              <w:pStyle w:val="28"/>
              <w:spacing w:beforeLines="0" w:afterLines="0" w:line="240" w:lineRule="auto"/>
              <w:ind w:left="420" w:hanging="420"/>
              <w:rPr>
                <w:rFonts w:ascii="Times New Roman"/>
                <w:snapToGrid w:val="0"/>
                <w:color w:val="000000"/>
                <w:kern w:val="21"/>
                <w:szCs w:val="21"/>
              </w:rPr>
            </w:pPr>
          </w:p>
        </w:tc>
        <w:tc>
          <w:tcPr>
            <w:tcW w:w="1522" w:type="dxa"/>
            <w:noWrap w:val="0"/>
            <w:vAlign w:val="center"/>
          </w:tcPr>
          <w:p w14:paraId="49A618D8">
            <w:pPr>
              <w:jc w:val="center"/>
              <w:rPr>
                <w:snapToGrid w:val="0"/>
                <w:color w:val="000000"/>
                <w:kern w:val="21"/>
                <w:szCs w:val="21"/>
              </w:rPr>
            </w:pPr>
            <w:r>
              <w:rPr>
                <w:szCs w:val="21"/>
              </w:rPr>
              <w:t>NH</w:t>
            </w:r>
            <w:r>
              <w:rPr>
                <w:szCs w:val="21"/>
                <w:vertAlign w:val="subscript"/>
              </w:rPr>
              <w:t>3</w:t>
            </w:r>
            <w:r>
              <w:rPr>
                <w:szCs w:val="21"/>
              </w:rPr>
              <w:t>-N</w:t>
            </w:r>
          </w:p>
        </w:tc>
        <w:tc>
          <w:tcPr>
            <w:tcW w:w="1596" w:type="dxa"/>
            <w:noWrap w:val="0"/>
            <w:vAlign w:val="center"/>
          </w:tcPr>
          <w:p w14:paraId="4C181C55">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0.2476t/a</w:t>
            </w:r>
          </w:p>
        </w:tc>
        <w:tc>
          <w:tcPr>
            <w:tcW w:w="1276" w:type="dxa"/>
            <w:noWrap w:val="0"/>
            <w:vAlign w:val="center"/>
          </w:tcPr>
          <w:p w14:paraId="59C6D0B9">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701" w:type="dxa"/>
            <w:noWrap w:val="0"/>
            <w:vAlign w:val="center"/>
          </w:tcPr>
          <w:p w14:paraId="69BCBC9A">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559" w:type="dxa"/>
            <w:noWrap w:val="0"/>
            <w:vAlign w:val="center"/>
          </w:tcPr>
          <w:p w14:paraId="46844E99">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w:t>
            </w:r>
          </w:p>
        </w:tc>
        <w:tc>
          <w:tcPr>
            <w:tcW w:w="1761" w:type="dxa"/>
            <w:noWrap w:val="0"/>
            <w:vAlign w:val="center"/>
          </w:tcPr>
          <w:p w14:paraId="30BBCCBE">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661" w:type="dxa"/>
            <w:noWrap w:val="0"/>
            <w:vAlign w:val="center"/>
          </w:tcPr>
          <w:p w14:paraId="3C8DD6C9">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0.2476t/a</w:t>
            </w:r>
          </w:p>
        </w:tc>
        <w:tc>
          <w:tcPr>
            <w:tcW w:w="1124" w:type="dxa"/>
            <w:noWrap w:val="0"/>
            <w:vAlign w:val="center"/>
          </w:tcPr>
          <w:p w14:paraId="1345AFA9">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w:t>
            </w:r>
          </w:p>
        </w:tc>
      </w:tr>
      <w:tr w14:paraId="19994F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88" w:type="dxa"/>
            <w:vMerge w:val="continue"/>
            <w:noWrap w:val="0"/>
            <w:vAlign w:val="center"/>
          </w:tcPr>
          <w:p w14:paraId="4F0F5FC5">
            <w:pPr>
              <w:pStyle w:val="28"/>
              <w:spacing w:beforeLines="0" w:afterLines="0" w:line="240" w:lineRule="auto"/>
              <w:ind w:left="420" w:hanging="420"/>
              <w:rPr>
                <w:rFonts w:ascii="Times New Roman"/>
                <w:snapToGrid w:val="0"/>
                <w:color w:val="000000"/>
                <w:kern w:val="21"/>
                <w:szCs w:val="21"/>
              </w:rPr>
            </w:pPr>
          </w:p>
        </w:tc>
        <w:tc>
          <w:tcPr>
            <w:tcW w:w="1522" w:type="dxa"/>
            <w:noWrap w:val="0"/>
            <w:vAlign w:val="center"/>
          </w:tcPr>
          <w:p w14:paraId="18842F01">
            <w:pPr>
              <w:jc w:val="center"/>
              <w:rPr>
                <w:snapToGrid w:val="0"/>
                <w:color w:val="000000"/>
                <w:kern w:val="21"/>
                <w:szCs w:val="21"/>
              </w:rPr>
            </w:pPr>
            <w:r>
              <w:rPr>
                <w:rFonts w:hint="eastAsia"/>
                <w:szCs w:val="21"/>
              </w:rPr>
              <w:t>TN</w:t>
            </w:r>
          </w:p>
        </w:tc>
        <w:tc>
          <w:tcPr>
            <w:tcW w:w="1596" w:type="dxa"/>
            <w:noWrap w:val="0"/>
            <w:vAlign w:val="center"/>
          </w:tcPr>
          <w:p w14:paraId="1083AE86">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0.3447t/a</w:t>
            </w:r>
          </w:p>
        </w:tc>
        <w:tc>
          <w:tcPr>
            <w:tcW w:w="1276" w:type="dxa"/>
            <w:noWrap w:val="0"/>
            <w:vAlign w:val="center"/>
          </w:tcPr>
          <w:p w14:paraId="398A0179">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701" w:type="dxa"/>
            <w:noWrap w:val="0"/>
            <w:vAlign w:val="center"/>
          </w:tcPr>
          <w:p w14:paraId="74738E30">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559" w:type="dxa"/>
            <w:noWrap w:val="0"/>
            <w:vAlign w:val="center"/>
          </w:tcPr>
          <w:p w14:paraId="1DCAFE77">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w:t>
            </w:r>
          </w:p>
        </w:tc>
        <w:tc>
          <w:tcPr>
            <w:tcW w:w="1761" w:type="dxa"/>
            <w:noWrap w:val="0"/>
            <w:vAlign w:val="center"/>
          </w:tcPr>
          <w:p w14:paraId="610074B8">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661" w:type="dxa"/>
            <w:noWrap w:val="0"/>
            <w:vAlign w:val="center"/>
          </w:tcPr>
          <w:p w14:paraId="4AFF9F86">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0.3447t/a</w:t>
            </w:r>
          </w:p>
        </w:tc>
        <w:tc>
          <w:tcPr>
            <w:tcW w:w="1124" w:type="dxa"/>
            <w:noWrap w:val="0"/>
            <w:vAlign w:val="center"/>
          </w:tcPr>
          <w:p w14:paraId="6300C97E">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w:t>
            </w:r>
          </w:p>
        </w:tc>
      </w:tr>
      <w:tr w14:paraId="691715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588" w:type="dxa"/>
            <w:vMerge w:val="continue"/>
            <w:noWrap w:val="0"/>
            <w:vAlign w:val="center"/>
          </w:tcPr>
          <w:p w14:paraId="72933C3E">
            <w:pPr>
              <w:pStyle w:val="28"/>
              <w:spacing w:beforeLines="0" w:afterLines="0" w:line="240" w:lineRule="auto"/>
              <w:ind w:left="420" w:hanging="420"/>
              <w:rPr>
                <w:rFonts w:ascii="Times New Roman"/>
                <w:snapToGrid w:val="0"/>
                <w:color w:val="000000"/>
                <w:kern w:val="21"/>
                <w:szCs w:val="21"/>
              </w:rPr>
            </w:pPr>
          </w:p>
        </w:tc>
        <w:tc>
          <w:tcPr>
            <w:tcW w:w="1522" w:type="dxa"/>
            <w:noWrap w:val="0"/>
            <w:vAlign w:val="center"/>
          </w:tcPr>
          <w:p w14:paraId="103EFBAC">
            <w:pPr>
              <w:jc w:val="center"/>
              <w:rPr>
                <w:snapToGrid w:val="0"/>
                <w:color w:val="000000"/>
                <w:kern w:val="21"/>
                <w:szCs w:val="21"/>
              </w:rPr>
            </w:pPr>
            <w:r>
              <w:rPr>
                <w:rFonts w:hint="eastAsia"/>
                <w:szCs w:val="21"/>
              </w:rPr>
              <w:t>TP</w:t>
            </w:r>
          </w:p>
        </w:tc>
        <w:tc>
          <w:tcPr>
            <w:tcW w:w="1596" w:type="dxa"/>
            <w:noWrap w:val="0"/>
            <w:vAlign w:val="center"/>
          </w:tcPr>
          <w:p w14:paraId="265E6004">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0.0359t/a</w:t>
            </w:r>
          </w:p>
        </w:tc>
        <w:tc>
          <w:tcPr>
            <w:tcW w:w="1276" w:type="dxa"/>
            <w:noWrap w:val="0"/>
            <w:vAlign w:val="center"/>
          </w:tcPr>
          <w:p w14:paraId="079999C9">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701" w:type="dxa"/>
            <w:noWrap w:val="0"/>
            <w:vAlign w:val="center"/>
          </w:tcPr>
          <w:p w14:paraId="1FBCBF95">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559" w:type="dxa"/>
            <w:noWrap w:val="0"/>
            <w:vAlign w:val="center"/>
          </w:tcPr>
          <w:p w14:paraId="7174ECAF">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w:t>
            </w:r>
          </w:p>
        </w:tc>
        <w:tc>
          <w:tcPr>
            <w:tcW w:w="1761" w:type="dxa"/>
            <w:noWrap w:val="0"/>
            <w:vAlign w:val="center"/>
          </w:tcPr>
          <w:p w14:paraId="540962DC">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661" w:type="dxa"/>
            <w:noWrap w:val="0"/>
            <w:vAlign w:val="center"/>
          </w:tcPr>
          <w:p w14:paraId="6EE63CED">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0.0359t/a</w:t>
            </w:r>
          </w:p>
        </w:tc>
        <w:tc>
          <w:tcPr>
            <w:tcW w:w="1124" w:type="dxa"/>
            <w:noWrap w:val="0"/>
            <w:vAlign w:val="center"/>
          </w:tcPr>
          <w:p w14:paraId="0BC1B62A">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w:t>
            </w:r>
          </w:p>
        </w:tc>
      </w:tr>
      <w:tr w14:paraId="499AEB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restart"/>
            <w:noWrap w:val="0"/>
            <w:vAlign w:val="center"/>
          </w:tcPr>
          <w:p w14:paraId="4C926EF6">
            <w:pPr>
              <w:pStyle w:val="28"/>
              <w:spacing w:beforeLines="0" w:afterLines="0" w:line="240" w:lineRule="auto"/>
              <w:ind w:left="420" w:hanging="420"/>
              <w:rPr>
                <w:rFonts w:ascii="Times New Roman"/>
                <w:snapToGrid w:val="0"/>
                <w:color w:val="000000"/>
                <w:kern w:val="21"/>
                <w:szCs w:val="21"/>
              </w:rPr>
            </w:pPr>
            <w:r>
              <w:rPr>
                <w:rFonts w:ascii="Times New Roman"/>
                <w:snapToGrid w:val="0"/>
                <w:color w:val="000000"/>
                <w:kern w:val="21"/>
                <w:szCs w:val="21"/>
              </w:rPr>
              <w:t>一般工业</w:t>
            </w:r>
          </w:p>
          <w:p w14:paraId="6D862A2F">
            <w:pPr>
              <w:pStyle w:val="28"/>
              <w:spacing w:beforeLines="0" w:afterLines="0" w:line="240" w:lineRule="auto"/>
              <w:ind w:left="420" w:hanging="420"/>
              <w:rPr>
                <w:rFonts w:ascii="Times New Roman"/>
                <w:snapToGrid w:val="0"/>
                <w:color w:val="000000"/>
                <w:kern w:val="21"/>
                <w:szCs w:val="21"/>
              </w:rPr>
            </w:pPr>
            <w:r>
              <w:rPr>
                <w:rFonts w:ascii="Times New Roman"/>
                <w:snapToGrid w:val="0"/>
                <w:color w:val="000000"/>
                <w:kern w:val="21"/>
                <w:szCs w:val="21"/>
              </w:rPr>
              <w:t>固体废物</w:t>
            </w:r>
          </w:p>
        </w:tc>
        <w:tc>
          <w:tcPr>
            <w:tcW w:w="1522" w:type="dxa"/>
            <w:noWrap w:val="0"/>
            <w:vAlign w:val="center"/>
          </w:tcPr>
          <w:p w14:paraId="034F3508">
            <w:pPr>
              <w:jc w:val="center"/>
              <w:rPr>
                <w:rFonts w:hint="eastAsia" w:eastAsia="宋体"/>
                <w:lang w:eastAsia="zh-CN"/>
              </w:rPr>
            </w:pPr>
            <w:r>
              <w:rPr>
                <w:rFonts w:hint="eastAsia" w:ascii="Times New Roman" w:hAnsi="Times New Roman" w:eastAsia="宋体" w:cs="Times New Roman"/>
                <w:bCs/>
                <w:sz w:val="21"/>
                <w:szCs w:val="21"/>
                <w:u w:val="none"/>
                <w:lang w:val="en-US" w:eastAsia="zh-CN"/>
              </w:rPr>
              <w:t>废包装袋</w:t>
            </w:r>
          </w:p>
        </w:tc>
        <w:tc>
          <w:tcPr>
            <w:tcW w:w="1596" w:type="dxa"/>
            <w:noWrap w:val="0"/>
            <w:vAlign w:val="center"/>
          </w:tcPr>
          <w:p w14:paraId="1B9BE215">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5.0t/a</w:t>
            </w:r>
          </w:p>
        </w:tc>
        <w:tc>
          <w:tcPr>
            <w:tcW w:w="1276" w:type="dxa"/>
            <w:noWrap w:val="0"/>
            <w:vAlign w:val="center"/>
          </w:tcPr>
          <w:p w14:paraId="00D985E4">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701" w:type="dxa"/>
            <w:noWrap w:val="0"/>
            <w:vAlign w:val="center"/>
          </w:tcPr>
          <w:p w14:paraId="50B52502">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559" w:type="dxa"/>
            <w:noWrap w:val="0"/>
            <w:vAlign w:val="center"/>
          </w:tcPr>
          <w:p w14:paraId="02B80F96">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761" w:type="dxa"/>
            <w:noWrap w:val="0"/>
            <w:vAlign w:val="center"/>
          </w:tcPr>
          <w:p w14:paraId="70A7E62A">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661" w:type="dxa"/>
            <w:noWrap w:val="0"/>
            <w:vAlign w:val="center"/>
          </w:tcPr>
          <w:p w14:paraId="2CA8460C">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5.0t/a</w:t>
            </w:r>
          </w:p>
        </w:tc>
        <w:tc>
          <w:tcPr>
            <w:tcW w:w="1124" w:type="dxa"/>
            <w:noWrap w:val="0"/>
            <w:vAlign w:val="center"/>
          </w:tcPr>
          <w:p w14:paraId="0E1A3A00">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w:t>
            </w:r>
          </w:p>
        </w:tc>
      </w:tr>
      <w:tr w14:paraId="69036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noWrap w:val="0"/>
            <w:vAlign w:val="center"/>
          </w:tcPr>
          <w:p w14:paraId="02D4EA86">
            <w:pPr>
              <w:pStyle w:val="28"/>
              <w:spacing w:beforeLines="0" w:afterLines="0" w:line="240" w:lineRule="auto"/>
              <w:ind w:left="420" w:hanging="420"/>
              <w:rPr>
                <w:rFonts w:ascii="Times New Roman"/>
                <w:snapToGrid w:val="0"/>
                <w:color w:val="000000"/>
                <w:kern w:val="21"/>
                <w:szCs w:val="21"/>
              </w:rPr>
            </w:pPr>
          </w:p>
        </w:tc>
        <w:tc>
          <w:tcPr>
            <w:tcW w:w="1522" w:type="dxa"/>
            <w:noWrap w:val="0"/>
            <w:vAlign w:val="center"/>
          </w:tcPr>
          <w:p w14:paraId="439E98AC">
            <w:pPr>
              <w:jc w:val="center"/>
              <w:rPr>
                <w:rFonts w:hint="eastAsia"/>
                <w:lang w:val="en-US" w:eastAsia="zh-CN"/>
              </w:rPr>
            </w:pPr>
            <w:r>
              <w:rPr>
                <w:rFonts w:hint="eastAsia" w:ascii="Times New Roman" w:hAnsi="Times New Roman" w:eastAsia="宋体" w:cs="Times New Roman"/>
                <w:bCs/>
                <w:sz w:val="21"/>
                <w:szCs w:val="21"/>
                <w:u w:val="none"/>
                <w:lang w:val="en-US" w:eastAsia="zh-CN"/>
              </w:rPr>
              <w:t>废包装箱</w:t>
            </w:r>
          </w:p>
        </w:tc>
        <w:tc>
          <w:tcPr>
            <w:tcW w:w="1596" w:type="dxa"/>
            <w:noWrap w:val="0"/>
            <w:vAlign w:val="center"/>
          </w:tcPr>
          <w:p w14:paraId="06FEDDE0">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5.0t/a</w:t>
            </w:r>
          </w:p>
        </w:tc>
        <w:tc>
          <w:tcPr>
            <w:tcW w:w="1276" w:type="dxa"/>
            <w:noWrap w:val="0"/>
            <w:vAlign w:val="center"/>
          </w:tcPr>
          <w:p w14:paraId="1D055AAA">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701" w:type="dxa"/>
            <w:noWrap w:val="0"/>
            <w:vAlign w:val="center"/>
          </w:tcPr>
          <w:p w14:paraId="4E4CD615">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559" w:type="dxa"/>
            <w:noWrap w:val="0"/>
            <w:vAlign w:val="center"/>
          </w:tcPr>
          <w:p w14:paraId="6428C512">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761" w:type="dxa"/>
            <w:noWrap w:val="0"/>
            <w:vAlign w:val="center"/>
          </w:tcPr>
          <w:p w14:paraId="62D41625">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661" w:type="dxa"/>
            <w:noWrap w:val="0"/>
            <w:vAlign w:val="center"/>
          </w:tcPr>
          <w:p w14:paraId="6C62808F">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5.0t/a</w:t>
            </w:r>
          </w:p>
        </w:tc>
        <w:tc>
          <w:tcPr>
            <w:tcW w:w="1124" w:type="dxa"/>
            <w:noWrap w:val="0"/>
            <w:vAlign w:val="center"/>
          </w:tcPr>
          <w:p w14:paraId="1A1C3064">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w:t>
            </w:r>
          </w:p>
        </w:tc>
      </w:tr>
      <w:tr w14:paraId="521B8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noWrap w:val="0"/>
            <w:vAlign w:val="center"/>
          </w:tcPr>
          <w:p w14:paraId="5B2D6C7D">
            <w:pPr>
              <w:pStyle w:val="28"/>
              <w:spacing w:beforeLines="0" w:afterLines="0" w:line="240" w:lineRule="auto"/>
              <w:ind w:left="420" w:hanging="420"/>
              <w:rPr>
                <w:rFonts w:hint="eastAsia" w:ascii="Times New Roman"/>
                <w:snapToGrid w:val="0"/>
                <w:color w:val="000000"/>
                <w:kern w:val="21"/>
                <w:szCs w:val="21"/>
              </w:rPr>
            </w:pPr>
            <w:r>
              <w:rPr>
                <w:rFonts w:hint="eastAsia" w:ascii="Times New Roman"/>
                <w:snapToGrid w:val="0"/>
                <w:color w:val="000000"/>
                <w:kern w:val="21"/>
                <w:szCs w:val="21"/>
              </w:rPr>
              <w:t>生活垃圾</w:t>
            </w:r>
          </w:p>
        </w:tc>
        <w:tc>
          <w:tcPr>
            <w:tcW w:w="1522" w:type="dxa"/>
            <w:noWrap w:val="0"/>
            <w:vAlign w:val="center"/>
          </w:tcPr>
          <w:p w14:paraId="0F730D3E">
            <w:pPr>
              <w:pStyle w:val="26"/>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kern w:val="2"/>
                <w:szCs w:val="24"/>
              </w:rPr>
            </w:pPr>
            <w:r>
              <w:rPr>
                <w:rFonts w:hint="eastAsia" w:ascii="Times New Roman" w:hAnsi="Times New Roman"/>
                <w:kern w:val="2"/>
                <w:szCs w:val="24"/>
              </w:rPr>
              <w:t>生活垃圾</w:t>
            </w:r>
          </w:p>
        </w:tc>
        <w:tc>
          <w:tcPr>
            <w:tcW w:w="1596" w:type="dxa"/>
            <w:noWrap w:val="0"/>
            <w:vAlign w:val="center"/>
          </w:tcPr>
          <w:p w14:paraId="1475DF17">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22.0t/a</w:t>
            </w:r>
          </w:p>
        </w:tc>
        <w:tc>
          <w:tcPr>
            <w:tcW w:w="1276" w:type="dxa"/>
            <w:noWrap w:val="0"/>
            <w:vAlign w:val="center"/>
          </w:tcPr>
          <w:p w14:paraId="68EBD67D">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701" w:type="dxa"/>
            <w:noWrap w:val="0"/>
            <w:vAlign w:val="center"/>
          </w:tcPr>
          <w:p w14:paraId="3821A814">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559" w:type="dxa"/>
            <w:noWrap w:val="0"/>
            <w:vAlign w:val="center"/>
          </w:tcPr>
          <w:p w14:paraId="39093A1E">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761" w:type="dxa"/>
            <w:noWrap w:val="0"/>
            <w:vAlign w:val="center"/>
          </w:tcPr>
          <w:p w14:paraId="1AF076E5">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661" w:type="dxa"/>
            <w:noWrap w:val="0"/>
            <w:vAlign w:val="center"/>
          </w:tcPr>
          <w:p w14:paraId="1CA983A5">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22.0t/a</w:t>
            </w:r>
          </w:p>
        </w:tc>
        <w:tc>
          <w:tcPr>
            <w:tcW w:w="1124" w:type="dxa"/>
            <w:noWrap w:val="0"/>
            <w:vAlign w:val="center"/>
          </w:tcPr>
          <w:p w14:paraId="43DD2DAD">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0</w:t>
            </w:r>
          </w:p>
        </w:tc>
      </w:tr>
      <w:tr w14:paraId="66970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88" w:type="dxa"/>
            <w:noWrap w:val="0"/>
            <w:vAlign w:val="center"/>
          </w:tcPr>
          <w:p w14:paraId="70A151F3">
            <w:pPr>
              <w:pStyle w:val="28"/>
              <w:spacing w:beforeLines="0" w:afterLines="0" w:line="240" w:lineRule="auto"/>
              <w:ind w:left="420" w:hanging="420"/>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待鉴定</w:t>
            </w:r>
          </w:p>
        </w:tc>
        <w:tc>
          <w:tcPr>
            <w:tcW w:w="1522" w:type="dxa"/>
            <w:noWrap w:val="0"/>
            <w:vAlign w:val="center"/>
          </w:tcPr>
          <w:p w14:paraId="0AD3DAE3">
            <w:pPr>
              <w:jc w:val="center"/>
              <w:rPr>
                <w:rFonts w:hint="default" w:eastAsia="宋体"/>
                <w:szCs w:val="21"/>
                <w:lang w:val="en-US" w:eastAsia="zh-CN"/>
              </w:rPr>
            </w:pPr>
            <w:r>
              <w:rPr>
                <w:rFonts w:hint="eastAsia" w:eastAsia="宋体"/>
                <w:szCs w:val="21"/>
                <w:lang w:val="en-US" w:eastAsia="zh-CN"/>
              </w:rPr>
              <w:t>废包装</w:t>
            </w:r>
          </w:p>
        </w:tc>
        <w:tc>
          <w:tcPr>
            <w:tcW w:w="1596" w:type="dxa"/>
            <w:noWrap w:val="0"/>
            <w:vAlign w:val="center"/>
          </w:tcPr>
          <w:p w14:paraId="19B719CB">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276" w:type="dxa"/>
            <w:noWrap w:val="0"/>
            <w:vAlign w:val="center"/>
          </w:tcPr>
          <w:p w14:paraId="6A33C921">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701" w:type="dxa"/>
            <w:noWrap w:val="0"/>
            <w:vAlign w:val="center"/>
          </w:tcPr>
          <w:p w14:paraId="478D1B92">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559" w:type="dxa"/>
            <w:noWrap w:val="0"/>
            <w:vAlign w:val="center"/>
          </w:tcPr>
          <w:p w14:paraId="28B8C6A8">
            <w:pPr>
              <w:widowControl/>
              <w:jc w:val="center"/>
              <w:textAlignment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2t/a</w:t>
            </w:r>
          </w:p>
        </w:tc>
        <w:tc>
          <w:tcPr>
            <w:tcW w:w="1761" w:type="dxa"/>
            <w:noWrap w:val="0"/>
            <w:vAlign w:val="center"/>
          </w:tcPr>
          <w:p w14:paraId="7F594A28">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1661" w:type="dxa"/>
            <w:noWrap w:val="0"/>
            <w:vAlign w:val="center"/>
          </w:tcPr>
          <w:p w14:paraId="42A6B117">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2t/a</w:t>
            </w:r>
          </w:p>
        </w:tc>
        <w:tc>
          <w:tcPr>
            <w:tcW w:w="1124" w:type="dxa"/>
            <w:noWrap w:val="0"/>
            <w:vAlign w:val="center"/>
          </w:tcPr>
          <w:p w14:paraId="74BC50A7">
            <w:pPr>
              <w:widowControl/>
              <w:jc w:val="center"/>
              <w:textAlignment w:val="center"/>
              <w:rPr>
                <w:rFonts w:hint="eastAsia"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2t/a</w:t>
            </w:r>
          </w:p>
        </w:tc>
      </w:tr>
    </w:tbl>
    <w:p w14:paraId="638D108C">
      <w:pPr>
        <w:pStyle w:val="28"/>
        <w:spacing w:before="192" w:beforeLines="80" w:after="24"/>
        <w:ind w:left="420" w:hanging="420"/>
        <w:jc w:val="left"/>
        <w:rPr>
          <w:rFonts w:hAnsi="宋体"/>
          <w:snapToGrid w:val="0"/>
          <w:color w:val="000000"/>
          <w:spacing w:val="-6"/>
          <w:kern w:val="21"/>
          <w:szCs w:val="21"/>
        </w:rPr>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14:paraId="313DBD29">
      <w:pPr>
        <w:spacing w:line="360" w:lineRule="auto"/>
        <w:jc w:val="center"/>
        <w:rPr>
          <w:rFonts w:hint="eastAsia" w:ascii="Arial" w:hAnsi="Arial"/>
          <w:b/>
          <w:sz w:val="48"/>
          <w:szCs w:val="48"/>
        </w:rPr>
      </w:pPr>
    </w:p>
    <w:p w14:paraId="5EC2F39E">
      <w:pPr>
        <w:spacing w:line="360" w:lineRule="auto"/>
        <w:jc w:val="center"/>
        <w:rPr>
          <w:rFonts w:hint="eastAsia" w:ascii="Arial" w:hAnsi="Arial" w:eastAsia="宋体"/>
          <w:b/>
          <w:sz w:val="36"/>
          <w:szCs w:val="36"/>
          <w:lang w:eastAsia="zh-CN"/>
        </w:rPr>
      </w:pPr>
      <w:r>
        <w:rPr>
          <w:rFonts w:hint="eastAsia" w:ascii="Arial" w:hAnsi="Arial"/>
          <w:b/>
          <w:sz w:val="36"/>
          <w:szCs w:val="36"/>
          <w:lang w:eastAsia="zh-CN"/>
        </w:rPr>
        <w:t>钦州石化产业园区志得化学品仓储物流项目（一期）</w:t>
      </w:r>
    </w:p>
    <w:p w14:paraId="3CF349E0">
      <w:pPr>
        <w:spacing w:line="360" w:lineRule="auto"/>
        <w:jc w:val="center"/>
        <w:rPr>
          <w:rFonts w:hint="eastAsia" w:ascii="Arial" w:hAnsi="Arial"/>
          <w:b/>
          <w:sz w:val="36"/>
          <w:szCs w:val="36"/>
        </w:rPr>
      </w:pPr>
      <w:r>
        <w:rPr>
          <w:rFonts w:hint="eastAsia" w:ascii="Arial" w:hAnsi="Arial"/>
          <w:b/>
          <w:sz w:val="36"/>
          <w:szCs w:val="36"/>
        </w:rPr>
        <w:t>环境</w:t>
      </w:r>
      <w:r>
        <w:rPr>
          <w:rFonts w:hint="eastAsia" w:ascii="Arial" w:hAnsi="Arial"/>
          <w:b/>
          <w:sz w:val="36"/>
          <w:szCs w:val="36"/>
          <w:lang w:val="en-US" w:eastAsia="zh-CN"/>
        </w:rPr>
        <w:t>风险</w:t>
      </w:r>
      <w:r>
        <w:rPr>
          <w:rFonts w:hint="eastAsia" w:ascii="Arial" w:hAnsi="Arial"/>
          <w:b/>
          <w:sz w:val="36"/>
          <w:szCs w:val="36"/>
        </w:rPr>
        <w:t>专项评价</w:t>
      </w:r>
    </w:p>
    <w:p w14:paraId="3D6389A5">
      <w:pPr>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3530B6FC">
      <w:pPr>
        <w:pStyle w:val="7"/>
        <w:tabs>
          <w:tab w:val="right" w:leader="dot" w:pos="8844"/>
          <w:tab w:val="clear" w:pos="8296"/>
        </w:tabs>
        <w:spacing w:line="360" w:lineRule="auto"/>
        <w:rPr>
          <w:rFonts w:hint="eastAsia" w:ascii="宋体" w:hAnsi="宋体" w:cs="宋体"/>
          <w:kern w:val="2"/>
          <w:sz w:val="24"/>
          <w:szCs w:val="28"/>
          <w:lang w:val="en-US" w:eastAsia="zh-CN" w:bidi="ar-SA"/>
        </w:rPr>
      </w:pPr>
      <w:bookmarkStart w:id="34" w:name="_Toc15351"/>
      <w:r>
        <w:rPr>
          <w:rFonts w:ascii="Arial" w:hAnsi="Arial"/>
          <w:b/>
          <w:sz w:val="30"/>
          <w:szCs w:val="30"/>
        </w:rPr>
        <w:t>目录</w:t>
      </w:r>
      <w:r>
        <w:rPr>
          <w:rFonts w:hint="eastAsia" w:ascii="宋体" w:hAnsi="宋体" w:cs="宋体"/>
          <w:sz w:val="24"/>
          <w:szCs w:val="24"/>
        </w:rPr>
        <w:fldChar w:fldCharType="begin"/>
      </w:r>
      <w:r>
        <w:rPr>
          <w:rFonts w:hint="eastAsia" w:ascii="宋体" w:hAnsi="宋体" w:cs="宋体"/>
          <w:sz w:val="24"/>
          <w:szCs w:val="24"/>
        </w:rPr>
        <w:instrText xml:space="preserve">TOC \o "1-2" \h \u </w:instrText>
      </w:r>
      <w:r>
        <w:rPr>
          <w:rFonts w:hint="eastAsia" w:ascii="宋体" w:hAnsi="宋体" w:cs="宋体"/>
          <w:sz w:val="24"/>
          <w:szCs w:val="24"/>
        </w:rPr>
        <w:fldChar w:fldCharType="separate"/>
      </w:r>
    </w:p>
    <w:p w14:paraId="39E36EB0">
      <w:pPr>
        <w:pStyle w:val="16"/>
        <w:tabs>
          <w:tab w:val="right" w:leader="dot" w:pos="8777"/>
        </w:tabs>
        <w:rPr>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_Toc30710 </w:instrText>
      </w:r>
      <w:r>
        <w:rPr>
          <w:rFonts w:hint="eastAsia" w:ascii="宋体" w:hAnsi="宋体" w:cs="宋体"/>
          <w:sz w:val="24"/>
          <w:szCs w:val="24"/>
        </w:rPr>
        <w:fldChar w:fldCharType="separate"/>
      </w:r>
      <w:r>
        <w:rPr>
          <w:rFonts w:hint="default" w:ascii="Times New Roman" w:hAnsi="Times New Roman" w:eastAsia="宋体" w:cs="Times New Roman"/>
          <w:bCs w:val="0"/>
          <w:sz w:val="24"/>
          <w:szCs w:val="24"/>
          <w:lang w:val="zh-CN"/>
        </w:rPr>
        <w:t>1.1. 项目由来</w:t>
      </w:r>
      <w:r>
        <w:rPr>
          <w:sz w:val="24"/>
          <w:szCs w:val="24"/>
        </w:rPr>
        <w:tab/>
      </w:r>
      <w:r>
        <w:rPr>
          <w:sz w:val="24"/>
          <w:szCs w:val="24"/>
        </w:rPr>
        <w:fldChar w:fldCharType="begin"/>
      </w:r>
      <w:r>
        <w:rPr>
          <w:sz w:val="24"/>
          <w:szCs w:val="24"/>
        </w:rPr>
        <w:instrText xml:space="preserve"> PAGEREF _Toc30710 \h </w:instrText>
      </w:r>
      <w:r>
        <w:rPr>
          <w:sz w:val="24"/>
          <w:szCs w:val="24"/>
        </w:rPr>
        <w:fldChar w:fldCharType="separate"/>
      </w:r>
      <w:r>
        <w:rPr>
          <w:sz w:val="24"/>
          <w:szCs w:val="24"/>
        </w:rPr>
        <w:t>1</w:t>
      </w:r>
      <w:r>
        <w:rPr>
          <w:sz w:val="24"/>
          <w:szCs w:val="24"/>
        </w:rPr>
        <w:fldChar w:fldCharType="end"/>
      </w:r>
      <w:r>
        <w:rPr>
          <w:rFonts w:hint="eastAsia" w:ascii="宋体" w:hAnsi="宋体" w:cs="宋体"/>
          <w:sz w:val="24"/>
          <w:szCs w:val="24"/>
        </w:rPr>
        <w:fldChar w:fldCharType="end"/>
      </w:r>
    </w:p>
    <w:p w14:paraId="060E292E">
      <w:pPr>
        <w:pStyle w:val="16"/>
        <w:tabs>
          <w:tab w:val="right" w:leader="dot" w:pos="8777"/>
        </w:tabs>
        <w:rPr>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_Toc5082 </w:instrText>
      </w:r>
      <w:r>
        <w:rPr>
          <w:rFonts w:hint="eastAsia" w:ascii="宋体" w:hAnsi="宋体" w:cs="宋体"/>
          <w:sz w:val="24"/>
          <w:szCs w:val="24"/>
        </w:rPr>
        <w:fldChar w:fldCharType="separate"/>
      </w:r>
      <w:r>
        <w:rPr>
          <w:rFonts w:hint="default" w:ascii="Times New Roman" w:hAnsi="Times New Roman" w:eastAsia="宋体" w:cs="Times New Roman"/>
          <w:bCs w:val="0"/>
          <w:sz w:val="24"/>
          <w:szCs w:val="24"/>
          <w:lang w:val="en-US" w:eastAsia="zh-CN"/>
        </w:rPr>
        <w:t>1.2. 风险调查</w:t>
      </w:r>
      <w:r>
        <w:rPr>
          <w:sz w:val="24"/>
          <w:szCs w:val="24"/>
        </w:rPr>
        <w:tab/>
      </w:r>
      <w:r>
        <w:rPr>
          <w:sz w:val="24"/>
          <w:szCs w:val="24"/>
        </w:rPr>
        <w:fldChar w:fldCharType="begin"/>
      </w:r>
      <w:r>
        <w:rPr>
          <w:sz w:val="24"/>
          <w:szCs w:val="24"/>
        </w:rPr>
        <w:instrText xml:space="preserve"> PAGEREF _Toc5082 \h </w:instrText>
      </w:r>
      <w:r>
        <w:rPr>
          <w:sz w:val="24"/>
          <w:szCs w:val="24"/>
        </w:rPr>
        <w:fldChar w:fldCharType="separate"/>
      </w:r>
      <w:r>
        <w:rPr>
          <w:sz w:val="24"/>
          <w:szCs w:val="24"/>
        </w:rPr>
        <w:t>2</w:t>
      </w:r>
      <w:r>
        <w:rPr>
          <w:sz w:val="24"/>
          <w:szCs w:val="24"/>
        </w:rPr>
        <w:fldChar w:fldCharType="end"/>
      </w:r>
      <w:r>
        <w:rPr>
          <w:rFonts w:hint="eastAsia" w:ascii="宋体" w:hAnsi="宋体" w:cs="宋体"/>
          <w:sz w:val="24"/>
          <w:szCs w:val="24"/>
        </w:rPr>
        <w:fldChar w:fldCharType="end"/>
      </w:r>
    </w:p>
    <w:p w14:paraId="4990BF2C">
      <w:pPr>
        <w:pStyle w:val="16"/>
        <w:tabs>
          <w:tab w:val="right" w:leader="dot" w:pos="8777"/>
        </w:tabs>
        <w:rPr>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_Toc457 </w:instrText>
      </w:r>
      <w:r>
        <w:rPr>
          <w:rFonts w:hint="eastAsia" w:ascii="宋体" w:hAnsi="宋体" w:cs="宋体"/>
          <w:sz w:val="24"/>
          <w:szCs w:val="24"/>
        </w:rPr>
        <w:fldChar w:fldCharType="separate"/>
      </w:r>
      <w:r>
        <w:rPr>
          <w:rFonts w:hint="default" w:ascii="Times New Roman" w:hAnsi="Times New Roman" w:eastAsia="宋体" w:cs="Times New Roman"/>
          <w:bCs w:val="0"/>
          <w:sz w:val="24"/>
          <w:szCs w:val="24"/>
          <w:lang w:val="zh-CN" w:eastAsia="zh-CN"/>
        </w:rPr>
        <w:t>1.3. 环境风险潜势初判</w:t>
      </w:r>
      <w:r>
        <w:rPr>
          <w:sz w:val="24"/>
          <w:szCs w:val="24"/>
        </w:rPr>
        <w:tab/>
      </w:r>
      <w:r>
        <w:rPr>
          <w:sz w:val="24"/>
          <w:szCs w:val="24"/>
        </w:rPr>
        <w:fldChar w:fldCharType="begin"/>
      </w:r>
      <w:r>
        <w:rPr>
          <w:sz w:val="24"/>
          <w:szCs w:val="24"/>
        </w:rPr>
        <w:instrText xml:space="preserve"> PAGEREF _Toc457 \h </w:instrText>
      </w:r>
      <w:r>
        <w:rPr>
          <w:sz w:val="24"/>
          <w:szCs w:val="24"/>
        </w:rPr>
        <w:fldChar w:fldCharType="separate"/>
      </w:r>
      <w:r>
        <w:rPr>
          <w:sz w:val="24"/>
          <w:szCs w:val="24"/>
        </w:rPr>
        <w:t>8</w:t>
      </w:r>
      <w:r>
        <w:rPr>
          <w:sz w:val="24"/>
          <w:szCs w:val="24"/>
        </w:rPr>
        <w:fldChar w:fldCharType="end"/>
      </w:r>
      <w:r>
        <w:rPr>
          <w:rFonts w:hint="eastAsia" w:ascii="宋体" w:hAnsi="宋体" w:cs="宋体"/>
          <w:sz w:val="24"/>
          <w:szCs w:val="24"/>
        </w:rPr>
        <w:fldChar w:fldCharType="end"/>
      </w:r>
    </w:p>
    <w:p w14:paraId="6901B768">
      <w:pPr>
        <w:pStyle w:val="16"/>
        <w:tabs>
          <w:tab w:val="right" w:leader="dot" w:pos="8777"/>
        </w:tabs>
        <w:rPr>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_Toc5979 </w:instrText>
      </w:r>
      <w:r>
        <w:rPr>
          <w:rFonts w:hint="eastAsia" w:ascii="宋体" w:hAnsi="宋体" w:cs="宋体"/>
          <w:sz w:val="24"/>
          <w:szCs w:val="24"/>
        </w:rPr>
        <w:fldChar w:fldCharType="separate"/>
      </w:r>
      <w:r>
        <w:rPr>
          <w:rFonts w:hint="default" w:ascii="Times New Roman" w:hAnsi="Times New Roman" w:eastAsia="宋体" w:cs="Times New Roman"/>
          <w:bCs w:val="0"/>
          <w:sz w:val="24"/>
          <w:szCs w:val="24"/>
          <w:lang w:val="zh-CN" w:eastAsia="zh-CN"/>
        </w:rPr>
        <w:t>1.4. 环境风险评价判定</w:t>
      </w:r>
      <w:r>
        <w:rPr>
          <w:sz w:val="24"/>
          <w:szCs w:val="24"/>
        </w:rPr>
        <w:tab/>
      </w:r>
      <w:r>
        <w:rPr>
          <w:sz w:val="24"/>
          <w:szCs w:val="24"/>
        </w:rPr>
        <w:fldChar w:fldCharType="begin"/>
      </w:r>
      <w:r>
        <w:rPr>
          <w:sz w:val="24"/>
          <w:szCs w:val="24"/>
        </w:rPr>
        <w:instrText xml:space="preserve"> PAGEREF _Toc5979 \h </w:instrText>
      </w:r>
      <w:r>
        <w:rPr>
          <w:sz w:val="24"/>
          <w:szCs w:val="24"/>
        </w:rPr>
        <w:fldChar w:fldCharType="separate"/>
      </w:r>
      <w:r>
        <w:rPr>
          <w:sz w:val="24"/>
          <w:szCs w:val="24"/>
        </w:rPr>
        <w:t>14</w:t>
      </w:r>
      <w:r>
        <w:rPr>
          <w:sz w:val="24"/>
          <w:szCs w:val="24"/>
        </w:rPr>
        <w:fldChar w:fldCharType="end"/>
      </w:r>
      <w:r>
        <w:rPr>
          <w:rFonts w:hint="eastAsia" w:ascii="宋体" w:hAnsi="宋体" w:cs="宋体"/>
          <w:sz w:val="24"/>
          <w:szCs w:val="24"/>
        </w:rPr>
        <w:fldChar w:fldCharType="end"/>
      </w:r>
    </w:p>
    <w:p w14:paraId="590FEF8E">
      <w:pPr>
        <w:pStyle w:val="16"/>
        <w:tabs>
          <w:tab w:val="right" w:leader="dot" w:pos="8777"/>
        </w:tabs>
        <w:rPr>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_Toc3066 </w:instrText>
      </w:r>
      <w:r>
        <w:rPr>
          <w:rFonts w:hint="eastAsia" w:ascii="宋体" w:hAnsi="宋体" w:cs="宋体"/>
          <w:sz w:val="24"/>
          <w:szCs w:val="24"/>
        </w:rPr>
        <w:fldChar w:fldCharType="separate"/>
      </w:r>
      <w:r>
        <w:rPr>
          <w:rFonts w:hint="default" w:ascii="Times New Roman" w:hAnsi="Times New Roman" w:eastAsia="宋体" w:cs="Times New Roman"/>
          <w:bCs w:val="0"/>
          <w:sz w:val="24"/>
          <w:szCs w:val="24"/>
          <w:lang w:val="zh-CN" w:eastAsia="zh-CN"/>
        </w:rPr>
        <w:t>1.5. 环境风险源识别</w:t>
      </w:r>
      <w:r>
        <w:rPr>
          <w:sz w:val="24"/>
          <w:szCs w:val="24"/>
        </w:rPr>
        <w:tab/>
      </w:r>
      <w:r>
        <w:rPr>
          <w:sz w:val="24"/>
          <w:szCs w:val="24"/>
        </w:rPr>
        <w:fldChar w:fldCharType="begin"/>
      </w:r>
      <w:r>
        <w:rPr>
          <w:sz w:val="24"/>
          <w:szCs w:val="24"/>
        </w:rPr>
        <w:instrText xml:space="preserve"> PAGEREF _Toc3066 \h </w:instrText>
      </w:r>
      <w:r>
        <w:rPr>
          <w:sz w:val="24"/>
          <w:szCs w:val="24"/>
        </w:rPr>
        <w:fldChar w:fldCharType="separate"/>
      </w:r>
      <w:r>
        <w:rPr>
          <w:sz w:val="24"/>
          <w:szCs w:val="24"/>
        </w:rPr>
        <w:t>15</w:t>
      </w:r>
      <w:r>
        <w:rPr>
          <w:sz w:val="24"/>
          <w:szCs w:val="24"/>
        </w:rPr>
        <w:fldChar w:fldCharType="end"/>
      </w:r>
      <w:r>
        <w:rPr>
          <w:rFonts w:hint="eastAsia" w:ascii="宋体" w:hAnsi="宋体" w:cs="宋体"/>
          <w:sz w:val="24"/>
          <w:szCs w:val="24"/>
        </w:rPr>
        <w:fldChar w:fldCharType="end"/>
      </w:r>
    </w:p>
    <w:p w14:paraId="198C1A23">
      <w:pPr>
        <w:pStyle w:val="16"/>
        <w:tabs>
          <w:tab w:val="right" w:leader="dot" w:pos="8777"/>
        </w:tabs>
        <w:rPr>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_Toc21451 </w:instrText>
      </w:r>
      <w:r>
        <w:rPr>
          <w:rFonts w:hint="eastAsia" w:ascii="宋体" w:hAnsi="宋体" w:cs="宋体"/>
          <w:sz w:val="24"/>
          <w:szCs w:val="24"/>
        </w:rPr>
        <w:fldChar w:fldCharType="separate"/>
      </w:r>
      <w:r>
        <w:rPr>
          <w:rFonts w:hint="default" w:ascii="Times New Roman" w:hAnsi="Times New Roman" w:eastAsia="宋体" w:cs="Times New Roman"/>
          <w:bCs w:val="0"/>
          <w:sz w:val="24"/>
          <w:szCs w:val="24"/>
          <w:lang w:val="zh-CN" w:eastAsia="zh-CN"/>
        </w:rPr>
        <w:t>1.6. 源项分析</w:t>
      </w:r>
      <w:r>
        <w:rPr>
          <w:sz w:val="24"/>
          <w:szCs w:val="24"/>
        </w:rPr>
        <w:tab/>
      </w:r>
      <w:r>
        <w:rPr>
          <w:sz w:val="24"/>
          <w:szCs w:val="24"/>
        </w:rPr>
        <w:fldChar w:fldCharType="begin"/>
      </w:r>
      <w:r>
        <w:rPr>
          <w:sz w:val="24"/>
          <w:szCs w:val="24"/>
        </w:rPr>
        <w:instrText xml:space="preserve"> PAGEREF _Toc21451 \h </w:instrText>
      </w:r>
      <w:r>
        <w:rPr>
          <w:sz w:val="24"/>
          <w:szCs w:val="24"/>
        </w:rPr>
        <w:fldChar w:fldCharType="separate"/>
      </w:r>
      <w:r>
        <w:rPr>
          <w:sz w:val="24"/>
          <w:szCs w:val="24"/>
        </w:rPr>
        <w:t>34</w:t>
      </w:r>
      <w:r>
        <w:rPr>
          <w:sz w:val="24"/>
          <w:szCs w:val="24"/>
        </w:rPr>
        <w:fldChar w:fldCharType="end"/>
      </w:r>
      <w:r>
        <w:rPr>
          <w:rFonts w:hint="eastAsia" w:ascii="宋体" w:hAnsi="宋体" w:cs="宋体"/>
          <w:sz w:val="24"/>
          <w:szCs w:val="24"/>
        </w:rPr>
        <w:fldChar w:fldCharType="end"/>
      </w:r>
    </w:p>
    <w:p w14:paraId="51400A68">
      <w:pPr>
        <w:pStyle w:val="16"/>
        <w:tabs>
          <w:tab w:val="right" w:leader="dot" w:pos="8777"/>
        </w:tabs>
        <w:rPr>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_Toc31291 </w:instrText>
      </w:r>
      <w:r>
        <w:rPr>
          <w:rFonts w:hint="eastAsia" w:ascii="宋体" w:hAnsi="宋体" w:cs="宋体"/>
          <w:sz w:val="24"/>
          <w:szCs w:val="24"/>
        </w:rPr>
        <w:fldChar w:fldCharType="separate"/>
      </w:r>
      <w:r>
        <w:rPr>
          <w:rFonts w:hint="default" w:ascii="Times New Roman" w:hAnsi="Times New Roman" w:eastAsia="宋体" w:cs="Times New Roman"/>
          <w:bCs w:val="0"/>
          <w:sz w:val="24"/>
          <w:szCs w:val="24"/>
          <w:lang w:val="zh-CN" w:eastAsia="zh-CN"/>
        </w:rPr>
        <w:t>1.7. 风险预测与评价</w:t>
      </w:r>
      <w:r>
        <w:rPr>
          <w:sz w:val="24"/>
          <w:szCs w:val="24"/>
        </w:rPr>
        <w:tab/>
      </w:r>
      <w:r>
        <w:rPr>
          <w:sz w:val="24"/>
          <w:szCs w:val="24"/>
        </w:rPr>
        <w:fldChar w:fldCharType="begin"/>
      </w:r>
      <w:r>
        <w:rPr>
          <w:sz w:val="24"/>
          <w:szCs w:val="24"/>
        </w:rPr>
        <w:instrText xml:space="preserve"> PAGEREF _Toc31291 \h </w:instrText>
      </w:r>
      <w:r>
        <w:rPr>
          <w:sz w:val="24"/>
          <w:szCs w:val="24"/>
        </w:rPr>
        <w:fldChar w:fldCharType="separate"/>
      </w:r>
      <w:r>
        <w:rPr>
          <w:sz w:val="24"/>
          <w:szCs w:val="24"/>
        </w:rPr>
        <w:t>39</w:t>
      </w:r>
      <w:r>
        <w:rPr>
          <w:sz w:val="24"/>
          <w:szCs w:val="24"/>
        </w:rPr>
        <w:fldChar w:fldCharType="end"/>
      </w:r>
      <w:r>
        <w:rPr>
          <w:rFonts w:hint="eastAsia" w:ascii="宋体" w:hAnsi="宋体" w:cs="宋体"/>
          <w:sz w:val="24"/>
          <w:szCs w:val="24"/>
        </w:rPr>
        <w:fldChar w:fldCharType="end"/>
      </w:r>
    </w:p>
    <w:p w14:paraId="63331B15">
      <w:pPr>
        <w:pStyle w:val="16"/>
        <w:tabs>
          <w:tab w:val="right" w:leader="dot" w:pos="8777"/>
        </w:tabs>
        <w:rPr>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_Toc115 </w:instrText>
      </w:r>
      <w:r>
        <w:rPr>
          <w:rFonts w:hint="eastAsia" w:ascii="宋体" w:hAnsi="宋体" w:cs="宋体"/>
          <w:sz w:val="24"/>
          <w:szCs w:val="24"/>
        </w:rPr>
        <w:fldChar w:fldCharType="separate"/>
      </w:r>
      <w:r>
        <w:rPr>
          <w:rFonts w:hint="default" w:ascii="Times New Roman" w:hAnsi="Times New Roman" w:eastAsia="宋体" w:cs="Times New Roman"/>
          <w:bCs w:val="0"/>
          <w:sz w:val="24"/>
          <w:szCs w:val="24"/>
          <w:lang w:val="en-US" w:eastAsia="zh-CN"/>
        </w:rPr>
        <w:t>1.8. 风险管理</w:t>
      </w:r>
      <w:r>
        <w:rPr>
          <w:sz w:val="24"/>
          <w:szCs w:val="24"/>
        </w:rPr>
        <w:tab/>
      </w:r>
      <w:r>
        <w:rPr>
          <w:sz w:val="24"/>
          <w:szCs w:val="24"/>
        </w:rPr>
        <w:fldChar w:fldCharType="begin"/>
      </w:r>
      <w:r>
        <w:rPr>
          <w:sz w:val="24"/>
          <w:szCs w:val="24"/>
        </w:rPr>
        <w:instrText xml:space="preserve"> PAGEREF _Toc115 \h </w:instrText>
      </w:r>
      <w:r>
        <w:rPr>
          <w:sz w:val="24"/>
          <w:szCs w:val="24"/>
        </w:rPr>
        <w:fldChar w:fldCharType="separate"/>
      </w:r>
      <w:r>
        <w:rPr>
          <w:sz w:val="24"/>
          <w:szCs w:val="24"/>
        </w:rPr>
        <w:t>52</w:t>
      </w:r>
      <w:r>
        <w:rPr>
          <w:sz w:val="24"/>
          <w:szCs w:val="24"/>
        </w:rPr>
        <w:fldChar w:fldCharType="end"/>
      </w:r>
      <w:r>
        <w:rPr>
          <w:rFonts w:hint="eastAsia" w:ascii="宋体" w:hAnsi="宋体" w:cs="宋体"/>
          <w:sz w:val="24"/>
          <w:szCs w:val="24"/>
        </w:rPr>
        <w:fldChar w:fldCharType="end"/>
      </w:r>
    </w:p>
    <w:p w14:paraId="183430B0">
      <w:pPr>
        <w:pStyle w:val="16"/>
        <w:tabs>
          <w:tab w:val="right" w:leader="dot" w:pos="8777"/>
        </w:tabs>
        <w:rPr>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_Toc26534 </w:instrText>
      </w:r>
      <w:r>
        <w:rPr>
          <w:rFonts w:hint="eastAsia" w:ascii="宋体" w:hAnsi="宋体" w:cs="宋体"/>
          <w:sz w:val="24"/>
          <w:szCs w:val="24"/>
        </w:rPr>
        <w:fldChar w:fldCharType="separate"/>
      </w:r>
      <w:r>
        <w:rPr>
          <w:rFonts w:hint="default" w:ascii="Times New Roman" w:hAnsi="Times New Roman" w:eastAsia="宋体" w:cs="Times New Roman"/>
          <w:bCs w:val="0"/>
          <w:sz w:val="24"/>
          <w:szCs w:val="24"/>
          <w:lang w:val="en-US" w:eastAsia="zh-CN"/>
        </w:rPr>
        <w:t>1.9. 突发环境事件应急预案编制要求</w:t>
      </w:r>
      <w:r>
        <w:rPr>
          <w:sz w:val="24"/>
          <w:szCs w:val="24"/>
        </w:rPr>
        <w:tab/>
      </w:r>
      <w:r>
        <w:rPr>
          <w:sz w:val="24"/>
          <w:szCs w:val="24"/>
        </w:rPr>
        <w:fldChar w:fldCharType="begin"/>
      </w:r>
      <w:r>
        <w:rPr>
          <w:sz w:val="24"/>
          <w:szCs w:val="24"/>
        </w:rPr>
        <w:instrText xml:space="preserve"> PAGEREF _Toc26534 \h </w:instrText>
      </w:r>
      <w:r>
        <w:rPr>
          <w:sz w:val="24"/>
          <w:szCs w:val="24"/>
        </w:rPr>
        <w:fldChar w:fldCharType="separate"/>
      </w:r>
      <w:r>
        <w:rPr>
          <w:sz w:val="24"/>
          <w:szCs w:val="24"/>
        </w:rPr>
        <w:t>61</w:t>
      </w:r>
      <w:r>
        <w:rPr>
          <w:sz w:val="24"/>
          <w:szCs w:val="24"/>
        </w:rPr>
        <w:fldChar w:fldCharType="end"/>
      </w:r>
      <w:r>
        <w:rPr>
          <w:rFonts w:hint="eastAsia" w:ascii="宋体" w:hAnsi="宋体" w:cs="宋体"/>
          <w:sz w:val="24"/>
          <w:szCs w:val="24"/>
        </w:rPr>
        <w:fldChar w:fldCharType="end"/>
      </w:r>
    </w:p>
    <w:p w14:paraId="59FD1938">
      <w:pPr>
        <w:pStyle w:val="16"/>
        <w:tabs>
          <w:tab w:val="right" w:leader="dot" w:pos="8777"/>
        </w:tabs>
        <w:rPr>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_Toc20778 </w:instrText>
      </w:r>
      <w:r>
        <w:rPr>
          <w:rFonts w:hint="eastAsia" w:ascii="宋体" w:hAnsi="宋体" w:cs="宋体"/>
          <w:sz w:val="24"/>
          <w:szCs w:val="24"/>
        </w:rPr>
        <w:fldChar w:fldCharType="separate"/>
      </w:r>
      <w:r>
        <w:rPr>
          <w:rFonts w:hint="default" w:ascii="Times New Roman" w:hAnsi="Times New Roman" w:eastAsia="宋体" w:cs="Times New Roman"/>
          <w:bCs w:val="0"/>
          <w:sz w:val="24"/>
          <w:szCs w:val="24"/>
          <w:lang w:val="en-US" w:eastAsia="zh-CN"/>
        </w:rPr>
        <w:t>1.10. 风险评价结论与建议</w:t>
      </w:r>
      <w:r>
        <w:rPr>
          <w:sz w:val="24"/>
          <w:szCs w:val="24"/>
        </w:rPr>
        <w:tab/>
      </w:r>
      <w:r>
        <w:rPr>
          <w:sz w:val="24"/>
          <w:szCs w:val="24"/>
        </w:rPr>
        <w:fldChar w:fldCharType="begin"/>
      </w:r>
      <w:r>
        <w:rPr>
          <w:sz w:val="24"/>
          <w:szCs w:val="24"/>
        </w:rPr>
        <w:instrText xml:space="preserve"> PAGEREF _Toc20778 \h </w:instrText>
      </w:r>
      <w:r>
        <w:rPr>
          <w:sz w:val="24"/>
          <w:szCs w:val="24"/>
        </w:rPr>
        <w:fldChar w:fldCharType="separate"/>
      </w:r>
      <w:r>
        <w:rPr>
          <w:sz w:val="24"/>
          <w:szCs w:val="24"/>
        </w:rPr>
        <w:t>68</w:t>
      </w:r>
      <w:r>
        <w:rPr>
          <w:sz w:val="24"/>
          <w:szCs w:val="24"/>
        </w:rPr>
        <w:fldChar w:fldCharType="end"/>
      </w:r>
      <w:r>
        <w:rPr>
          <w:rFonts w:hint="eastAsia" w:ascii="宋体" w:hAnsi="宋体" w:cs="宋体"/>
          <w:sz w:val="24"/>
          <w:szCs w:val="24"/>
        </w:rPr>
        <w:fldChar w:fldCharType="end"/>
      </w:r>
    </w:p>
    <w:p w14:paraId="48CBEFDB">
      <w:pPr>
        <w:pStyle w:val="10"/>
        <w:tabs>
          <w:tab w:val="right" w:leader="dot" w:pos="8844"/>
        </w:tabs>
        <w:spacing w:line="360" w:lineRule="auto"/>
        <w:jc w:val="center"/>
        <w:rPr>
          <w:rFonts w:hint="eastAsia"/>
          <w:lang w:val="zh-CN" w:eastAsia="zh-CN"/>
        </w:rPr>
      </w:pPr>
      <w:r>
        <w:rPr>
          <w:rFonts w:hint="eastAsia" w:ascii="宋体" w:hAnsi="宋体" w:cs="宋体"/>
          <w:sz w:val="24"/>
        </w:rPr>
        <w:fldChar w:fldCharType="end"/>
      </w:r>
    </w:p>
    <w:p w14:paraId="723D5F1E">
      <w:pPr>
        <w:autoSpaceDE w:val="0"/>
        <w:autoSpaceDN w:val="0"/>
        <w:adjustRightInd w:val="0"/>
        <w:spacing w:line="500" w:lineRule="exact"/>
        <w:ind w:firstLine="490" w:firstLineChars="200"/>
        <w:rPr>
          <w:rFonts w:hint="eastAsia" w:ascii="Arial" w:hAnsi="Arial" w:eastAsia="宋体" w:cs="Arial"/>
          <w:color w:val="000000"/>
          <w:spacing w:val="10"/>
          <w:sz w:val="24"/>
          <w:szCs w:val="32"/>
          <w:lang w:val="zh-CN" w:eastAsia="zh-CN"/>
        </w:rPr>
        <w:sectPr>
          <w:pgSz w:w="11907" w:h="16840"/>
          <w:pgMar w:top="1678" w:right="1408" w:bottom="1901" w:left="1155" w:header="1174" w:footer="1029" w:gutter="567"/>
          <w:pgBorders>
            <w:top w:val="none" w:sz="0" w:space="0"/>
            <w:left w:val="none" w:sz="0" w:space="0"/>
            <w:bottom w:val="none" w:sz="0" w:space="0"/>
            <w:right w:val="none" w:sz="0" w:space="0"/>
          </w:pgBorders>
          <w:pgNumType w:fmt="decimal"/>
          <w:cols w:space="720" w:num="1"/>
          <w:docGrid w:type="linesAndChars" w:linePitch="428" w:charSpace="-3161"/>
        </w:sectPr>
      </w:pPr>
    </w:p>
    <w:p w14:paraId="6680A050">
      <w:pPr>
        <w:pStyle w:val="3"/>
        <w:numPr>
          <w:ilvl w:val="1"/>
          <w:numId w:val="9"/>
        </w:numPr>
        <w:spacing w:before="210" w:after="210" w:line="500" w:lineRule="exact"/>
        <w:ind w:left="567" w:leftChars="0" w:hanging="567" w:firstLineChars="0"/>
        <w:rPr>
          <w:rFonts w:hint="default" w:ascii="Times New Roman" w:hAnsi="Times New Roman" w:eastAsia="宋体" w:cs="Times New Roman"/>
          <w:b/>
          <w:bCs w:val="0"/>
          <w:color w:val="000000"/>
          <w:sz w:val="28"/>
          <w:szCs w:val="22"/>
          <w:lang w:val="zh-CN"/>
        </w:rPr>
      </w:pPr>
      <w:bookmarkStart w:id="35" w:name="_Toc30710"/>
      <w:r>
        <w:rPr>
          <w:rFonts w:hint="default" w:ascii="Times New Roman" w:hAnsi="Times New Roman" w:eastAsia="宋体" w:cs="Times New Roman"/>
          <w:b/>
          <w:bCs w:val="0"/>
          <w:color w:val="000000"/>
          <w:sz w:val="28"/>
          <w:szCs w:val="22"/>
          <w:lang w:val="zh-CN"/>
        </w:rPr>
        <w:t>项目由来</w:t>
      </w:r>
      <w:bookmarkEnd w:id="34"/>
      <w:bookmarkEnd w:id="35"/>
    </w:p>
    <w:p w14:paraId="3715C36A">
      <w:pPr>
        <w:pStyle w:val="6"/>
        <w:spacing w:line="500" w:lineRule="exact"/>
        <w:ind w:firstLine="48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广西志得实业有限公司位于钦州市中国（广西）自由贸易试验区钦州港片区金鼓江西岸，于2016年5月建设广西钦州志得物流中心项目，主要从事一般货物贮存和矿石加工。为了企业的发展和区域危险化学品仓储需求，广西志得实业有限公司拟对2号仓库由一般货物仓库改造成危险化学品仓库，并新建4号、5号危险化学品仓库，危险化学品全过程为原包装进出，危险化学品不进行任何分装、灌装等作业。</w:t>
      </w:r>
    </w:p>
    <w:p w14:paraId="5DE35A84">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根据《中华人民共和国环境影响评价法》、国务院令第682号《建设项目环境保护管理条例》、生态环境部令第16号关于《建设项目环境影响评价分类管理名录》</w:t>
      </w:r>
      <w:r>
        <w:rPr>
          <w:rFonts w:hint="eastAsia"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2021年版</w:t>
      </w:r>
      <w:r>
        <w:rPr>
          <w:rFonts w:hint="eastAsia"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的决定等有关规定，建设项目应进行环境影响评价工作。为此，</w:t>
      </w:r>
      <w:r>
        <w:rPr>
          <w:rFonts w:hint="eastAsia" w:ascii="Times New Roman" w:hAnsi="Times New Roman" w:eastAsia="宋体" w:cs="Times New Roman"/>
          <w:color w:val="000000"/>
          <w:spacing w:val="10"/>
          <w:sz w:val="24"/>
          <w:szCs w:val="32"/>
          <w:lang w:val="en-US" w:eastAsia="zh-CN"/>
        </w:rPr>
        <w:t>广西志得实业有限公司</w:t>
      </w:r>
      <w:r>
        <w:rPr>
          <w:rFonts w:hint="default" w:ascii="Times New Roman" w:hAnsi="Times New Roman" w:eastAsia="宋体" w:cs="Times New Roman"/>
          <w:color w:val="000000"/>
          <w:spacing w:val="10"/>
          <w:sz w:val="24"/>
          <w:szCs w:val="32"/>
          <w:lang w:val="en-US" w:eastAsia="zh-CN"/>
        </w:rPr>
        <w:t>委托我公司承担</w:t>
      </w:r>
      <w:r>
        <w:rPr>
          <w:rFonts w:hint="eastAsia" w:cs="Times New Roman"/>
          <w:color w:val="000000"/>
          <w:spacing w:val="10"/>
          <w:sz w:val="24"/>
          <w:szCs w:val="32"/>
          <w:lang w:val="en-US" w:eastAsia="zh-CN"/>
        </w:rPr>
        <w:t>钦州石化产业园区志得化学品仓储物流项目（一期）</w:t>
      </w:r>
      <w:r>
        <w:rPr>
          <w:rFonts w:hint="default" w:ascii="Times New Roman" w:hAnsi="Times New Roman" w:eastAsia="宋体" w:cs="Times New Roman"/>
          <w:color w:val="000000"/>
          <w:spacing w:val="10"/>
          <w:sz w:val="24"/>
          <w:szCs w:val="32"/>
          <w:lang w:val="en-US" w:eastAsia="zh-CN"/>
        </w:rPr>
        <w:t>的环境影响评价工作。改</w:t>
      </w:r>
      <w:r>
        <w:rPr>
          <w:rFonts w:hint="eastAsia" w:ascii="Times New Roman" w:hAnsi="Times New Roman" w:eastAsia="宋体" w:cs="Times New Roman"/>
          <w:color w:val="000000"/>
          <w:spacing w:val="10"/>
          <w:sz w:val="24"/>
          <w:szCs w:val="32"/>
          <w:lang w:val="en-US" w:eastAsia="zh-CN"/>
        </w:rPr>
        <w:t>扩建</w:t>
      </w:r>
      <w:r>
        <w:rPr>
          <w:rFonts w:hint="default" w:ascii="Times New Roman" w:hAnsi="Times New Roman" w:eastAsia="宋体" w:cs="Times New Roman"/>
          <w:color w:val="000000"/>
          <w:spacing w:val="10"/>
          <w:sz w:val="24"/>
          <w:szCs w:val="32"/>
          <w:lang w:val="en-US" w:eastAsia="zh-CN"/>
        </w:rPr>
        <w:t>项目从事危险化学品储存，在《国民经济行业分类》（GBT4754-2017）中属于</w:t>
      </w:r>
      <w:r>
        <w:rPr>
          <w:rFonts w:hint="eastAsia" w:ascii="Times New Roman" w:hAnsi="Times New Roman" w:eastAsia="宋体"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N5942危险化学品仓储</w:t>
      </w:r>
      <w:r>
        <w:rPr>
          <w:rFonts w:hint="eastAsia" w:ascii="Times New Roman" w:hAnsi="Times New Roman" w:eastAsia="宋体"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，属于《建设项目环境影响评价分类管理名录》（2021年版）</w:t>
      </w:r>
      <w:r>
        <w:rPr>
          <w:rFonts w:hint="eastAsia" w:ascii="Times New Roman" w:hAnsi="Times New Roman" w:eastAsia="宋体"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五十三、装卸搬运和仓储业 59</w:t>
      </w:r>
      <w:r>
        <w:rPr>
          <w:rFonts w:hint="eastAsia" w:ascii="Times New Roman" w:hAnsi="Times New Roman" w:eastAsia="宋体"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中的</w:t>
      </w:r>
      <w:r>
        <w:rPr>
          <w:rFonts w:hint="eastAsia" w:ascii="Times New Roman" w:hAnsi="Times New Roman" w:eastAsia="宋体"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危险品仓储 594（不含加油站的油库；不含加气站的气库）</w:t>
      </w:r>
      <w:r>
        <w:rPr>
          <w:rFonts w:hint="eastAsia" w:ascii="Times New Roman" w:hAnsi="Times New Roman" w:eastAsia="宋体"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中的</w:t>
      </w:r>
      <w:r>
        <w:rPr>
          <w:rFonts w:hint="eastAsia" w:ascii="Times New Roman" w:hAnsi="Times New Roman" w:eastAsia="宋体"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其他（含有毒、有害、危险品的仓储；含液化天然气库）</w:t>
      </w:r>
      <w:r>
        <w:rPr>
          <w:rFonts w:hint="eastAsia" w:ascii="Times New Roman" w:hAnsi="Times New Roman" w:eastAsia="宋体"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，需编制环评报告表。</w:t>
      </w:r>
    </w:p>
    <w:p w14:paraId="7ACCFEEF">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我公司</w:t>
      </w:r>
      <w:r>
        <w:rPr>
          <w:rFonts w:hint="default" w:ascii="Times New Roman" w:hAnsi="Times New Roman" w:eastAsia="宋体" w:cs="Times New Roman"/>
          <w:color w:val="000000"/>
          <w:spacing w:val="10"/>
          <w:sz w:val="24"/>
          <w:szCs w:val="32"/>
          <w:highlight w:val="none"/>
          <w:lang w:val="en-US" w:eastAsia="zh-CN"/>
        </w:rPr>
        <w:t>接受</w:t>
      </w:r>
      <w:r>
        <w:rPr>
          <w:rFonts w:hint="default" w:ascii="Times New Roman" w:hAnsi="Times New Roman" w:eastAsia="宋体" w:cs="Times New Roman"/>
          <w:color w:val="000000"/>
          <w:spacing w:val="10"/>
          <w:sz w:val="24"/>
          <w:szCs w:val="32"/>
          <w:lang w:val="en-US" w:eastAsia="zh-CN"/>
        </w:rPr>
        <w:t>委托后，成立项目环境影响评价工作小组，在组织有关人员进行现场</w:t>
      </w:r>
      <w:r>
        <w:rPr>
          <w:rFonts w:hint="eastAsia" w:cs="Times New Roman"/>
          <w:color w:val="000000"/>
          <w:spacing w:val="10"/>
          <w:sz w:val="24"/>
          <w:szCs w:val="32"/>
          <w:lang w:val="en-US" w:eastAsia="zh-CN"/>
        </w:rPr>
        <w:t>勘查</w:t>
      </w:r>
      <w:r>
        <w:rPr>
          <w:rFonts w:hint="default" w:ascii="Times New Roman" w:hAnsi="Times New Roman" w:eastAsia="宋体" w:cs="Times New Roman"/>
          <w:color w:val="000000"/>
          <w:spacing w:val="10"/>
          <w:sz w:val="24"/>
          <w:szCs w:val="32"/>
          <w:lang w:val="en-US" w:eastAsia="zh-CN"/>
        </w:rPr>
        <w:t>和资料收集的基础上，依据国家和地方相关法律法规及有关规定，严格按照环境影响评价技术导则要求，编制《</w:t>
      </w:r>
      <w:r>
        <w:rPr>
          <w:rFonts w:hint="eastAsia" w:cs="Times New Roman"/>
          <w:color w:val="000000"/>
          <w:spacing w:val="10"/>
          <w:sz w:val="24"/>
          <w:szCs w:val="32"/>
          <w:lang w:val="en-US" w:eastAsia="zh-CN"/>
        </w:rPr>
        <w:t>钦州石化产业园区志得化学品仓储物流项目（一期）</w:t>
      </w:r>
      <w:r>
        <w:rPr>
          <w:rFonts w:hint="default" w:ascii="Times New Roman" w:hAnsi="Times New Roman" w:eastAsia="宋体" w:cs="Times New Roman"/>
          <w:color w:val="000000"/>
          <w:spacing w:val="10"/>
          <w:sz w:val="24"/>
          <w:szCs w:val="32"/>
          <w:lang w:val="en-US" w:eastAsia="zh-CN"/>
        </w:rPr>
        <w:t>环境影响报告表》，供建设单位上报审批。</w:t>
      </w:r>
    </w:p>
    <w:p w14:paraId="7E9E4E8F">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根据《建设项目环境影响报告表编制技术指南（污染影响类）（试行）》，有毒有害和易燃易爆危险物质存储量超过临界量的建设项目，则需</w:t>
      </w:r>
      <w:r>
        <w:rPr>
          <w:rFonts w:hint="default" w:ascii="Times New Roman" w:hAnsi="Times New Roman" w:eastAsia="宋体" w:cs="Times New Roman"/>
          <w:color w:val="000000"/>
          <w:spacing w:val="10"/>
          <w:sz w:val="24"/>
          <w:szCs w:val="32"/>
          <w:highlight w:val="none"/>
          <w:lang w:val="en-US" w:eastAsia="zh-CN"/>
        </w:rPr>
        <w:t>要</w:t>
      </w:r>
      <w:r>
        <w:rPr>
          <w:rFonts w:hint="default" w:ascii="Times New Roman" w:hAnsi="Times New Roman" w:eastAsia="宋体" w:cs="Times New Roman"/>
          <w:color w:val="000000"/>
          <w:spacing w:val="10"/>
          <w:sz w:val="24"/>
          <w:szCs w:val="32"/>
          <w:lang w:val="en-US" w:eastAsia="zh-CN"/>
        </w:rPr>
        <w:t>设环境风险专项评价。项目储存的</w:t>
      </w:r>
      <w:r>
        <w:rPr>
          <w:rFonts w:hint="eastAsia" w:ascii="Times New Roman" w:hAnsi="Times New Roman" w:eastAsia="宋体" w:cs="Times New Roman"/>
          <w:color w:val="000000"/>
          <w:spacing w:val="10"/>
          <w:sz w:val="24"/>
          <w:szCs w:val="32"/>
          <w:lang w:val="en-US" w:eastAsia="zh-CN"/>
        </w:rPr>
        <w:t>磷酸、盐酸、硫酸镍</w:t>
      </w:r>
      <w:r>
        <w:rPr>
          <w:rFonts w:hint="default" w:ascii="Times New Roman" w:hAnsi="Times New Roman" w:eastAsia="宋体" w:cs="Times New Roman"/>
          <w:color w:val="000000"/>
          <w:spacing w:val="10"/>
          <w:sz w:val="24"/>
          <w:szCs w:val="32"/>
          <w:lang w:val="en-US" w:eastAsia="zh-CN"/>
        </w:rPr>
        <w:t>存储量超过临界量，需设置风险专项评价。</w:t>
      </w:r>
    </w:p>
    <w:p w14:paraId="4E209471">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按照《建设项目环境风险评价技术导则》（HJ/T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578C08CB">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项目实施后环境风险评价的基本内容包括风险调查、环境风险潜势初判、风险识别、风险事故情形分析、风险预测与评价、环境风险管理等，其具体如下：</w:t>
      </w:r>
    </w:p>
    <w:p w14:paraId="3B75A38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 xml:space="preserve">1、项目风险调查。在分析建设项目物质及工艺系统危险性和环境敏感性的基础下，进行风险潜势的判断，确定风险评价等级。 </w:t>
      </w:r>
    </w:p>
    <w:p w14:paraId="4FE7B14E">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2、项目风险识别及风险事故情形分析。明确危险物质在生产系统中的主要分布，筛选具有代表性的风险事故情形，合理设定事故源项。</w:t>
      </w:r>
    </w:p>
    <w:p w14:paraId="04B3DE1E">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3、开展预测评价。分析环境风险事故及其可能伴生/次生的环境问题，针对潜在的环境风险进行预测与评价，并分析说明环境风险危害范围与程度。</w:t>
      </w:r>
    </w:p>
    <w:p w14:paraId="52384FA2">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4、提出环境风险管理目标、环境风险防范措施、突发环境事件应急预案编制要求等环境风险预防、控制、减缓措施，为建设项目环境风险防控提供科学依据。</w:t>
      </w:r>
    </w:p>
    <w:p w14:paraId="19F44AE2">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5、综合环境风险评价过程，给出评价结论与建议。</w:t>
      </w:r>
    </w:p>
    <w:p w14:paraId="16A58BEA">
      <w:pPr>
        <w:pStyle w:val="3"/>
        <w:numPr>
          <w:ilvl w:val="1"/>
          <w:numId w:val="9"/>
        </w:numPr>
        <w:spacing w:before="210" w:after="210" w:line="500" w:lineRule="exact"/>
        <w:ind w:left="567" w:leftChars="0" w:hanging="567" w:firstLineChars="0"/>
        <w:rPr>
          <w:rFonts w:hint="default" w:ascii="Times New Roman" w:hAnsi="Times New Roman" w:eastAsia="宋体" w:cs="Times New Roman"/>
          <w:b/>
          <w:bCs w:val="0"/>
          <w:color w:val="000000"/>
          <w:sz w:val="28"/>
          <w:szCs w:val="22"/>
          <w:lang w:val="en-US" w:eastAsia="zh-CN"/>
        </w:rPr>
      </w:pPr>
      <w:bookmarkStart w:id="36" w:name="_Toc22029395"/>
      <w:bookmarkStart w:id="37" w:name="_Toc5082"/>
      <w:bookmarkStart w:id="38" w:name="_Toc19789"/>
      <w:bookmarkStart w:id="39" w:name="_Toc34494642"/>
      <w:r>
        <w:rPr>
          <w:rFonts w:hint="default" w:ascii="Times New Roman" w:hAnsi="Times New Roman" w:eastAsia="宋体" w:cs="Times New Roman"/>
          <w:b/>
          <w:bCs w:val="0"/>
          <w:color w:val="000000"/>
          <w:sz w:val="28"/>
          <w:szCs w:val="22"/>
          <w:lang w:val="en-US" w:eastAsia="zh-CN"/>
        </w:rPr>
        <w:t>风险调查</w:t>
      </w:r>
      <w:bookmarkEnd w:id="36"/>
      <w:bookmarkEnd w:id="37"/>
      <w:bookmarkEnd w:id="38"/>
      <w:bookmarkEnd w:id="39"/>
    </w:p>
    <w:p w14:paraId="49AC2760">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u w:val="none"/>
          <w:lang w:val="en-US" w:eastAsia="zh-CN"/>
        </w:rPr>
      </w:pPr>
      <w:r>
        <w:rPr>
          <w:rFonts w:hint="default" w:ascii="Times New Roman" w:hAnsi="Times New Roman" w:eastAsia="宋体" w:cs="Times New Roman"/>
          <w:b/>
          <w:bCs/>
          <w:color w:val="000000"/>
          <w:kern w:val="0"/>
          <w:sz w:val="24"/>
          <w:szCs w:val="24"/>
          <w:u w:val="none"/>
          <w:lang w:val="en-US" w:eastAsia="zh-CN"/>
        </w:rPr>
        <w:t>现有工程环境风险回顾评价</w:t>
      </w:r>
    </w:p>
    <w:p w14:paraId="11E32BE5">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u w:val="none"/>
          <w:lang w:val="en-US" w:eastAsia="zh-CN"/>
        </w:rPr>
      </w:pPr>
      <w:r>
        <w:rPr>
          <w:rFonts w:hint="eastAsia" w:cs="Times New Roman"/>
          <w:color w:val="000000"/>
          <w:spacing w:val="10"/>
          <w:sz w:val="24"/>
          <w:szCs w:val="32"/>
          <w:u w:val="none"/>
          <w:lang w:val="en-US" w:eastAsia="zh-CN"/>
        </w:rPr>
        <w:t>现有工程属于一般货物贮存和简单矿石加工，不涉及危险物质贮存和使用，现有工程运行至今未发生环境污染事件。根据《企业事业单位突发环境事件应急预案备案管理办法（试行）》，需要进行环境应急预案备案的企业主要为（一）可能发生突发环境事件的污染物排放企业，包括污水、生活垃圾集中处理设施的运营企业；（二）生产、储存、运输、使用危险化学品的企业；（三）产生、收集、贮存、运输、利用、处置危险废物的企业；（四）尾矿库企业，包括湿式堆存工业废渣库、电厂灰渣库企业；（五）其他应当纳入适用范围的企业。现有工程无需进行突发环境事件应急预案备案。现有工程环评及批复亦未要求现有工程进行突发环境事件应急预案备案。</w:t>
      </w:r>
    </w:p>
    <w:p w14:paraId="4DAD58B0">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风险源调查</w:t>
      </w:r>
    </w:p>
    <w:p w14:paraId="16FD380E">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1、危险物质识别</w:t>
      </w:r>
    </w:p>
    <w:p w14:paraId="0F1AEC3E">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u w:val="single"/>
          <w:lang w:val="en-US" w:eastAsia="zh-CN"/>
        </w:rPr>
      </w:pPr>
      <w:r>
        <w:rPr>
          <w:rFonts w:hint="default" w:ascii="Times New Roman" w:hAnsi="Times New Roman" w:eastAsia="宋体" w:cs="Times New Roman"/>
          <w:color w:val="000000"/>
          <w:spacing w:val="10"/>
          <w:sz w:val="24"/>
          <w:szCs w:val="32"/>
          <w:lang w:val="en-US" w:eastAsia="zh-CN"/>
        </w:rPr>
        <w:t>根据《建设项目环境风险评价技术导则》（HJ 169-2018）附录B对项目所涉及的危险物质进行调查和识别，筛选出工程危险物质为</w:t>
      </w:r>
      <w:r>
        <w:rPr>
          <w:rFonts w:hint="eastAsia" w:ascii="Times New Roman" w:hAnsi="Times New Roman" w:eastAsia="宋体" w:cs="Times New Roman"/>
          <w:color w:val="000000"/>
          <w:spacing w:val="10"/>
          <w:sz w:val="24"/>
          <w:szCs w:val="32"/>
          <w:lang w:val="en-US" w:eastAsia="zh-CN"/>
        </w:rPr>
        <w:t>磷酸、盐酸、硫酸镍</w:t>
      </w:r>
      <w:r>
        <w:rPr>
          <w:rFonts w:hint="eastAsia" w:cs="Times New Roman"/>
          <w:color w:val="auto"/>
          <w:spacing w:val="10"/>
          <w:sz w:val="24"/>
          <w:szCs w:val="32"/>
          <w:lang w:val="en-US" w:eastAsia="zh-CN"/>
        </w:rPr>
        <w:t>、</w:t>
      </w:r>
      <w:r>
        <w:rPr>
          <w:rFonts w:hint="eastAsia" w:cs="Times New Roman"/>
          <w:color w:val="auto"/>
          <w:spacing w:val="10"/>
          <w:sz w:val="24"/>
          <w:szCs w:val="32"/>
          <w:u w:val="single"/>
          <w:lang w:val="en-US" w:eastAsia="zh-CN"/>
        </w:rPr>
        <w:t>氢氧化锂、氟硅酸钠、氟硅酸镁、氟化钠、氟化钡、氟硅酸锌、氟硅酸钾、氟化铵、氟化钾、氟化锌</w:t>
      </w:r>
      <w:r>
        <w:rPr>
          <w:rFonts w:hint="default" w:ascii="Times New Roman" w:hAnsi="Times New Roman" w:eastAsia="宋体" w:cs="Times New Roman"/>
          <w:color w:val="auto"/>
          <w:spacing w:val="10"/>
          <w:sz w:val="24"/>
          <w:szCs w:val="32"/>
          <w:u w:val="single"/>
          <w:lang w:val="en-US" w:eastAsia="zh-CN"/>
        </w:rPr>
        <w:t>。</w:t>
      </w:r>
    </w:p>
    <w:p w14:paraId="65F6C965">
      <w:pPr>
        <w:pStyle w:val="4"/>
        <w:numPr>
          <w:ilvl w:val="3"/>
          <w:numId w:val="10"/>
        </w:numPr>
        <w:tabs>
          <w:tab w:val="left" w:pos="1358"/>
        </w:tabs>
        <w:ind w:left="1358"/>
        <w:rPr>
          <w:rFonts w:hint="default" w:ascii="Times New Roman" w:hAnsi="Times New Roman" w:eastAsia="宋体" w:cs="Times New Roman"/>
          <w:color w:val="auto"/>
          <w:szCs w:val="20"/>
          <w:u w:val="single"/>
          <w:lang w:eastAsia="zh-CN"/>
        </w:rPr>
      </w:pPr>
      <w:r>
        <w:rPr>
          <w:rFonts w:hint="default" w:ascii="Times New Roman" w:hAnsi="Times New Roman" w:eastAsia="宋体" w:cs="Times New Roman"/>
          <w:color w:val="auto"/>
          <w:szCs w:val="20"/>
          <w:u w:val="single"/>
          <w:lang w:eastAsia="zh-CN"/>
        </w:rPr>
        <w:t>项目危险物质</w:t>
      </w:r>
      <w:r>
        <w:rPr>
          <w:rFonts w:hint="eastAsia" w:ascii="Times New Roman" w:hAnsi="Times New Roman" w:cs="Times New Roman"/>
          <w:color w:val="auto"/>
          <w:szCs w:val="20"/>
          <w:u w:val="single"/>
          <w:lang w:val="en-US" w:eastAsia="zh-CN"/>
        </w:rPr>
        <w:t>识别依据</w:t>
      </w:r>
      <w:r>
        <w:rPr>
          <w:rFonts w:hint="default" w:ascii="Times New Roman" w:hAnsi="Times New Roman" w:eastAsia="宋体" w:cs="Times New Roman"/>
          <w:color w:val="auto"/>
          <w:szCs w:val="20"/>
          <w:u w:val="single"/>
          <w:lang w:eastAsia="zh-CN"/>
        </w:rPr>
        <w:t>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2173"/>
        <w:gridCol w:w="2315"/>
        <w:gridCol w:w="3160"/>
      </w:tblGrid>
      <w:tr w14:paraId="65A4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46" w:type="pct"/>
            <w:noWrap w:val="0"/>
            <w:vAlign w:val="center"/>
          </w:tcPr>
          <w:p w14:paraId="58C93BBE">
            <w:pPr>
              <w:spacing w:line="240" w:lineRule="exact"/>
              <w:jc w:val="center"/>
              <w:rPr>
                <w:rFonts w:hint="default" w:ascii="Times New Roman" w:hAnsi="Times New Roman" w:eastAsia="宋体" w:cs="Times New Roman"/>
                <w:color w:val="auto"/>
                <w:kern w:val="28"/>
                <w:szCs w:val="21"/>
                <w:u w:val="single"/>
                <w:lang w:eastAsia="zh-CN"/>
              </w:rPr>
            </w:pPr>
            <w:r>
              <w:rPr>
                <w:rFonts w:hint="default" w:ascii="Times New Roman" w:hAnsi="Times New Roman" w:cs="Times New Roman"/>
                <w:color w:val="auto"/>
                <w:kern w:val="28"/>
                <w:szCs w:val="21"/>
                <w:u w:val="single"/>
                <w:lang w:eastAsia="zh-CN"/>
              </w:rPr>
              <w:t>序号</w:t>
            </w:r>
          </w:p>
        </w:tc>
        <w:tc>
          <w:tcPr>
            <w:tcW w:w="1208" w:type="pct"/>
            <w:noWrap w:val="0"/>
            <w:vAlign w:val="center"/>
          </w:tcPr>
          <w:p w14:paraId="69B359D2">
            <w:pPr>
              <w:spacing w:line="240" w:lineRule="exact"/>
              <w:jc w:val="center"/>
              <w:rPr>
                <w:rFonts w:hint="default" w:ascii="Times New Roman" w:hAnsi="Times New Roman" w:eastAsia="宋体" w:cs="Times New Roman"/>
                <w:color w:val="auto"/>
                <w:kern w:val="28"/>
                <w:szCs w:val="21"/>
                <w:u w:val="single"/>
                <w:lang w:eastAsia="zh-CN"/>
              </w:rPr>
            </w:pPr>
            <w:r>
              <w:rPr>
                <w:rFonts w:hint="default" w:ascii="Times New Roman" w:hAnsi="Times New Roman" w:cs="Times New Roman"/>
                <w:color w:val="auto"/>
                <w:kern w:val="28"/>
                <w:szCs w:val="21"/>
                <w:u w:val="single"/>
                <w:lang w:eastAsia="zh-CN"/>
              </w:rPr>
              <w:t>物质名称</w:t>
            </w:r>
          </w:p>
        </w:tc>
        <w:tc>
          <w:tcPr>
            <w:tcW w:w="1287" w:type="pct"/>
            <w:noWrap w:val="0"/>
            <w:vAlign w:val="center"/>
          </w:tcPr>
          <w:p w14:paraId="0D4C3F6F">
            <w:pPr>
              <w:spacing w:line="240" w:lineRule="exact"/>
              <w:jc w:val="center"/>
              <w:rPr>
                <w:rFonts w:hint="default" w:ascii="Times New Roman" w:hAnsi="Times New Roman" w:cs="Times New Roman"/>
                <w:color w:val="auto"/>
                <w:kern w:val="28"/>
                <w:szCs w:val="21"/>
                <w:u w:val="single"/>
                <w:lang w:val="en-US" w:eastAsia="zh-CN"/>
              </w:rPr>
            </w:pPr>
            <w:r>
              <w:rPr>
                <w:rFonts w:hint="default" w:ascii="Times New Roman" w:hAnsi="Times New Roman" w:cs="Times New Roman"/>
                <w:color w:val="auto"/>
                <w:kern w:val="28"/>
                <w:szCs w:val="21"/>
                <w:u w:val="single"/>
                <w:lang w:val="en-US" w:eastAsia="zh-CN"/>
              </w:rPr>
              <w:t>CAS号</w:t>
            </w:r>
          </w:p>
        </w:tc>
        <w:tc>
          <w:tcPr>
            <w:tcW w:w="1757" w:type="pct"/>
            <w:noWrap w:val="0"/>
            <w:vAlign w:val="center"/>
          </w:tcPr>
          <w:p w14:paraId="1DB24F7A">
            <w:pPr>
              <w:spacing w:line="240" w:lineRule="exact"/>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识别依据</w:t>
            </w:r>
          </w:p>
        </w:tc>
      </w:tr>
      <w:tr w14:paraId="7805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6" w:type="pct"/>
            <w:noWrap w:val="0"/>
            <w:vAlign w:val="center"/>
          </w:tcPr>
          <w:p w14:paraId="51A41EF3">
            <w:pPr>
              <w:spacing w:line="240" w:lineRule="exact"/>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1</w:t>
            </w:r>
          </w:p>
        </w:tc>
        <w:tc>
          <w:tcPr>
            <w:tcW w:w="1208" w:type="pct"/>
            <w:noWrap w:val="0"/>
            <w:vAlign w:val="center"/>
          </w:tcPr>
          <w:p w14:paraId="5F08F97E">
            <w:pPr>
              <w:jc w:val="center"/>
              <w:rPr>
                <w:rFonts w:hint="default" w:ascii="Times New Roman" w:hAnsi="Times New Roman" w:eastAsia="宋体" w:cs="Times New Roman"/>
                <w:color w:val="auto"/>
                <w:kern w:val="28"/>
                <w:szCs w:val="21"/>
                <w:u w:val="single"/>
                <w:lang w:val="en-US" w:eastAsia="zh-CN"/>
              </w:rPr>
            </w:pPr>
            <w:r>
              <w:rPr>
                <w:rFonts w:hint="default" w:ascii="Times New Roman" w:hAnsi="Times New Roman" w:cs="Times New Roman"/>
                <w:color w:val="auto"/>
                <w:szCs w:val="21"/>
                <w:u w:val="single"/>
                <w:lang w:val="en-US" w:eastAsia="zh-CN"/>
              </w:rPr>
              <w:t>磷酸</w:t>
            </w:r>
          </w:p>
        </w:tc>
        <w:tc>
          <w:tcPr>
            <w:tcW w:w="1287" w:type="pct"/>
            <w:noWrap w:val="0"/>
            <w:vAlign w:val="center"/>
          </w:tcPr>
          <w:p w14:paraId="72261A9C">
            <w:pPr>
              <w:jc w:val="center"/>
              <w:rPr>
                <w:rFonts w:hint="default"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7664-38-2</w:t>
            </w:r>
          </w:p>
        </w:tc>
        <w:tc>
          <w:tcPr>
            <w:tcW w:w="1757" w:type="pct"/>
            <w:noWrap w:val="0"/>
            <w:vAlign w:val="center"/>
          </w:tcPr>
          <w:p w14:paraId="4CBB55BE">
            <w:pPr>
              <w:adjustRightInd w:val="0"/>
              <w:snapToGrid w:val="0"/>
              <w:spacing w:line="240" w:lineRule="auto"/>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HJ 169-2018附录B.1</w:t>
            </w:r>
          </w:p>
        </w:tc>
      </w:tr>
      <w:tr w14:paraId="6B87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6" w:type="pct"/>
            <w:noWrap w:val="0"/>
            <w:vAlign w:val="center"/>
          </w:tcPr>
          <w:p w14:paraId="0ED5FFC0">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2</w:t>
            </w:r>
          </w:p>
        </w:tc>
        <w:tc>
          <w:tcPr>
            <w:tcW w:w="1208" w:type="pct"/>
            <w:noWrap w:val="0"/>
            <w:vAlign w:val="center"/>
          </w:tcPr>
          <w:p w14:paraId="78573C4C">
            <w:pPr>
              <w:jc w:val="center"/>
              <w:rPr>
                <w:rFonts w:hint="default" w:ascii="Times New Roman" w:hAnsi="Times New Roman" w:cs="Times New Roman"/>
                <w:color w:val="auto"/>
                <w:szCs w:val="21"/>
                <w:u w:val="single"/>
                <w:lang w:val="en-US" w:eastAsia="zh-CN"/>
              </w:rPr>
            </w:pPr>
            <w:r>
              <w:rPr>
                <w:rFonts w:hint="eastAsia" w:ascii="Times New Roman" w:hAnsi="Times New Roman" w:eastAsia="宋体" w:cs="Times New Roman"/>
                <w:color w:val="auto"/>
                <w:sz w:val="21"/>
                <w:szCs w:val="21"/>
                <w:u w:val="single"/>
                <w:lang w:val="en-US" w:eastAsia="zh-CN"/>
              </w:rPr>
              <w:t>盐酸</w:t>
            </w:r>
          </w:p>
        </w:tc>
        <w:tc>
          <w:tcPr>
            <w:tcW w:w="1287" w:type="pct"/>
            <w:noWrap w:val="0"/>
            <w:vAlign w:val="center"/>
          </w:tcPr>
          <w:p w14:paraId="370E7122">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eastAsia="宋体" w:cs="Times New Roman"/>
                <w:color w:val="auto"/>
                <w:sz w:val="21"/>
                <w:szCs w:val="21"/>
                <w:u w:val="single"/>
                <w:lang w:val="en-US" w:eastAsia="zh-CN"/>
              </w:rPr>
              <w:t>7647-01-0</w:t>
            </w:r>
          </w:p>
        </w:tc>
        <w:tc>
          <w:tcPr>
            <w:tcW w:w="1757" w:type="pct"/>
            <w:noWrap w:val="0"/>
            <w:vAlign w:val="center"/>
          </w:tcPr>
          <w:p w14:paraId="455CB8EF">
            <w:pPr>
              <w:adjustRightInd w:val="0"/>
              <w:snapToGrid w:val="0"/>
              <w:spacing w:line="240" w:lineRule="auto"/>
              <w:jc w:val="center"/>
              <w:rPr>
                <w:rFonts w:hint="eastAsia" w:cs="Times New Roman"/>
                <w:color w:val="auto"/>
                <w:kern w:val="28"/>
                <w:szCs w:val="21"/>
                <w:u w:val="single"/>
                <w:lang w:val="en-US" w:eastAsia="zh-CN"/>
              </w:rPr>
            </w:pPr>
            <w:r>
              <w:rPr>
                <w:rFonts w:hint="eastAsia" w:cs="Times New Roman"/>
                <w:color w:val="auto"/>
                <w:kern w:val="28"/>
                <w:szCs w:val="21"/>
                <w:u w:val="single"/>
                <w:lang w:val="en-US" w:eastAsia="zh-CN"/>
              </w:rPr>
              <w:t>HJ 169-2018附录B.1</w:t>
            </w:r>
          </w:p>
        </w:tc>
      </w:tr>
      <w:tr w14:paraId="6E2E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6" w:type="pct"/>
            <w:noWrap w:val="0"/>
            <w:vAlign w:val="center"/>
          </w:tcPr>
          <w:p w14:paraId="177BCB25">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3</w:t>
            </w:r>
          </w:p>
        </w:tc>
        <w:tc>
          <w:tcPr>
            <w:tcW w:w="1208" w:type="pct"/>
            <w:noWrap w:val="0"/>
            <w:vAlign w:val="center"/>
          </w:tcPr>
          <w:p w14:paraId="2428C367">
            <w:pPr>
              <w:jc w:val="center"/>
              <w:rPr>
                <w:rFonts w:hint="default" w:ascii="Times New Roman" w:hAnsi="Times New Roman" w:cs="Times New Roman"/>
                <w:color w:val="auto"/>
                <w:szCs w:val="21"/>
                <w:u w:val="single"/>
                <w:lang w:val="en-US" w:eastAsia="zh-CN"/>
              </w:rPr>
            </w:pPr>
            <w:r>
              <w:rPr>
                <w:rFonts w:hint="eastAsia" w:ascii="Times New Roman" w:hAnsi="Times New Roman" w:cs="Times New Roman"/>
                <w:color w:val="auto"/>
                <w:kern w:val="28"/>
                <w:szCs w:val="21"/>
                <w:u w:val="single"/>
                <w:lang w:val="en-US" w:eastAsia="zh-CN"/>
              </w:rPr>
              <w:t>硫酸镍</w:t>
            </w:r>
          </w:p>
        </w:tc>
        <w:tc>
          <w:tcPr>
            <w:tcW w:w="1287" w:type="pct"/>
            <w:noWrap w:val="0"/>
            <w:vAlign w:val="center"/>
          </w:tcPr>
          <w:p w14:paraId="22B8F1A8">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7785-81-4</w:t>
            </w:r>
          </w:p>
        </w:tc>
        <w:tc>
          <w:tcPr>
            <w:tcW w:w="1757" w:type="pct"/>
            <w:noWrap w:val="0"/>
            <w:vAlign w:val="center"/>
          </w:tcPr>
          <w:p w14:paraId="63597E83">
            <w:pPr>
              <w:adjustRightInd w:val="0"/>
              <w:snapToGrid w:val="0"/>
              <w:spacing w:line="240" w:lineRule="auto"/>
              <w:jc w:val="center"/>
              <w:rPr>
                <w:rFonts w:hint="eastAsia" w:cs="Times New Roman"/>
                <w:color w:val="auto"/>
                <w:kern w:val="28"/>
                <w:szCs w:val="21"/>
                <w:u w:val="single"/>
                <w:lang w:val="en-US" w:eastAsia="zh-CN"/>
              </w:rPr>
            </w:pPr>
            <w:r>
              <w:rPr>
                <w:rFonts w:hint="eastAsia" w:cs="Times New Roman"/>
                <w:color w:val="auto"/>
                <w:kern w:val="28"/>
                <w:szCs w:val="21"/>
                <w:u w:val="single"/>
                <w:lang w:val="en-US" w:eastAsia="zh-CN"/>
              </w:rPr>
              <w:t>HJ 169-2018附录B.1</w:t>
            </w:r>
          </w:p>
        </w:tc>
      </w:tr>
      <w:tr w14:paraId="7423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6" w:type="pct"/>
            <w:noWrap w:val="0"/>
            <w:vAlign w:val="center"/>
          </w:tcPr>
          <w:p w14:paraId="072FE3DF">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4</w:t>
            </w:r>
          </w:p>
        </w:tc>
        <w:tc>
          <w:tcPr>
            <w:tcW w:w="1208" w:type="pct"/>
            <w:noWrap w:val="0"/>
            <w:vAlign w:val="center"/>
          </w:tcPr>
          <w:p w14:paraId="1A45877C">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氢氧化锂</w:t>
            </w:r>
          </w:p>
        </w:tc>
        <w:tc>
          <w:tcPr>
            <w:tcW w:w="1287" w:type="pct"/>
            <w:noWrap w:val="0"/>
            <w:vAlign w:val="center"/>
          </w:tcPr>
          <w:p w14:paraId="754F7263">
            <w:pPr>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1310-65-2</w:t>
            </w:r>
          </w:p>
        </w:tc>
        <w:tc>
          <w:tcPr>
            <w:tcW w:w="1757" w:type="pct"/>
            <w:noWrap w:val="0"/>
            <w:vAlign w:val="center"/>
          </w:tcPr>
          <w:p w14:paraId="00740E0B">
            <w:pPr>
              <w:adjustRightInd w:val="0"/>
              <w:snapToGrid w:val="0"/>
              <w:spacing w:line="240" w:lineRule="auto"/>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HJ 169-2018附录B.2健康危险急性毒性物质类别3</w:t>
            </w:r>
          </w:p>
        </w:tc>
      </w:tr>
      <w:tr w14:paraId="02AF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6" w:type="pct"/>
            <w:noWrap w:val="0"/>
            <w:vAlign w:val="center"/>
          </w:tcPr>
          <w:p w14:paraId="7B9488FA">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5</w:t>
            </w:r>
          </w:p>
        </w:tc>
        <w:tc>
          <w:tcPr>
            <w:tcW w:w="1208" w:type="pct"/>
            <w:noWrap w:val="0"/>
            <w:vAlign w:val="center"/>
          </w:tcPr>
          <w:p w14:paraId="1A0CE2B8">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氟硅酸钠</w:t>
            </w:r>
          </w:p>
        </w:tc>
        <w:tc>
          <w:tcPr>
            <w:tcW w:w="1287" w:type="pct"/>
            <w:noWrap w:val="0"/>
            <w:vAlign w:val="center"/>
          </w:tcPr>
          <w:p w14:paraId="5C67BCD3">
            <w:pPr>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16893-85-9</w:t>
            </w:r>
          </w:p>
        </w:tc>
        <w:tc>
          <w:tcPr>
            <w:tcW w:w="1757" w:type="pct"/>
            <w:noWrap w:val="0"/>
            <w:vAlign w:val="center"/>
          </w:tcPr>
          <w:p w14:paraId="3CB07343">
            <w:pPr>
              <w:adjustRightInd w:val="0"/>
              <w:snapToGrid w:val="0"/>
              <w:spacing w:line="240" w:lineRule="auto"/>
              <w:jc w:val="center"/>
              <w:rPr>
                <w:rFonts w:hint="eastAsia" w:cs="Times New Roman"/>
                <w:color w:val="auto"/>
                <w:kern w:val="28"/>
                <w:szCs w:val="21"/>
                <w:u w:val="single"/>
                <w:lang w:val="en-US" w:eastAsia="zh-CN"/>
              </w:rPr>
            </w:pPr>
            <w:r>
              <w:rPr>
                <w:rFonts w:hint="eastAsia" w:cs="Times New Roman"/>
                <w:color w:val="auto"/>
                <w:kern w:val="28"/>
                <w:szCs w:val="21"/>
                <w:u w:val="single"/>
                <w:lang w:val="en-US" w:eastAsia="zh-CN"/>
              </w:rPr>
              <w:t>HJ 169-2018附录B.2健康危险急性毒性物质类别3</w:t>
            </w:r>
          </w:p>
        </w:tc>
      </w:tr>
      <w:tr w14:paraId="2D00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6" w:type="pct"/>
            <w:noWrap w:val="0"/>
            <w:vAlign w:val="center"/>
          </w:tcPr>
          <w:p w14:paraId="4F9F6480">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6</w:t>
            </w:r>
          </w:p>
        </w:tc>
        <w:tc>
          <w:tcPr>
            <w:tcW w:w="1208" w:type="pct"/>
            <w:noWrap w:val="0"/>
            <w:vAlign w:val="center"/>
          </w:tcPr>
          <w:p w14:paraId="1822DFAE">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氟硅酸镁</w:t>
            </w:r>
          </w:p>
        </w:tc>
        <w:tc>
          <w:tcPr>
            <w:tcW w:w="1287" w:type="pct"/>
            <w:noWrap w:val="0"/>
            <w:vAlign w:val="center"/>
          </w:tcPr>
          <w:p w14:paraId="6703B36B">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16949-65-8</w:t>
            </w:r>
          </w:p>
        </w:tc>
        <w:tc>
          <w:tcPr>
            <w:tcW w:w="1757" w:type="pct"/>
            <w:noWrap w:val="0"/>
            <w:vAlign w:val="center"/>
          </w:tcPr>
          <w:p w14:paraId="0D60FA9F">
            <w:pPr>
              <w:adjustRightInd w:val="0"/>
              <w:snapToGrid w:val="0"/>
              <w:spacing w:line="240" w:lineRule="auto"/>
              <w:jc w:val="center"/>
              <w:rPr>
                <w:rFonts w:hint="eastAsia" w:cs="Times New Roman"/>
                <w:color w:val="auto"/>
                <w:kern w:val="28"/>
                <w:szCs w:val="21"/>
                <w:u w:val="single"/>
                <w:lang w:val="en-US" w:eastAsia="zh-CN"/>
              </w:rPr>
            </w:pPr>
            <w:r>
              <w:rPr>
                <w:rFonts w:hint="eastAsia" w:cs="Times New Roman"/>
                <w:color w:val="auto"/>
                <w:kern w:val="28"/>
                <w:szCs w:val="21"/>
                <w:u w:val="single"/>
                <w:lang w:val="en-US" w:eastAsia="zh-CN"/>
              </w:rPr>
              <w:t>HJ 169-2018附录B.2健康危险急性毒性物质类别3</w:t>
            </w:r>
          </w:p>
        </w:tc>
      </w:tr>
      <w:tr w14:paraId="19CE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6" w:type="pct"/>
            <w:noWrap w:val="0"/>
            <w:vAlign w:val="center"/>
          </w:tcPr>
          <w:p w14:paraId="33C1F7CF">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7</w:t>
            </w:r>
          </w:p>
        </w:tc>
        <w:tc>
          <w:tcPr>
            <w:tcW w:w="1208" w:type="pct"/>
            <w:noWrap w:val="0"/>
            <w:vAlign w:val="center"/>
          </w:tcPr>
          <w:p w14:paraId="35EABF56">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氟化钠</w:t>
            </w:r>
          </w:p>
        </w:tc>
        <w:tc>
          <w:tcPr>
            <w:tcW w:w="1287" w:type="pct"/>
            <w:noWrap w:val="0"/>
            <w:vAlign w:val="center"/>
          </w:tcPr>
          <w:p w14:paraId="446C3C33">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7681-49-4</w:t>
            </w:r>
          </w:p>
        </w:tc>
        <w:tc>
          <w:tcPr>
            <w:tcW w:w="1757" w:type="pct"/>
            <w:noWrap w:val="0"/>
            <w:vAlign w:val="center"/>
          </w:tcPr>
          <w:p w14:paraId="45E12D04">
            <w:pPr>
              <w:adjustRightInd w:val="0"/>
              <w:snapToGrid w:val="0"/>
              <w:spacing w:line="240" w:lineRule="auto"/>
              <w:jc w:val="center"/>
              <w:rPr>
                <w:rFonts w:hint="eastAsia" w:cs="Times New Roman"/>
                <w:color w:val="auto"/>
                <w:kern w:val="28"/>
                <w:szCs w:val="21"/>
                <w:u w:val="single"/>
                <w:lang w:val="en-US" w:eastAsia="zh-CN"/>
              </w:rPr>
            </w:pPr>
            <w:r>
              <w:rPr>
                <w:rFonts w:hint="eastAsia" w:cs="Times New Roman"/>
                <w:color w:val="auto"/>
                <w:kern w:val="28"/>
                <w:szCs w:val="21"/>
                <w:u w:val="single"/>
                <w:lang w:val="en-US" w:eastAsia="zh-CN"/>
              </w:rPr>
              <w:t>HJ 169-2018附录B.2健康危险急性毒性物质类别3</w:t>
            </w:r>
          </w:p>
        </w:tc>
      </w:tr>
      <w:tr w14:paraId="0E18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6" w:type="pct"/>
            <w:noWrap w:val="0"/>
            <w:vAlign w:val="center"/>
          </w:tcPr>
          <w:p w14:paraId="5C0122AE">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8</w:t>
            </w:r>
          </w:p>
        </w:tc>
        <w:tc>
          <w:tcPr>
            <w:tcW w:w="1208" w:type="pct"/>
            <w:noWrap w:val="0"/>
            <w:vAlign w:val="center"/>
          </w:tcPr>
          <w:p w14:paraId="62DED52E">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氟化钡</w:t>
            </w:r>
          </w:p>
        </w:tc>
        <w:tc>
          <w:tcPr>
            <w:tcW w:w="1287" w:type="pct"/>
            <w:noWrap w:val="0"/>
            <w:vAlign w:val="center"/>
          </w:tcPr>
          <w:p w14:paraId="0E9040F3">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7787-32-8</w:t>
            </w:r>
          </w:p>
        </w:tc>
        <w:tc>
          <w:tcPr>
            <w:tcW w:w="1757" w:type="pct"/>
            <w:noWrap w:val="0"/>
            <w:vAlign w:val="center"/>
          </w:tcPr>
          <w:p w14:paraId="3AA75474">
            <w:pPr>
              <w:adjustRightInd w:val="0"/>
              <w:snapToGrid w:val="0"/>
              <w:spacing w:line="240" w:lineRule="auto"/>
              <w:jc w:val="center"/>
              <w:rPr>
                <w:rFonts w:hint="eastAsia" w:cs="Times New Roman"/>
                <w:color w:val="auto"/>
                <w:kern w:val="28"/>
                <w:szCs w:val="21"/>
                <w:u w:val="single"/>
                <w:lang w:val="en-US" w:eastAsia="zh-CN"/>
              </w:rPr>
            </w:pPr>
            <w:r>
              <w:rPr>
                <w:rFonts w:hint="eastAsia" w:cs="Times New Roman"/>
                <w:color w:val="auto"/>
                <w:kern w:val="28"/>
                <w:szCs w:val="21"/>
                <w:u w:val="single"/>
                <w:lang w:val="en-US" w:eastAsia="zh-CN"/>
              </w:rPr>
              <w:t>HJ 169-2018附录B.2健康危险急性毒性物质类别3</w:t>
            </w:r>
          </w:p>
        </w:tc>
      </w:tr>
      <w:tr w14:paraId="5F78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6" w:type="pct"/>
            <w:noWrap w:val="0"/>
            <w:vAlign w:val="center"/>
          </w:tcPr>
          <w:p w14:paraId="7D5229BE">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9</w:t>
            </w:r>
          </w:p>
        </w:tc>
        <w:tc>
          <w:tcPr>
            <w:tcW w:w="1208" w:type="pct"/>
            <w:noWrap w:val="0"/>
            <w:vAlign w:val="center"/>
          </w:tcPr>
          <w:p w14:paraId="7334834A">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氟硅酸锌</w:t>
            </w:r>
          </w:p>
        </w:tc>
        <w:tc>
          <w:tcPr>
            <w:tcW w:w="1287" w:type="pct"/>
            <w:noWrap w:val="0"/>
            <w:vAlign w:val="center"/>
          </w:tcPr>
          <w:p w14:paraId="69625108">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16871-71-9</w:t>
            </w:r>
          </w:p>
        </w:tc>
        <w:tc>
          <w:tcPr>
            <w:tcW w:w="1757" w:type="pct"/>
            <w:noWrap w:val="0"/>
            <w:vAlign w:val="center"/>
          </w:tcPr>
          <w:p w14:paraId="0899BE45">
            <w:pPr>
              <w:adjustRightInd w:val="0"/>
              <w:snapToGrid w:val="0"/>
              <w:spacing w:line="240" w:lineRule="auto"/>
              <w:jc w:val="center"/>
              <w:rPr>
                <w:rFonts w:hint="eastAsia" w:cs="Times New Roman"/>
                <w:color w:val="auto"/>
                <w:kern w:val="28"/>
                <w:szCs w:val="21"/>
                <w:u w:val="single"/>
                <w:lang w:val="en-US" w:eastAsia="zh-CN"/>
              </w:rPr>
            </w:pPr>
            <w:r>
              <w:rPr>
                <w:rFonts w:hint="eastAsia" w:cs="Times New Roman"/>
                <w:color w:val="auto"/>
                <w:kern w:val="28"/>
                <w:szCs w:val="21"/>
                <w:u w:val="single"/>
                <w:lang w:val="en-US" w:eastAsia="zh-CN"/>
              </w:rPr>
              <w:t>HJ 169-2018附录B.2健康危险急性毒性物质类别3</w:t>
            </w:r>
          </w:p>
        </w:tc>
      </w:tr>
      <w:tr w14:paraId="7C53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6" w:type="pct"/>
            <w:noWrap w:val="0"/>
            <w:vAlign w:val="center"/>
          </w:tcPr>
          <w:p w14:paraId="4B5CA091">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10</w:t>
            </w:r>
          </w:p>
        </w:tc>
        <w:tc>
          <w:tcPr>
            <w:tcW w:w="1208" w:type="pct"/>
            <w:noWrap w:val="0"/>
            <w:vAlign w:val="center"/>
          </w:tcPr>
          <w:p w14:paraId="5D59B9BA">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氟硅酸钾</w:t>
            </w:r>
          </w:p>
        </w:tc>
        <w:tc>
          <w:tcPr>
            <w:tcW w:w="1287" w:type="pct"/>
            <w:noWrap w:val="0"/>
            <w:vAlign w:val="center"/>
          </w:tcPr>
          <w:p w14:paraId="4829242D">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16871-90-2</w:t>
            </w:r>
          </w:p>
        </w:tc>
        <w:tc>
          <w:tcPr>
            <w:tcW w:w="1757" w:type="pct"/>
            <w:noWrap w:val="0"/>
            <w:vAlign w:val="center"/>
          </w:tcPr>
          <w:p w14:paraId="10E25236">
            <w:pPr>
              <w:adjustRightInd w:val="0"/>
              <w:snapToGrid w:val="0"/>
              <w:spacing w:line="240" w:lineRule="auto"/>
              <w:jc w:val="center"/>
              <w:rPr>
                <w:rFonts w:hint="eastAsia" w:cs="Times New Roman"/>
                <w:color w:val="auto"/>
                <w:kern w:val="28"/>
                <w:szCs w:val="21"/>
                <w:u w:val="single"/>
                <w:lang w:val="en-US" w:eastAsia="zh-CN"/>
              </w:rPr>
            </w:pPr>
            <w:r>
              <w:rPr>
                <w:rFonts w:hint="eastAsia" w:cs="Times New Roman"/>
                <w:color w:val="auto"/>
                <w:kern w:val="28"/>
                <w:szCs w:val="21"/>
                <w:u w:val="single"/>
                <w:lang w:val="en-US" w:eastAsia="zh-CN"/>
              </w:rPr>
              <w:t>HJ 169-2018附录B.2健康危险急性毒性物质类别3</w:t>
            </w:r>
          </w:p>
        </w:tc>
      </w:tr>
      <w:tr w14:paraId="710A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6" w:type="pct"/>
            <w:noWrap w:val="0"/>
            <w:vAlign w:val="center"/>
          </w:tcPr>
          <w:p w14:paraId="5A128943">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11</w:t>
            </w:r>
          </w:p>
        </w:tc>
        <w:tc>
          <w:tcPr>
            <w:tcW w:w="1208" w:type="pct"/>
            <w:noWrap w:val="0"/>
            <w:vAlign w:val="center"/>
          </w:tcPr>
          <w:p w14:paraId="5397C7D8">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氟化铵</w:t>
            </w:r>
          </w:p>
        </w:tc>
        <w:tc>
          <w:tcPr>
            <w:tcW w:w="1287" w:type="pct"/>
            <w:noWrap w:val="0"/>
            <w:vAlign w:val="center"/>
          </w:tcPr>
          <w:p w14:paraId="7C2D716F">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12125</w:t>
            </w:r>
            <w:r>
              <w:rPr>
                <w:rFonts w:hint="eastAsia" w:cs="Times New Roman"/>
                <w:color w:val="auto"/>
                <w:sz w:val="21"/>
                <w:szCs w:val="21"/>
                <w:u w:val="single"/>
                <w:lang w:val="en-US" w:eastAsia="zh-CN"/>
              </w:rPr>
              <w:t>-</w:t>
            </w:r>
            <w:r>
              <w:rPr>
                <w:rFonts w:hint="eastAsia" w:ascii="Times New Roman" w:hAnsi="Times New Roman" w:eastAsia="宋体" w:cs="Times New Roman"/>
                <w:color w:val="auto"/>
                <w:sz w:val="21"/>
                <w:szCs w:val="21"/>
                <w:u w:val="single"/>
                <w:lang w:val="en-US" w:eastAsia="zh-CN"/>
              </w:rPr>
              <w:t>01</w:t>
            </w:r>
            <w:r>
              <w:rPr>
                <w:rFonts w:hint="eastAsia" w:cs="Times New Roman"/>
                <w:color w:val="auto"/>
                <w:sz w:val="21"/>
                <w:szCs w:val="21"/>
                <w:u w:val="single"/>
                <w:lang w:val="en-US" w:eastAsia="zh-CN"/>
              </w:rPr>
              <w:t>-</w:t>
            </w:r>
            <w:r>
              <w:rPr>
                <w:rFonts w:hint="eastAsia" w:ascii="Times New Roman" w:hAnsi="Times New Roman" w:eastAsia="宋体" w:cs="Times New Roman"/>
                <w:color w:val="auto"/>
                <w:sz w:val="21"/>
                <w:szCs w:val="21"/>
                <w:u w:val="single"/>
                <w:lang w:val="en-US" w:eastAsia="zh-CN"/>
              </w:rPr>
              <w:t>8</w:t>
            </w:r>
          </w:p>
        </w:tc>
        <w:tc>
          <w:tcPr>
            <w:tcW w:w="1757" w:type="pct"/>
            <w:noWrap w:val="0"/>
            <w:vAlign w:val="center"/>
          </w:tcPr>
          <w:p w14:paraId="4C3EF865">
            <w:pPr>
              <w:adjustRightInd w:val="0"/>
              <w:snapToGrid w:val="0"/>
              <w:spacing w:line="240" w:lineRule="auto"/>
              <w:jc w:val="center"/>
              <w:rPr>
                <w:rFonts w:hint="eastAsia" w:cs="Times New Roman"/>
                <w:color w:val="auto"/>
                <w:kern w:val="28"/>
                <w:szCs w:val="21"/>
                <w:u w:val="single"/>
                <w:lang w:val="en-US" w:eastAsia="zh-CN"/>
              </w:rPr>
            </w:pPr>
            <w:r>
              <w:rPr>
                <w:rFonts w:hint="eastAsia" w:cs="Times New Roman"/>
                <w:color w:val="auto"/>
                <w:kern w:val="28"/>
                <w:szCs w:val="21"/>
                <w:u w:val="single"/>
                <w:lang w:val="en-US" w:eastAsia="zh-CN"/>
              </w:rPr>
              <w:t>HJ 169-2018附录B.2健康危险急性毒性物质类别3</w:t>
            </w:r>
          </w:p>
        </w:tc>
      </w:tr>
      <w:tr w14:paraId="00F8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6" w:type="pct"/>
            <w:noWrap w:val="0"/>
            <w:vAlign w:val="center"/>
          </w:tcPr>
          <w:p w14:paraId="7F189C21">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12</w:t>
            </w:r>
          </w:p>
        </w:tc>
        <w:tc>
          <w:tcPr>
            <w:tcW w:w="1208" w:type="pct"/>
            <w:noWrap w:val="0"/>
            <w:vAlign w:val="center"/>
          </w:tcPr>
          <w:p w14:paraId="1F3135A4">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氟化钾</w:t>
            </w:r>
          </w:p>
        </w:tc>
        <w:tc>
          <w:tcPr>
            <w:tcW w:w="1287" w:type="pct"/>
            <w:noWrap w:val="0"/>
            <w:vAlign w:val="center"/>
          </w:tcPr>
          <w:p w14:paraId="2391AFD8">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7789-23-3</w:t>
            </w:r>
          </w:p>
        </w:tc>
        <w:tc>
          <w:tcPr>
            <w:tcW w:w="1757" w:type="pct"/>
            <w:noWrap w:val="0"/>
            <w:vAlign w:val="center"/>
          </w:tcPr>
          <w:p w14:paraId="44BCE770">
            <w:pPr>
              <w:adjustRightInd w:val="0"/>
              <w:snapToGrid w:val="0"/>
              <w:spacing w:line="240" w:lineRule="auto"/>
              <w:jc w:val="center"/>
              <w:rPr>
                <w:rFonts w:hint="eastAsia" w:cs="Times New Roman"/>
                <w:color w:val="auto"/>
                <w:kern w:val="28"/>
                <w:szCs w:val="21"/>
                <w:u w:val="single"/>
                <w:lang w:val="en-US" w:eastAsia="zh-CN"/>
              </w:rPr>
            </w:pPr>
            <w:r>
              <w:rPr>
                <w:rFonts w:hint="eastAsia" w:cs="Times New Roman"/>
                <w:color w:val="auto"/>
                <w:kern w:val="28"/>
                <w:szCs w:val="21"/>
                <w:u w:val="single"/>
                <w:lang w:val="en-US" w:eastAsia="zh-CN"/>
              </w:rPr>
              <w:t>HJ 169-2018附录B.2健康危险急性毒性物质类别3</w:t>
            </w:r>
          </w:p>
        </w:tc>
      </w:tr>
      <w:tr w14:paraId="2EAE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6" w:type="pct"/>
            <w:noWrap w:val="0"/>
            <w:vAlign w:val="center"/>
          </w:tcPr>
          <w:p w14:paraId="055AB6C7">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13</w:t>
            </w:r>
          </w:p>
        </w:tc>
        <w:tc>
          <w:tcPr>
            <w:tcW w:w="1208" w:type="pct"/>
            <w:noWrap w:val="0"/>
            <w:vAlign w:val="center"/>
          </w:tcPr>
          <w:p w14:paraId="36284D6A">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氟化锌</w:t>
            </w:r>
          </w:p>
        </w:tc>
        <w:tc>
          <w:tcPr>
            <w:tcW w:w="1287" w:type="pct"/>
            <w:noWrap w:val="0"/>
            <w:vAlign w:val="center"/>
          </w:tcPr>
          <w:p w14:paraId="6DF32925">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7783-49-5</w:t>
            </w:r>
          </w:p>
        </w:tc>
        <w:tc>
          <w:tcPr>
            <w:tcW w:w="1757" w:type="pct"/>
            <w:noWrap w:val="0"/>
            <w:vAlign w:val="center"/>
          </w:tcPr>
          <w:p w14:paraId="4C65EAB2">
            <w:pPr>
              <w:adjustRightInd w:val="0"/>
              <w:snapToGrid w:val="0"/>
              <w:spacing w:line="240" w:lineRule="auto"/>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HJ 169-2018附录B.2危害水环境物质（急性毒性类别1）</w:t>
            </w:r>
          </w:p>
        </w:tc>
      </w:tr>
    </w:tbl>
    <w:p w14:paraId="74D88E7F">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项目危险物质数量及分布情况见表1-</w:t>
      </w:r>
      <w:r>
        <w:rPr>
          <w:rFonts w:hint="eastAsia" w:cs="Times New Roman"/>
          <w:color w:val="auto"/>
          <w:spacing w:val="10"/>
          <w:sz w:val="24"/>
          <w:szCs w:val="32"/>
          <w:lang w:val="en-US" w:eastAsia="zh-CN"/>
        </w:rPr>
        <w:t>2</w:t>
      </w:r>
      <w:r>
        <w:rPr>
          <w:rFonts w:hint="default" w:ascii="Times New Roman" w:hAnsi="Times New Roman" w:eastAsia="宋体" w:cs="Times New Roman"/>
          <w:color w:val="auto"/>
          <w:spacing w:val="10"/>
          <w:sz w:val="24"/>
          <w:szCs w:val="32"/>
          <w:lang w:val="en-US" w:eastAsia="zh-CN"/>
        </w:rPr>
        <w:t>。</w:t>
      </w:r>
    </w:p>
    <w:p w14:paraId="780E8733">
      <w:pPr>
        <w:pStyle w:val="4"/>
        <w:numPr>
          <w:ilvl w:val="3"/>
          <w:numId w:val="10"/>
        </w:numPr>
        <w:tabs>
          <w:tab w:val="left" w:pos="1358"/>
        </w:tabs>
        <w:ind w:left="1358"/>
        <w:rPr>
          <w:rFonts w:hint="default" w:ascii="Times New Roman" w:hAnsi="Times New Roman" w:eastAsia="宋体" w:cs="Times New Roman"/>
          <w:color w:val="auto"/>
          <w:szCs w:val="20"/>
          <w:u w:val="single"/>
          <w:lang w:eastAsia="zh-CN"/>
        </w:rPr>
      </w:pPr>
      <w:bookmarkStart w:id="40" w:name="_Toc13769"/>
      <w:bookmarkStart w:id="41" w:name="_Toc9453"/>
      <w:bookmarkStart w:id="42" w:name="_Toc19660"/>
      <w:r>
        <w:rPr>
          <w:rFonts w:hint="default" w:ascii="Times New Roman" w:hAnsi="Times New Roman" w:eastAsia="宋体" w:cs="Times New Roman"/>
          <w:color w:val="auto"/>
          <w:szCs w:val="20"/>
          <w:u w:val="single"/>
          <w:lang w:eastAsia="zh-CN"/>
        </w:rPr>
        <w:t>项目危险物质数量及分布情况表</w:t>
      </w:r>
      <w:bookmarkEnd w:id="40"/>
      <w:bookmarkEnd w:id="41"/>
    </w:p>
    <w:tbl>
      <w:tblPr>
        <w:tblStyle w:val="19"/>
        <w:tblW w:w="8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478"/>
        <w:gridCol w:w="1190"/>
        <w:gridCol w:w="1025"/>
        <w:gridCol w:w="1575"/>
        <w:gridCol w:w="2987"/>
      </w:tblGrid>
      <w:tr w14:paraId="02EB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33" w:type="dxa"/>
            <w:noWrap w:val="0"/>
            <w:vAlign w:val="center"/>
          </w:tcPr>
          <w:p w14:paraId="6A660B7B">
            <w:pPr>
              <w:spacing w:line="240" w:lineRule="exact"/>
              <w:jc w:val="center"/>
              <w:rPr>
                <w:rFonts w:hint="default" w:ascii="Times New Roman" w:hAnsi="Times New Roman" w:eastAsia="宋体" w:cs="Times New Roman"/>
                <w:color w:val="auto"/>
                <w:kern w:val="28"/>
                <w:szCs w:val="21"/>
                <w:u w:val="single"/>
                <w:lang w:eastAsia="zh-CN"/>
              </w:rPr>
            </w:pPr>
            <w:r>
              <w:rPr>
                <w:rFonts w:hint="default" w:ascii="Times New Roman" w:hAnsi="Times New Roman" w:cs="Times New Roman"/>
                <w:color w:val="auto"/>
                <w:kern w:val="28"/>
                <w:szCs w:val="21"/>
                <w:u w:val="single"/>
                <w:lang w:eastAsia="zh-CN"/>
              </w:rPr>
              <w:t>序号</w:t>
            </w:r>
          </w:p>
        </w:tc>
        <w:tc>
          <w:tcPr>
            <w:tcW w:w="1478" w:type="dxa"/>
            <w:noWrap w:val="0"/>
            <w:vAlign w:val="center"/>
          </w:tcPr>
          <w:p w14:paraId="502DE1C4">
            <w:pPr>
              <w:spacing w:line="240" w:lineRule="exact"/>
              <w:jc w:val="center"/>
              <w:rPr>
                <w:rFonts w:hint="default" w:ascii="Times New Roman" w:hAnsi="Times New Roman" w:eastAsia="宋体" w:cs="Times New Roman"/>
                <w:color w:val="auto"/>
                <w:kern w:val="28"/>
                <w:szCs w:val="21"/>
                <w:u w:val="single"/>
                <w:lang w:eastAsia="zh-CN"/>
              </w:rPr>
            </w:pPr>
            <w:r>
              <w:rPr>
                <w:rFonts w:hint="default" w:ascii="Times New Roman" w:hAnsi="Times New Roman" w:cs="Times New Roman"/>
                <w:color w:val="auto"/>
                <w:kern w:val="28"/>
                <w:szCs w:val="21"/>
                <w:u w:val="single"/>
                <w:lang w:eastAsia="zh-CN"/>
              </w:rPr>
              <w:t>物质名称</w:t>
            </w:r>
          </w:p>
        </w:tc>
        <w:tc>
          <w:tcPr>
            <w:tcW w:w="1190" w:type="dxa"/>
            <w:noWrap w:val="0"/>
            <w:vAlign w:val="center"/>
          </w:tcPr>
          <w:p w14:paraId="1E09CF17">
            <w:pPr>
              <w:spacing w:line="240" w:lineRule="exact"/>
              <w:jc w:val="center"/>
              <w:rPr>
                <w:rFonts w:hint="default" w:ascii="Times New Roman" w:hAnsi="Times New Roman" w:cs="Times New Roman"/>
                <w:color w:val="auto"/>
                <w:kern w:val="28"/>
                <w:szCs w:val="21"/>
                <w:u w:val="single"/>
                <w:lang w:val="en-US" w:eastAsia="zh-CN"/>
              </w:rPr>
            </w:pPr>
            <w:r>
              <w:rPr>
                <w:rFonts w:hint="default" w:ascii="Times New Roman" w:hAnsi="Times New Roman" w:cs="Times New Roman"/>
                <w:color w:val="auto"/>
                <w:kern w:val="28"/>
                <w:szCs w:val="21"/>
                <w:u w:val="single"/>
                <w:lang w:val="en-US" w:eastAsia="zh-CN"/>
              </w:rPr>
              <w:t>CAS号</w:t>
            </w:r>
          </w:p>
        </w:tc>
        <w:tc>
          <w:tcPr>
            <w:tcW w:w="1025" w:type="dxa"/>
            <w:noWrap w:val="0"/>
            <w:vAlign w:val="center"/>
          </w:tcPr>
          <w:p w14:paraId="3A31B2AB">
            <w:pPr>
              <w:spacing w:line="240" w:lineRule="exact"/>
              <w:jc w:val="center"/>
              <w:rPr>
                <w:rFonts w:hint="default" w:ascii="Times New Roman" w:hAnsi="Times New Roman" w:cs="Times New Roman"/>
                <w:color w:val="auto"/>
                <w:kern w:val="28"/>
                <w:szCs w:val="21"/>
                <w:u w:val="single"/>
                <w:lang w:val="en-US" w:eastAsia="zh-CN"/>
              </w:rPr>
            </w:pPr>
            <w:r>
              <w:rPr>
                <w:rFonts w:hint="default" w:ascii="Times New Roman" w:hAnsi="Times New Roman" w:cs="Times New Roman"/>
                <w:color w:val="auto"/>
                <w:kern w:val="28"/>
                <w:szCs w:val="21"/>
                <w:u w:val="single"/>
                <w:lang w:val="en-US" w:eastAsia="zh-CN"/>
              </w:rPr>
              <w:t>形态</w:t>
            </w:r>
          </w:p>
        </w:tc>
        <w:tc>
          <w:tcPr>
            <w:tcW w:w="1575" w:type="dxa"/>
            <w:noWrap w:val="0"/>
            <w:vAlign w:val="center"/>
          </w:tcPr>
          <w:p w14:paraId="3180A1A0">
            <w:pPr>
              <w:spacing w:line="240" w:lineRule="exact"/>
              <w:jc w:val="center"/>
              <w:rPr>
                <w:rFonts w:hint="default" w:ascii="Times New Roman" w:hAnsi="Times New Roman" w:eastAsia="宋体" w:cs="Times New Roman"/>
                <w:color w:val="auto"/>
                <w:kern w:val="28"/>
                <w:szCs w:val="21"/>
                <w:u w:val="single"/>
                <w:lang w:val="en-US" w:eastAsia="zh-CN"/>
              </w:rPr>
            </w:pPr>
            <w:r>
              <w:rPr>
                <w:rFonts w:hint="default" w:ascii="Times New Roman" w:hAnsi="Times New Roman" w:cs="Times New Roman"/>
                <w:color w:val="auto"/>
                <w:kern w:val="28"/>
                <w:szCs w:val="21"/>
                <w:u w:val="single"/>
                <w:lang w:eastAsia="zh-CN"/>
              </w:rPr>
              <w:t>最大存放量（</w:t>
            </w:r>
            <w:r>
              <w:rPr>
                <w:rFonts w:hint="default" w:ascii="Times New Roman" w:hAnsi="Times New Roman" w:cs="Times New Roman"/>
                <w:color w:val="auto"/>
                <w:kern w:val="28"/>
                <w:szCs w:val="21"/>
                <w:u w:val="single"/>
                <w:lang w:val="en-US" w:eastAsia="zh-CN"/>
              </w:rPr>
              <w:t>t</w:t>
            </w:r>
            <w:r>
              <w:rPr>
                <w:rFonts w:hint="default" w:ascii="Times New Roman" w:hAnsi="Times New Roman" w:cs="Times New Roman"/>
                <w:color w:val="auto"/>
                <w:kern w:val="28"/>
                <w:szCs w:val="21"/>
                <w:u w:val="single"/>
                <w:lang w:eastAsia="zh-CN"/>
              </w:rPr>
              <w:t>）</w:t>
            </w:r>
          </w:p>
        </w:tc>
        <w:tc>
          <w:tcPr>
            <w:tcW w:w="2987" w:type="dxa"/>
            <w:noWrap w:val="0"/>
            <w:vAlign w:val="center"/>
          </w:tcPr>
          <w:p w14:paraId="222A2AC3">
            <w:pPr>
              <w:spacing w:line="240" w:lineRule="exact"/>
              <w:jc w:val="center"/>
              <w:rPr>
                <w:rFonts w:hint="default" w:ascii="Times New Roman" w:hAnsi="Times New Roman" w:cs="Times New Roman"/>
                <w:color w:val="auto"/>
                <w:kern w:val="28"/>
                <w:szCs w:val="21"/>
                <w:u w:val="single"/>
                <w:lang w:eastAsia="zh-CN"/>
              </w:rPr>
            </w:pPr>
            <w:r>
              <w:rPr>
                <w:rFonts w:hint="default" w:ascii="Times New Roman" w:hAnsi="Times New Roman" w:cs="Times New Roman"/>
                <w:color w:val="auto"/>
                <w:kern w:val="28"/>
                <w:szCs w:val="21"/>
                <w:u w:val="single"/>
                <w:lang w:eastAsia="zh-CN"/>
              </w:rPr>
              <w:t>分布情况</w:t>
            </w:r>
          </w:p>
        </w:tc>
      </w:tr>
      <w:tr w14:paraId="7A9E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restart"/>
            <w:noWrap w:val="0"/>
            <w:vAlign w:val="center"/>
          </w:tcPr>
          <w:p w14:paraId="2090EA9E">
            <w:pPr>
              <w:spacing w:line="240" w:lineRule="exact"/>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1</w:t>
            </w:r>
          </w:p>
        </w:tc>
        <w:tc>
          <w:tcPr>
            <w:tcW w:w="1478" w:type="dxa"/>
            <w:vMerge w:val="restart"/>
            <w:noWrap w:val="0"/>
            <w:vAlign w:val="center"/>
          </w:tcPr>
          <w:p w14:paraId="234CB660">
            <w:pPr>
              <w:jc w:val="center"/>
              <w:rPr>
                <w:rFonts w:hint="default" w:ascii="Times New Roman" w:hAnsi="Times New Roman" w:eastAsia="宋体" w:cs="Times New Roman"/>
                <w:color w:val="auto"/>
                <w:kern w:val="28"/>
                <w:szCs w:val="21"/>
                <w:u w:val="single"/>
                <w:lang w:val="en-US" w:eastAsia="zh-CN"/>
              </w:rPr>
            </w:pPr>
            <w:r>
              <w:rPr>
                <w:rFonts w:hint="default" w:ascii="Times New Roman" w:hAnsi="Times New Roman" w:cs="Times New Roman"/>
                <w:color w:val="auto"/>
                <w:szCs w:val="21"/>
                <w:u w:val="single"/>
                <w:lang w:val="en-US" w:eastAsia="zh-CN"/>
              </w:rPr>
              <w:t>磷酸</w:t>
            </w:r>
          </w:p>
        </w:tc>
        <w:tc>
          <w:tcPr>
            <w:tcW w:w="1190" w:type="dxa"/>
            <w:vMerge w:val="restart"/>
            <w:noWrap w:val="0"/>
            <w:vAlign w:val="center"/>
          </w:tcPr>
          <w:p w14:paraId="1CB09F1D">
            <w:pPr>
              <w:jc w:val="center"/>
              <w:rPr>
                <w:rFonts w:hint="default"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7664-38-2</w:t>
            </w:r>
          </w:p>
        </w:tc>
        <w:tc>
          <w:tcPr>
            <w:tcW w:w="1025" w:type="dxa"/>
            <w:vMerge w:val="restart"/>
            <w:noWrap w:val="0"/>
            <w:vAlign w:val="center"/>
          </w:tcPr>
          <w:p w14:paraId="6C05B9FF">
            <w:pPr>
              <w:jc w:val="center"/>
              <w:rPr>
                <w:rFonts w:hint="default" w:ascii="Times New Roman" w:hAnsi="Times New Roman" w:cs="Times New Roman"/>
                <w:color w:val="auto"/>
                <w:kern w:val="28"/>
                <w:szCs w:val="21"/>
                <w:u w:val="single"/>
                <w:lang w:val="en-US" w:eastAsia="zh-CN"/>
              </w:rPr>
            </w:pPr>
            <w:r>
              <w:rPr>
                <w:rFonts w:hint="default" w:ascii="Times New Roman" w:hAnsi="Times New Roman" w:eastAsia="宋体" w:cs="Times New Roman"/>
                <w:color w:val="auto"/>
                <w:sz w:val="21"/>
                <w:szCs w:val="21"/>
                <w:u w:val="single"/>
                <w:lang w:val="en-US" w:eastAsia="zh-CN"/>
              </w:rPr>
              <w:t>液态</w:t>
            </w:r>
          </w:p>
        </w:tc>
        <w:tc>
          <w:tcPr>
            <w:tcW w:w="1575" w:type="dxa"/>
            <w:noWrap w:val="0"/>
            <w:vAlign w:val="center"/>
          </w:tcPr>
          <w:p w14:paraId="24F12BC1">
            <w:pPr>
              <w:adjustRightInd w:val="0"/>
              <w:snapToGrid w:val="0"/>
              <w:spacing w:line="240" w:lineRule="auto"/>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300</w:t>
            </w:r>
          </w:p>
        </w:tc>
        <w:tc>
          <w:tcPr>
            <w:tcW w:w="2987" w:type="dxa"/>
            <w:noWrap w:val="0"/>
            <w:vAlign w:val="center"/>
          </w:tcPr>
          <w:p w14:paraId="356B0A1A">
            <w:pPr>
              <w:spacing w:line="240" w:lineRule="exact"/>
              <w:jc w:val="center"/>
              <w:rPr>
                <w:rFonts w:hint="default" w:ascii="Times New Roman" w:hAnsi="Times New Roman" w:cs="Times New Roman"/>
                <w:color w:val="auto"/>
                <w:kern w:val="28"/>
                <w:szCs w:val="21"/>
                <w:u w:val="single"/>
                <w:lang w:eastAsia="zh-CN"/>
              </w:rPr>
            </w:pPr>
            <w:r>
              <w:rPr>
                <w:rFonts w:hint="eastAsia" w:ascii="Times New Roman" w:hAnsi="Times New Roman" w:eastAsia="宋体" w:cs="Times New Roman"/>
                <w:color w:val="auto"/>
                <w:kern w:val="0"/>
                <w:sz w:val="21"/>
                <w:szCs w:val="21"/>
                <w:u w:val="single"/>
                <w:vertAlign w:val="baseline"/>
                <w:lang w:val="en-US" w:eastAsia="zh-CN"/>
              </w:rPr>
              <w:t>2号仓库隔间A</w:t>
            </w:r>
            <w:r>
              <w:rPr>
                <w:rFonts w:hint="eastAsia" w:cs="Times New Roman"/>
                <w:color w:val="auto"/>
                <w:kern w:val="0"/>
                <w:sz w:val="21"/>
                <w:szCs w:val="21"/>
                <w:u w:val="single"/>
                <w:vertAlign w:val="baseline"/>
                <w:lang w:val="en-US" w:eastAsia="zh-CN"/>
              </w:rPr>
              <w:t>2</w:t>
            </w:r>
          </w:p>
        </w:tc>
      </w:tr>
      <w:tr w14:paraId="56AE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04F0999A">
            <w:pPr>
              <w:spacing w:line="240" w:lineRule="exact"/>
              <w:jc w:val="center"/>
              <w:rPr>
                <w:rFonts w:hint="eastAsia" w:ascii="Times New Roman" w:hAnsi="Times New Roman" w:cs="Times New Roman"/>
                <w:color w:val="auto"/>
                <w:kern w:val="28"/>
                <w:szCs w:val="21"/>
                <w:u w:val="single"/>
                <w:lang w:val="en-US" w:eastAsia="zh-CN"/>
              </w:rPr>
            </w:pPr>
          </w:p>
        </w:tc>
        <w:tc>
          <w:tcPr>
            <w:tcW w:w="1478" w:type="dxa"/>
            <w:vMerge w:val="continue"/>
            <w:noWrap w:val="0"/>
            <w:vAlign w:val="center"/>
          </w:tcPr>
          <w:p w14:paraId="1E261E90">
            <w:pPr>
              <w:jc w:val="center"/>
              <w:rPr>
                <w:rFonts w:hint="default" w:ascii="Times New Roman" w:hAnsi="Times New Roman" w:cs="Times New Roman"/>
                <w:color w:val="auto"/>
                <w:szCs w:val="21"/>
                <w:u w:val="single"/>
                <w:lang w:val="en-US" w:eastAsia="zh-CN"/>
              </w:rPr>
            </w:pPr>
          </w:p>
        </w:tc>
        <w:tc>
          <w:tcPr>
            <w:tcW w:w="1190" w:type="dxa"/>
            <w:vMerge w:val="continue"/>
            <w:noWrap w:val="0"/>
            <w:vAlign w:val="center"/>
          </w:tcPr>
          <w:p w14:paraId="5B57FBC4">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46FFE383">
            <w:pPr>
              <w:jc w:val="center"/>
              <w:rPr>
                <w:rFonts w:hint="default" w:ascii="Times New Roman" w:hAnsi="Times New Roman" w:eastAsia="宋体" w:cs="Times New Roman"/>
                <w:color w:val="auto"/>
                <w:sz w:val="21"/>
                <w:szCs w:val="21"/>
                <w:u w:val="single"/>
                <w:lang w:val="en-US" w:eastAsia="zh-CN"/>
              </w:rPr>
            </w:pPr>
          </w:p>
        </w:tc>
        <w:tc>
          <w:tcPr>
            <w:tcW w:w="1575" w:type="dxa"/>
            <w:noWrap w:val="0"/>
            <w:vAlign w:val="center"/>
          </w:tcPr>
          <w:p w14:paraId="5925A167">
            <w:pPr>
              <w:adjustRightInd w:val="0"/>
              <w:snapToGrid w:val="0"/>
              <w:spacing w:line="240" w:lineRule="auto"/>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300</w:t>
            </w:r>
          </w:p>
        </w:tc>
        <w:tc>
          <w:tcPr>
            <w:tcW w:w="2987" w:type="dxa"/>
            <w:noWrap w:val="0"/>
            <w:vAlign w:val="center"/>
          </w:tcPr>
          <w:p w14:paraId="1B5D1859">
            <w:pPr>
              <w:spacing w:line="240" w:lineRule="exact"/>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B2</w:t>
            </w:r>
          </w:p>
        </w:tc>
      </w:tr>
      <w:tr w14:paraId="6704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4AF538AA">
            <w:pPr>
              <w:spacing w:line="240" w:lineRule="exact"/>
              <w:jc w:val="center"/>
              <w:rPr>
                <w:rFonts w:hint="eastAsia" w:ascii="Times New Roman" w:hAnsi="Times New Roman" w:cs="Times New Roman"/>
                <w:color w:val="auto"/>
                <w:kern w:val="28"/>
                <w:szCs w:val="21"/>
                <w:u w:val="single"/>
                <w:lang w:val="en-US" w:eastAsia="zh-CN"/>
              </w:rPr>
            </w:pPr>
          </w:p>
        </w:tc>
        <w:tc>
          <w:tcPr>
            <w:tcW w:w="1478" w:type="dxa"/>
            <w:vMerge w:val="continue"/>
            <w:noWrap w:val="0"/>
            <w:vAlign w:val="center"/>
          </w:tcPr>
          <w:p w14:paraId="22DDFD1E">
            <w:pPr>
              <w:jc w:val="center"/>
              <w:rPr>
                <w:rFonts w:hint="default" w:ascii="Times New Roman" w:hAnsi="Times New Roman" w:cs="Times New Roman"/>
                <w:color w:val="auto"/>
                <w:szCs w:val="21"/>
                <w:u w:val="single"/>
                <w:lang w:val="en-US" w:eastAsia="zh-CN"/>
              </w:rPr>
            </w:pPr>
          </w:p>
        </w:tc>
        <w:tc>
          <w:tcPr>
            <w:tcW w:w="1190" w:type="dxa"/>
            <w:vMerge w:val="continue"/>
            <w:noWrap w:val="0"/>
            <w:vAlign w:val="center"/>
          </w:tcPr>
          <w:p w14:paraId="1D9AD34A">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2372C7A5">
            <w:pPr>
              <w:jc w:val="center"/>
              <w:rPr>
                <w:rFonts w:hint="default" w:ascii="Times New Roman" w:hAnsi="Times New Roman" w:eastAsia="宋体" w:cs="Times New Roman"/>
                <w:color w:val="auto"/>
                <w:sz w:val="21"/>
                <w:szCs w:val="21"/>
                <w:u w:val="single"/>
                <w:lang w:val="en-US" w:eastAsia="zh-CN"/>
              </w:rPr>
            </w:pPr>
          </w:p>
        </w:tc>
        <w:tc>
          <w:tcPr>
            <w:tcW w:w="1575" w:type="dxa"/>
            <w:noWrap w:val="0"/>
            <w:vAlign w:val="center"/>
          </w:tcPr>
          <w:p w14:paraId="4B649754">
            <w:pPr>
              <w:adjustRightInd w:val="0"/>
              <w:snapToGrid w:val="0"/>
              <w:spacing w:line="240" w:lineRule="auto"/>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300</w:t>
            </w:r>
          </w:p>
        </w:tc>
        <w:tc>
          <w:tcPr>
            <w:tcW w:w="2987" w:type="dxa"/>
            <w:noWrap w:val="0"/>
            <w:vAlign w:val="center"/>
          </w:tcPr>
          <w:p w14:paraId="1478CD86">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C2</w:t>
            </w:r>
          </w:p>
        </w:tc>
      </w:tr>
      <w:tr w14:paraId="591D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2C934668">
            <w:pPr>
              <w:spacing w:line="240" w:lineRule="exact"/>
              <w:jc w:val="center"/>
              <w:rPr>
                <w:rFonts w:hint="eastAsia" w:ascii="Times New Roman" w:hAnsi="Times New Roman" w:cs="Times New Roman"/>
                <w:color w:val="auto"/>
                <w:kern w:val="28"/>
                <w:szCs w:val="21"/>
                <w:u w:val="single"/>
                <w:lang w:val="en-US" w:eastAsia="zh-CN"/>
              </w:rPr>
            </w:pPr>
          </w:p>
        </w:tc>
        <w:tc>
          <w:tcPr>
            <w:tcW w:w="1478" w:type="dxa"/>
            <w:vMerge w:val="continue"/>
            <w:noWrap w:val="0"/>
            <w:vAlign w:val="center"/>
          </w:tcPr>
          <w:p w14:paraId="628BD3F3">
            <w:pPr>
              <w:jc w:val="center"/>
              <w:rPr>
                <w:rFonts w:hint="default" w:ascii="Times New Roman" w:hAnsi="Times New Roman" w:cs="Times New Roman"/>
                <w:color w:val="auto"/>
                <w:szCs w:val="21"/>
                <w:u w:val="single"/>
                <w:lang w:val="en-US" w:eastAsia="zh-CN"/>
              </w:rPr>
            </w:pPr>
          </w:p>
        </w:tc>
        <w:tc>
          <w:tcPr>
            <w:tcW w:w="1190" w:type="dxa"/>
            <w:vMerge w:val="continue"/>
            <w:noWrap w:val="0"/>
            <w:vAlign w:val="center"/>
          </w:tcPr>
          <w:p w14:paraId="3ADAC2A7">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24D36A69">
            <w:pPr>
              <w:jc w:val="center"/>
              <w:rPr>
                <w:rFonts w:hint="default" w:ascii="Times New Roman" w:hAnsi="Times New Roman" w:eastAsia="宋体" w:cs="Times New Roman"/>
                <w:color w:val="auto"/>
                <w:sz w:val="21"/>
                <w:szCs w:val="21"/>
                <w:u w:val="single"/>
                <w:lang w:val="en-US" w:eastAsia="zh-CN"/>
              </w:rPr>
            </w:pPr>
          </w:p>
        </w:tc>
        <w:tc>
          <w:tcPr>
            <w:tcW w:w="1575" w:type="dxa"/>
            <w:noWrap w:val="0"/>
            <w:vAlign w:val="center"/>
          </w:tcPr>
          <w:p w14:paraId="3EC39F47">
            <w:pPr>
              <w:adjustRightInd w:val="0"/>
              <w:snapToGrid w:val="0"/>
              <w:spacing w:line="240" w:lineRule="auto"/>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200</w:t>
            </w:r>
          </w:p>
        </w:tc>
        <w:tc>
          <w:tcPr>
            <w:tcW w:w="2987" w:type="dxa"/>
            <w:noWrap w:val="0"/>
            <w:vAlign w:val="center"/>
          </w:tcPr>
          <w:p w14:paraId="329B5598">
            <w:pPr>
              <w:spacing w:line="240" w:lineRule="exact"/>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D</w:t>
            </w:r>
          </w:p>
        </w:tc>
      </w:tr>
      <w:tr w14:paraId="7260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090EA6D5">
            <w:pPr>
              <w:spacing w:line="240" w:lineRule="exact"/>
              <w:jc w:val="center"/>
              <w:rPr>
                <w:rFonts w:hint="eastAsia" w:ascii="Times New Roman" w:hAnsi="Times New Roman" w:cs="Times New Roman"/>
                <w:color w:val="auto"/>
                <w:kern w:val="28"/>
                <w:szCs w:val="21"/>
                <w:u w:val="single"/>
                <w:lang w:val="en-US" w:eastAsia="zh-CN"/>
              </w:rPr>
            </w:pPr>
          </w:p>
        </w:tc>
        <w:tc>
          <w:tcPr>
            <w:tcW w:w="1478" w:type="dxa"/>
            <w:vMerge w:val="continue"/>
            <w:noWrap w:val="0"/>
            <w:vAlign w:val="center"/>
          </w:tcPr>
          <w:p w14:paraId="07923732">
            <w:pPr>
              <w:jc w:val="center"/>
              <w:rPr>
                <w:rFonts w:hint="default" w:ascii="Times New Roman" w:hAnsi="Times New Roman" w:cs="Times New Roman"/>
                <w:color w:val="auto"/>
                <w:szCs w:val="21"/>
                <w:u w:val="single"/>
                <w:lang w:val="en-US" w:eastAsia="zh-CN"/>
              </w:rPr>
            </w:pPr>
          </w:p>
        </w:tc>
        <w:tc>
          <w:tcPr>
            <w:tcW w:w="1190" w:type="dxa"/>
            <w:vMerge w:val="continue"/>
            <w:noWrap w:val="0"/>
            <w:vAlign w:val="center"/>
          </w:tcPr>
          <w:p w14:paraId="0E9F87D0">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732C816C">
            <w:pPr>
              <w:jc w:val="center"/>
              <w:rPr>
                <w:rFonts w:hint="default" w:ascii="Times New Roman" w:hAnsi="Times New Roman" w:eastAsia="宋体" w:cs="Times New Roman"/>
                <w:color w:val="auto"/>
                <w:sz w:val="21"/>
                <w:szCs w:val="21"/>
                <w:u w:val="single"/>
                <w:lang w:val="en-US" w:eastAsia="zh-CN"/>
              </w:rPr>
            </w:pPr>
          </w:p>
        </w:tc>
        <w:tc>
          <w:tcPr>
            <w:tcW w:w="1575" w:type="dxa"/>
            <w:noWrap w:val="0"/>
            <w:vAlign w:val="center"/>
          </w:tcPr>
          <w:p w14:paraId="256B2C30">
            <w:pPr>
              <w:adjustRightInd w:val="0"/>
              <w:snapToGrid w:val="0"/>
              <w:spacing w:line="240" w:lineRule="auto"/>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200</w:t>
            </w:r>
          </w:p>
        </w:tc>
        <w:tc>
          <w:tcPr>
            <w:tcW w:w="2987" w:type="dxa"/>
            <w:noWrap w:val="0"/>
            <w:vAlign w:val="center"/>
          </w:tcPr>
          <w:p w14:paraId="06D85AFE">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4</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B</w:t>
            </w:r>
          </w:p>
        </w:tc>
      </w:tr>
      <w:tr w14:paraId="795B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01A494FE">
            <w:pPr>
              <w:spacing w:line="240" w:lineRule="exact"/>
              <w:jc w:val="center"/>
              <w:rPr>
                <w:rFonts w:hint="eastAsia" w:ascii="Times New Roman" w:hAnsi="Times New Roman" w:cs="Times New Roman"/>
                <w:color w:val="auto"/>
                <w:kern w:val="28"/>
                <w:szCs w:val="21"/>
                <w:u w:val="single"/>
                <w:lang w:val="en-US" w:eastAsia="zh-CN"/>
              </w:rPr>
            </w:pPr>
          </w:p>
        </w:tc>
        <w:tc>
          <w:tcPr>
            <w:tcW w:w="1478" w:type="dxa"/>
            <w:vMerge w:val="continue"/>
            <w:noWrap w:val="0"/>
            <w:vAlign w:val="center"/>
          </w:tcPr>
          <w:p w14:paraId="066D8CFB">
            <w:pPr>
              <w:jc w:val="center"/>
              <w:rPr>
                <w:rFonts w:hint="default" w:ascii="Times New Roman" w:hAnsi="Times New Roman" w:cs="Times New Roman"/>
                <w:color w:val="auto"/>
                <w:szCs w:val="21"/>
                <w:u w:val="single"/>
                <w:lang w:val="en-US" w:eastAsia="zh-CN"/>
              </w:rPr>
            </w:pPr>
          </w:p>
        </w:tc>
        <w:tc>
          <w:tcPr>
            <w:tcW w:w="1190" w:type="dxa"/>
            <w:vMerge w:val="continue"/>
            <w:noWrap w:val="0"/>
            <w:vAlign w:val="center"/>
          </w:tcPr>
          <w:p w14:paraId="60DF578E">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457DF0CF">
            <w:pPr>
              <w:jc w:val="center"/>
              <w:rPr>
                <w:rFonts w:hint="default" w:ascii="Times New Roman" w:hAnsi="Times New Roman" w:eastAsia="宋体" w:cs="Times New Roman"/>
                <w:color w:val="auto"/>
                <w:sz w:val="21"/>
                <w:szCs w:val="21"/>
                <w:u w:val="single"/>
                <w:lang w:val="en-US" w:eastAsia="zh-CN"/>
              </w:rPr>
            </w:pPr>
          </w:p>
        </w:tc>
        <w:tc>
          <w:tcPr>
            <w:tcW w:w="1575" w:type="dxa"/>
            <w:noWrap w:val="0"/>
            <w:vAlign w:val="center"/>
          </w:tcPr>
          <w:p w14:paraId="244441A4">
            <w:pPr>
              <w:adjustRightInd w:val="0"/>
              <w:snapToGrid w:val="0"/>
              <w:spacing w:line="240" w:lineRule="auto"/>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1000</w:t>
            </w:r>
          </w:p>
        </w:tc>
        <w:tc>
          <w:tcPr>
            <w:tcW w:w="2987" w:type="dxa"/>
            <w:noWrap w:val="0"/>
            <w:vAlign w:val="center"/>
          </w:tcPr>
          <w:p w14:paraId="2AEEE3B2">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B</w:t>
            </w:r>
          </w:p>
        </w:tc>
      </w:tr>
      <w:tr w14:paraId="388CF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restart"/>
            <w:noWrap w:val="0"/>
            <w:vAlign w:val="center"/>
          </w:tcPr>
          <w:p w14:paraId="735F6A68">
            <w:pPr>
              <w:spacing w:line="240" w:lineRule="exact"/>
              <w:jc w:val="center"/>
              <w:rPr>
                <w:rFonts w:hint="default" w:ascii="Times New Roman" w:hAnsi="Times New Roman" w:cs="Times New Roman"/>
                <w:color w:val="auto"/>
                <w:kern w:val="28"/>
                <w:szCs w:val="21"/>
                <w:u w:val="single"/>
                <w:lang w:val="en-US" w:eastAsia="zh-CN"/>
              </w:rPr>
            </w:pPr>
            <w:r>
              <w:rPr>
                <w:rFonts w:hint="eastAsia" w:cs="Times New Roman"/>
                <w:color w:val="auto"/>
                <w:kern w:val="28"/>
                <w:szCs w:val="21"/>
                <w:u w:val="single"/>
                <w:lang w:val="en-US" w:eastAsia="zh-CN"/>
              </w:rPr>
              <w:t>2</w:t>
            </w:r>
          </w:p>
        </w:tc>
        <w:tc>
          <w:tcPr>
            <w:tcW w:w="1478" w:type="dxa"/>
            <w:vMerge w:val="restart"/>
            <w:noWrap w:val="0"/>
            <w:vAlign w:val="center"/>
          </w:tcPr>
          <w:p w14:paraId="510FD01D">
            <w:pPr>
              <w:adjustRightInd w:val="0"/>
              <w:snapToGrid w:val="0"/>
              <w:jc w:val="center"/>
              <w:rPr>
                <w:rFonts w:hint="default" w:ascii="Times New Roman" w:hAnsi="Times New Roman" w:cs="Times New Roman"/>
                <w:color w:val="auto"/>
                <w:szCs w:val="21"/>
                <w:u w:val="single"/>
                <w:lang w:val="en-US" w:eastAsia="zh-CN"/>
              </w:rPr>
            </w:pPr>
            <w:r>
              <w:rPr>
                <w:rFonts w:hint="eastAsia" w:ascii="Times New Roman" w:hAnsi="Times New Roman" w:eastAsia="宋体" w:cs="Times New Roman"/>
                <w:color w:val="auto"/>
                <w:sz w:val="21"/>
                <w:szCs w:val="21"/>
                <w:u w:val="single"/>
                <w:lang w:val="en-US" w:eastAsia="zh-CN"/>
              </w:rPr>
              <w:t>盐酸</w:t>
            </w:r>
          </w:p>
        </w:tc>
        <w:tc>
          <w:tcPr>
            <w:tcW w:w="1190" w:type="dxa"/>
            <w:vMerge w:val="restart"/>
            <w:noWrap w:val="0"/>
            <w:vAlign w:val="center"/>
          </w:tcPr>
          <w:p w14:paraId="4F0DE3D0">
            <w:pPr>
              <w:adjustRightInd w:val="0"/>
              <w:snapToGrid w:val="0"/>
              <w:jc w:val="center"/>
              <w:rPr>
                <w:rFonts w:hint="eastAsia" w:ascii="Times New Roman" w:hAnsi="Times New Roman" w:cs="Times New Roman"/>
                <w:color w:val="auto"/>
                <w:kern w:val="28"/>
                <w:szCs w:val="21"/>
                <w:u w:val="single"/>
                <w:lang w:val="en-US" w:eastAsia="zh-CN"/>
              </w:rPr>
            </w:pPr>
            <w:r>
              <w:rPr>
                <w:rFonts w:hint="eastAsia" w:ascii="Times New Roman" w:hAnsi="Times New Roman" w:eastAsia="宋体" w:cs="Times New Roman"/>
                <w:color w:val="auto"/>
                <w:sz w:val="21"/>
                <w:szCs w:val="21"/>
                <w:u w:val="single"/>
                <w:lang w:val="en-US" w:eastAsia="zh-CN"/>
              </w:rPr>
              <w:t>7647-01-0</w:t>
            </w:r>
          </w:p>
        </w:tc>
        <w:tc>
          <w:tcPr>
            <w:tcW w:w="1025" w:type="dxa"/>
            <w:vMerge w:val="restart"/>
            <w:noWrap w:val="0"/>
            <w:vAlign w:val="center"/>
          </w:tcPr>
          <w:p w14:paraId="2AC006D6">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液态</w:t>
            </w:r>
          </w:p>
        </w:tc>
        <w:tc>
          <w:tcPr>
            <w:tcW w:w="1575" w:type="dxa"/>
            <w:noWrap w:val="0"/>
            <w:vAlign w:val="center"/>
          </w:tcPr>
          <w:p w14:paraId="5ADE3D8F">
            <w:pPr>
              <w:adjustRightInd w:val="0"/>
              <w:snapToGrid w:val="0"/>
              <w:spacing w:line="240" w:lineRule="auto"/>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300</w:t>
            </w:r>
          </w:p>
        </w:tc>
        <w:tc>
          <w:tcPr>
            <w:tcW w:w="2987" w:type="dxa"/>
            <w:noWrap w:val="0"/>
            <w:vAlign w:val="center"/>
          </w:tcPr>
          <w:p w14:paraId="2FA4D0E4">
            <w:pPr>
              <w:spacing w:line="240" w:lineRule="exact"/>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2号仓库隔间A</w:t>
            </w:r>
            <w:r>
              <w:rPr>
                <w:rFonts w:hint="eastAsia" w:cs="Times New Roman"/>
                <w:color w:val="auto"/>
                <w:kern w:val="0"/>
                <w:sz w:val="21"/>
                <w:szCs w:val="21"/>
                <w:u w:val="single"/>
                <w:vertAlign w:val="baseline"/>
                <w:lang w:val="en-US" w:eastAsia="zh-CN"/>
              </w:rPr>
              <w:t>2</w:t>
            </w:r>
          </w:p>
        </w:tc>
      </w:tr>
      <w:tr w14:paraId="2B2B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5D4A0FA6">
            <w:pPr>
              <w:spacing w:line="240" w:lineRule="exact"/>
              <w:jc w:val="center"/>
              <w:rPr>
                <w:rFonts w:hint="eastAsia" w:ascii="Times New Roman" w:hAnsi="Times New Roman" w:cs="Times New Roman"/>
                <w:color w:val="auto"/>
                <w:kern w:val="28"/>
                <w:szCs w:val="21"/>
                <w:u w:val="single"/>
                <w:lang w:val="en-US" w:eastAsia="zh-CN"/>
              </w:rPr>
            </w:pPr>
          </w:p>
        </w:tc>
        <w:tc>
          <w:tcPr>
            <w:tcW w:w="1478" w:type="dxa"/>
            <w:vMerge w:val="continue"/>
            <w:noWrap w:val="0"/>
            <w:vAlign w:val="center"/>
          </w:tcPr>
          <w:p w14:paraId="0C385BEA">
            <w:pPr>
              <w:jc w:val="center"/>
              <w:rPr>
                <w:rFonts w:hint="default" w:ascii="Times New Roman" w:hAnsi="Times New Roman" w:cs="Times New Roman"/>
                <w:color w:val="auto"/>
                <w:szCs w:val="21"/>
                <w:u w:val="single"/>
                <w:lang w:val="en-US" w:eastAsia="zh-CN"/>
              </w:rPr>
            </w:pPr>
          </w:p>
        </w:tc>
        <w:tc>
          <w:tcPr>
            <w:tcW w:w="1190" w:type="dxa"/>
            <w:vMerge w:val="continue"/>
            <w:noWrap w:val="0"/>
            <w:vAlign w:val="center"/>
          </w:tcPr>
          <w:p w14:paraId="2FB955C7">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00EFA4CB">
            <w:pPr>
              <w:jc w:val="center"/>
              <w:rPr>
                <w:rFonts w:hint="default" w:ascii="Times New Roman" w:hAnsi="Times New Roman" w:eastAsia="宋体" w:cs="Times New Roman"/>
                <w:color w:val="auto"/>
                <w:sz w:val="21"/>
                <w:szCs w:val="21"/>
                <w:u w:val="single"/>
                <w:lang w:val="en-US" w:eastAsia="zh-CN"/>
              </w:rPr>
            </w:pPr>
          </w:p>
        </w:tc>
        <w:tc>
          <w:tcPr>
            <w:tcW w:w="1575" w:type="dxa"/>
            <w:noWrap w:val="0"/>
            <w:vAlign w:val="center"/>
          </w:tcPr>
          <w:p w14:paraId="22F880F8">
            <w:pPr>
              <w:adjustRightInd w:val="0"/>
              <w:snapToGrid w:val="0"/>
              <w:spacing w:line="240" w:lineRule="auto"/>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300</w:t>
            </w:r>
          </w:p>
        </w:tc>
        <w:tc>
          <w:tcPr>
            <w:tcW w:w="2987" w:type="dxa"/>
            <w:noWrap w:val="0"/>
            <w:vAlign w:val="center"/>
          </w:tcPr>
          <w:p w14:paraId="00D7C913">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B2</w:t>
            </w:r>
          </w:p>
        </w:tc>
      </w:tr>
      <w:tr w14:paraId="361F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48221CB2">
            <w:pPr>
              <w:spacing w:line="240" w:lineRule="exact"/>
              <w:jc w:val="center"/>
              <w:rPr>
                <w:rFonts w:hint="eastAsia" w:ascii="Times New Roman" w:hAnsi="Times New Roman" w:cs="Times New Roman"/>
                <w:color w:val="auto"/>
                <w:kern w:val="28"/>
                <w:szCs w:val="21"/>
                <w:u w:val="single"/>
                <w:lang w:val="en-US" w:eastAsia="zh-CN"/>
              </w:rPr>
            </w:pPr>
          </w:p>
        </w:tc>
        <w:tc>
          <w:tcPr>
            <w:tcW w:w="1478" w:type="dxa"/>
            <w:vMerge w:val="continue"/>
            <w:noWrap w:val="0"/>
            <w:vAlign w:val="center"/>
          </w:tcPr>
          <w:p w14:paraId="44D08750">
            <w:pPr>
              <w:jc w:val="center"/>
              <w:rPr>
                <w:rFonts w:hint="default" w:ascii="Times New Roman" w:hAnsi="Times New Roman" w:cs="Times New Roman"/>
                <w:color w:val="auto"/>
                <w:szCs w:val="21"/>
                <w:u w:val="single"/>
                <w:lang w:val="en-US" w:eastAsia="zh-CN"/>
              </w:rPr>
            </w:pPr>
          </w:p>
        </w:tc>
        <w:tc>
          <w:tcPr>
            <w:tcW w:w="1190" w:type="dxa"/>
            <w:vMerge w:val="continue"/>
            <w:noWrap w:val="0"/>
            <w:vAlign w:val="center"/>
          </w:tcPr>
          <w:p w14:paraId="0A9DEAC7">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6F949955">
            <w:pPr>
              <w:jc w:val="center"/>
              <w:rPr>
                <w:rFonts w:hint="default" w:ascii="Times New Roman" w:hAnsi="Times New Roman" w:eastAsia="宋体" w:cs="Times New Roman"/>
                <w:color w:val="auto"/>
                <w:sz w:val="21"/>
                <w:szCs w:val="21"/>
                <w:u w:val="single"/>
                <w:lang w:val="en-US" w:eastAsia="zh-CN"/>
              </w:rPr>
            </w:pPr>
          </w:p>
        </w:tc>
        <w:tc>
          <w:tcPr>
            <w:tcW w:w="1575" w:type="dxa"/>
            <w:noWrap w:val="0"/>
            <w:vAlign w:val="center"/>
          </w:tcPr>
          <w:p w14:paraId="297EA72D">
            <w:pPr>
              <w:adjustRightInd w:val="0"/>
              <w:snapToGrid w:val="0"/>
              <w:spacing w:line="240" w:lineRule="auto"/>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300</w:t>
            </w:r>
          </w:p>
        </w:tc>
        <w:tc>
          <w:tcPr>
            <w:tcW w:w="2987" w:type="dxa"/>
            <w:noWrap w:val="0"/>
            <w:vAlign w:val="center"/>
          </w:tcPr>
          <w:p w14:paraId="58B4425C">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C2</w:t>
            </w:r>
          </w:p>
        </w:tc>
      </w:tr>
      <w:tr w14:paraId="2BF1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4069F953">
            <w:pPr>
              <w:spacing w:line="240" w:lineRule="exact"/>
              <w:jc w:val="center"/>
              <w:rPr>
                <w:rFonts w:hint="eastAsia" w:ascii="Times New Roman" w:hAnsi="Times New Roman" w:cs="Times New Roman"/>
                <w:color w:val="auto"/>
                <w:kern w:val="28"/>
                <w:szCs w:val="21"/>
                <w:u w:val="single"/>
                <w:lang w:val="en-US" w:eastAsia="zh-CN"/>
              </w:rPr>
            </w:pPr>
          </w:p>
        </w:tc>
        <w:tc>
          <w:tcPr>
            <w:tcW w:w="1478" w:type="dxa"/>
            <w:vMerge w:val="continue"/>
            <w:noWrap w:val="0"/>
            <w:vAlign w:val="center"/>
          </w:tcPr>
          <w:p w14:paraId="3A985325">
            <w:pPr>
              <w:jc w:val="center"/>
              <w:rPr>
                <w:rFonts w:hint="default" w:ascii="Times New Roman" w:hAnsi="Times New Roman" w:cs="Times New Roman"/>
                <w:color w:val="auto"/>
                <w:szCs w:val="21"/>
                <w:u w:val="single"/>
                <w:lang w:val="en-US" w:eastAsia="zh-CN"/>
              </w:rPr>
            </w:pPr>
          </w:p>
        </w:tc>
        <w:tc>
          <w:tcPr>
            <w:tcW w:w="1190" w:type="dxa"/>
            <w:vMerge w:val="continue"/>
            <w:noWrap w:val="0"/>
            <w:vAlign w:val="center"/>
          </w:tcPr>
          <w:p w14:paraId="59C2C436">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41C67EFE">
            <w:pPr>
              <w:jc w:val="center"/>
              <w:rPr>
                <w:rFonts w:hint="default" w:ascii="Times New Roman" w:hAnsi="Times New Roman" w:eastAsia="宋体" w:cs="Times New Roman"/>
                <w:color w:val="auto"/>
                <w:sz w:val="21"/>
                <w:szCs w:val="21"/>
                <w:u w:val="single"/>
                <w:lang w:val="en-US" w:eastAsia="zh-CN"/>
              </w:rPr>
            </w:pPr>
          </w:p>
        </w:tc>
        <w:tc>
          <w:tcPr>
            <w:tcW w:w="1575" w:type="dxa"/>
            <w:noWrap w:val="0"/>
            <w:vAlign w:val="center"/>
          </w:tcPr>
          <w:p w14:paraId="66CDAC26">
            <w:pPr>
              <w:adjustRightInd w:val="0"/>
              <w:snapToGrid w:val="0"/>
              <w:spacing w:line="240" w:lineRule="auto"/>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200</w:t>
            </w:r>
          </w:p>
        </w:tc>
        <w:tc>
          <w:tcPr>
            <w:tcW w:w="2987" w:type="dxa"/>
            <w:noWrap w:val="0"/>
            <w:vAlign w:val="center"/>
          </w:tcPr>
          <w:p w14:paraId="1FEB92C8">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D</w:t>
            </w:r>
          </w:p>
        </w:tc>
      </w:tr>
      <w:tr w14:paraId="63C3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038430A0">
            <w:pPr>
              <w:spacing w:line="240" w:lineRule="exact"/>
              <w:jc w:val="center"/>
              <w:rPr>
                <w:rFonts w:hint="eastAsia" w:ascii="Times New Roman" w:hAnsi="Times New Roman" w:cs="Times New Roman"/>
                <w:color w:val="auto"/>
                <w:kern w:val="28"/>
                <w:szCs w:val="21"/>
                <w:u w:val="single"/>
                <w:lang w:val="en-US" w:eastAsia="zh-CN"/>
              </w:rPr>
            </w:pPr>
          </w:p>
        </w:tc>
        <w:tc>
          <w:tcPr>
            <w:tcW w:w="1478" w:type="dxa"/>
            <w:vMerge w:val="continue"/>
            <w:noWrap w:val="0"/>
            <w:vAlign w:val="center"/>
          </w:tcPr>
          <w:p w14:paraId="29E380FB">
            <w:pPr>
              <w:jc w:val="center"/>
              <w:rPr>
                <w:rFonts w:hint="default" w:ascii="Times New Roman" w:hAnsi="Times New Roman" w:cs="Times New Roman"/>
                <w:color w:val="auto"/>
                <w:szCs w:val="21"/>
                <w:u w:val="single"/>
                <w:lang w:val="en-US" w:eastAsia="zh-CN"/>
              </w:rPr>
            </w:pPr>
          </w:p>
        </w:tc>
        <w:tc>
          <w:tcPr>
            <w:tcW w:w="1190" w:type="dxa"/>
            <w:vMerge w:val="continue"/>
            <w:noWrap w:val="0"/>
            <w:vAlign w:val="center"/>
          </w:tcPr>
          <w:p w14:paraId="40C7CB7B">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4A678F08">
            <w:pPr>
              <w:jc w:val="center"/>
              <w:rPr>
                <w:rFonts w:hint="default" w:ascii="Times New Roman" w:hAnsi="Times New Roman" w:eastAsia="宋体" w:cs="Times New Roman"/>
                <w:color w:val="auto"/>
                <w:sz w:val="21"/>
                <w:szCs w:val="21"/>
                <w:u w:val="single"/>
                <w:lang w:val="en-US" w:eastAsia="zh-CN"/>
              </w:rPr>
            </w:pPr>
          </w:p>
        </w:tc>
        <w:tc>
          <w:tcPr>
            <w:tcW w:w="1575" w:type="dxa"/>
            <w:noWrap w:val="0"/>
            <w:vAlign w:val="center"/>
          </w:tcPr>
          <w:p w14:paraId="1171024F">
            <w:pPr>
              <w:adjustRightInd w:val="0"/>
              <w:snapToGrid w:val="0"/>
              <w:spacing w:line="240" w:lineRule="auto"/>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200</w:t>
            </w:r>
          </w:p>
        </w:tc>
        <w:tc>
          <w:tcPr>
            <w:tcW w:w="2987" w:type="dxa"/>
            <w:noWrap w:val="0"/>
            <w:vAlign w:val="center"/>
          </w:tcPr>
          <w:p w14:paraId="71823E12">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4</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B</w:t>
            </w:r>
          </w:p>
        </w:tc>
      </w:tr>
      <w:tr w14:paraId="5215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3D25B3F1">
            <w:pPr>
              <w:spacing w:line="240" w:lineRule="exact"/>
              <w:jc w:val="center"/>
              <w:rPr>
                <w:rFonts w:hint="eastAsia" w:ascii="Times New Roman" w:hAnsi="Times New Roman" w:cs="Times New Roman"/>
                <w:color w:val="auto"/>
                <w:kern w:val="28"/>
                <w:szCs w:val="21"/>
                <w:u w:val="single"/>
                <w:lang w:val="en-US" w:eastAsia="zh-CN"/>
              </w:rPr>
            </w:pPr>
          </w:p>
        </w:tc>
        <w:tc>
          <w:tcPr>
            <w:tcW w:w="1478" w:type="dxa"/>
            <w:vMerge w:val="continue"/>
            <w:noWrap w:val="0"/>
            <w:vAlign w:val="center"/>
          </w:tcPr>
          <w:p w14:paraId="5394F52B">
            <w:pPr>
              <w:jc w:val="center"/>
              <w:rPr>
                <w:rFonts w:hint="default" w:ascii="Times New Roman" w:hAnsi="Times New Roman" w:cs="Times New Roman"/>
                <w:color w:val="auto"/>
                <w:szCs w:val="21"/>
                <w:u w:val="single"/>
                <w:lang w:val="en-US" w:eastAsia="zh-CN"/>
              </w:rPr>
            </w:pPr>
          </w:p>
        </w:tc>
        <w:tc>
          <w:tcPr>
            <w:tcW w:w="1190" w:type="dxa"/>
            <w:vMerge w:val="continue"/>
            <w:noWrap w:val="0"/>
            <w:vAlign w:val="center"/>
          </w:tcPr>
          <w:p w14:paraId="6B04CCE2">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44D6D805">
            <w:pPr>
              <w:jc w:val="center"/>
              <w:rPr>
                <w:rFonts w:hint="default" w:ascii="Times New Roman" w:hAnsi="Times New Roman" w:eastAsia="宋体" w:cs="Times New Roman"/>
                <w:color w:val="auto"/>
                <w:sz w:val="21"/>
                <w:szCs w:val="21"/>
                <w:u w:val="single"/>
                <w:lang w:val="en-US" w:eastAsia="zh-CN"/>
              </w:rPr>
            </w:pPr>
          </w:p>
        </w:tc>
        <w:tc>
          <w:tcPr>
            <w:tcW w:w="1575" w:type="dxa"/>
            <w:noWrap w:val="0"/>
            <w:vAlign w:val="center"/>
          </w:tcPr>
          <w:p w14:paraId="5631A0A0">
            <w:pPr>
              <w:adjustRightInd w:val="0"/>
              <w:snapToGrid w:val="0"/>
              <w:spacing w:line="240" w:lineRule="auto"/>
              <w:jc w:val="center"/>
              <w:rPr>
                <w:rFonts w:hint="default" w:ascii="Times New Roman" w:hAnsi="Times New Roman" w:eastAsia="宋体" w:cs="Times New Roman"/>
                <w:color w:val="auto"/>
                <w:kern w:val="28"/>
                <w:szCs w:val="21"/>
                <w:u w:val="single"/>
                <w:lang w:val="en-US" w:eastAsia="zh-CN"/>
              </w:rPr>
            </w:pPr>
            <w:r>
              <w:rPr>
                <w:rFonts w:hint="eastAsia" w:cs="Times New Roman"/>
                <w:color w:val="auto"/>
                <w:kern w:val="28"/>
                <w:szCs w:val="21"/>
                <w:u w:val="single"/>
                <w:lang w:val="en-US" w:eastAsia="zh-CN"/>
              </w:rPr>
              <w:t>1000</w:t>
            </w:r>
          </w:p>
        </w:tc>
        <w:tc>
          <w:tcPr>
            <w:tcW w:w="2987" w:type="dxa"/>
            <w:noWrap w:val="0"/>
            <w:vAlign w:val="center"/>
          </w:tcPr>
          <w:p w14:paraId="1CEEC6ED">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B</w:t>
            </w:r>
          </w:p>
        </w:tc>
      </w:tr>
      <w:tr w14:paraId="7756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restart"/>
            <w:noWrap w:val="0"/>
            <w:vAlign w:val="center"/>
          </w:tcPr>
          <w:p w14:paraId="2EF41602">
            <w:pPr>
              <w:spacing w:line="240" w:lineRule="exact"/>
              <w:jc w:val="center"/>
              <w:rPr>
                <w:rFonts w:hint="default" w:ascii="Times New Roman" w:hAnsi="Times New Roman" w:cs="Times New Roman"/>
                <w:color w:val="auto"/>
                <w:kern w:val="28"/>
                <w:szCs w:val="21"/>
                <w:u w:val="single"/>
                <w:lang w:val="en-US" w:eastAsia="zh-CN"/>
              </w:rPr>
            </w:pPr>
            <w:r>
              <w:rPr>
                <w:rFonts w:hint="eastAsia" w:cs="Times New Roman"/>
                <w:color w:val="auto"/>
                <w:kern w:val="28"/>
                <w:szCs w:val="21"/>
                <w:u w:val="single"/>
                <w:lang w:val="en-US" w:eastAsia="zh-CN"/>
              </w:rPr>
              <w:t>3</w:t>
            </w:r>
          </w:p>
        </w:tc>
        <w:tc>
          <w:tcPr>
            <w:tcW w:w="1478" w:type="dxa"/>
            <w:vMerge w:val="restart"/>
            <w:noWrap w:val="0"/>
            <w:vAlign w:val="center"/>
          </w:tcPr>
          <w:p w14:paraId="44224E00">
            <w:pPr>
              <w:jc w:val="center"/>
              <w:rPr>
                <w:rFonts w:hint="default"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硫酸镍</w:t>
            </w:r>
          </w:p>
        </w:tc>
        <w:tc>
          <w:tcPr>
            <w:tcW w:w="1190" w:type="dxa"/>
            <w:vMerge w:val="restart"/>
            <w:noWrap w:val="0"/>
            <w:vAlign w:val="center"/>
          </w:tcPr>
          <w:p w14:paraId="2B24D981">
            <w:pPr>
              <w:jc w:val="center"/>
              <w:rPr>
                <w:rFonts w:hint="default"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7785-81-4</w:t>
            </w:r>
          </w:p>
        </w:tc>
        <w:tc>
          <w:tcPr>
            <w:tcW w:w="1025" w:type="dxa"/>
            <w:vMerge w:val="restart"/>
            <w:noWrap w:val="0"/>
            <w:vAlign w:val="center"/>
          </w:tcPr>
          <w:p w14:paraId="631DAEAD">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1575" w:type="dxa"/>
            <w:noWrap w:val="0"/>
            <w:vAlign w:val="center"/>
          </w:tcPr>
          <w:p w14:paraId="49A7AE58">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707BEC30">
            <w:pPr>
              <w:spacing w:line="240" w:lineRule="exact"/>
              <w:jc w:val="center"/>
              <w:rPr>
                <w:rFonts w:hint="default" w:ascii="Times New Roman" w:hAnsi="Times New Roman" w:cs="Times New Roman"/>
                <w:color w:val="auto"/>
                <w:kern w:val="28"/>
                <w:szCs w:val="21"/>
                <w:u w:val="singl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2号仓库隔间A</w:t>
            </w:r>
            <w:r>
              <w:rPr>
                <w:rFonts w:hint="eastAsia" w:cs="Times New Roman"/>
                <w:color w:val="auto"/>
                <w:kern w:val="0"/>
                <w:sz w:val="21"/>
                <w:szCs w:val="21"/>
                <w:u w:val="single"/>
                <w:vertAlign w:val="baseline"/>
                <w:lang w:val="en-US" w:eastAsia="zh-CN"/>
              </w:rPr>
              <w:t>3</w:t>
            </w:r>
          </w:p>
        </w:tc>
      </w:tr>
      <w:tr w14:paraId="0DCE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4DA8723F">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0ED3FD04">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0B696554">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0832CDE1">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68A08A52">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06D624C8">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B3</w:t>
            </w:r>
          </w:p>
        </w:tc>
      </w:tr>
      <w:tr w14:paraId="5F5F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3D7E0A34">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5AF8E5A6">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32DDD27D">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7B50661A">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00925801">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07927F7F">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C3</w:t>
            </w:r>
          </w:p>
        </w:tc>
      </w:tr>
      <w:tr w14:paraId="0D70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288722D2">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1C42B7A6">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55B1DAA4">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06F102C8">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54C00ACF">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200</w:t>
            </w:r>
          </w:p>
        </w:tc>
        <w:tc>
          <w:tcPr>
            <w:tcW w:w="2987" w:type="dxa"/>
            <w:noWrap w:val="0"/>
            <w:vAlign w:val="center"/>
          </w:tcPr>
          <w:p w14:paraId="2CD53E07">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D</w:t>
            </w:r>
          </w:p>
        </w:tc>
      </w:tr>
      <w:tr w14:paraId="7351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21C639FE">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7000C1BC">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33B161BF">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2FD377F0">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2E599297">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w:t>
            </w:r>
          </w:p>
        </w:tc>
        <w:tc>
          <w:tcPr>
            <w:tcW w:w="2987" w:type="dxa"/>
            <w:noWrap w:val="0"/>
            <w:vAlign w:val="center"/>
          </w:tcPr>
          <w:p w14:paraId="6F23AFBC">
            <w:pPr>
              <w:spacing w:line="240" w:lineRule="exact"/>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4</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1CAF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6BBD9370">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4C2D0944">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3B26E7FA">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537DCEF5">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647BE460">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1000</w:t>
            </w:r>
          </w:p>
        </w:tc>
        <w:tc>
          <w:tcPr>
            <w:tcW w:w="2987" w:type="dxa"/>
            <w:noWrap w:val="0"/>
            <w:vAlign w:val="center"/>
          </w:tcPr>
          <w:p w14:paraId="29608694">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4E44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restart"/>
            <w:noWrap w:val="0"/>
            <w:vAlign w:val="center"/>
          </w:tcPr>
          <w:p w14:paraId="0A857375">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4</w:t>
            </w:r>
          </w:p>
        </w:tc>
        <w:tc>
          <w:tcPr>
            <w:tcW w:w="1478" w:type="dxa"/>
            <w:vMerge w:val="restart"/>
            <w:noWrap w:val="0"/>
            <w:vAlign w:val="center"/>
          </w:tcPr>
          <w:p w14:paraId="589973B9">
            <w:pPr>
              <w:jc w:val="center"/>
              <w:rPr>
                <w:rFonts w:hint="default"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氢氧化锂</w:t>
            </w:r>
            <w:r>
              <w:rPr>
                <w:rFonts w:hint="eastAsia" w:cs="Times New Roman"/>
                <w:color w:val="auto"/>
                <w:kern w:val="28"/>
                <w:szCs w:val="21"/>
                <w:u w:val="single"/>
                <w:lang w:val="en-US" w:eastAsia="zh-CN"/>
              </w:rPr>
              <w:t>溶液</w:t>
            </w:r>
          </w:p>
        </w:tc>
        <w:tc>
          <w:tcPr>
            <w:tcW w:w="1190" w:type="dxa"/>
            <w:vMerge w:val="restart"/>
            <w:noWrap w:val="0"/>
            <w:vAlign w:val="center"/>
          </w:tcPr>
          <w:p w14:paraId="4BBBE98B">
            <w:pPr>
              <w:jc w:val="center"/>
              <w:rPr>
                <w:rFonts w:hint="eastAsia" w:ascii="Times New Roman" w:hAnsi="Times New Roman" w:cs="Times New Roman"/>
                <w:color w:val="auto"/>
                <w:kern w:val="28"/>
                <w:szCs w:val="21"/>
                <w:u w:val="single"/>
                <w:lang w:val="en-US" w:eastAsia="zh-CN"/>
              </w:rPr>
            </w:pPr>
            <w:r>
              <w:rPr>
                <w:rFonts w:hint="eastAsia" w:cs="Times New Roman"/>
                <w:color w:val="auto"/>
                <w:sz w:val="21"/>
                <w:szCs w:val="21"/>
                <w:u w:val="single"/>
                <w:lang w:val="en-US" w:eastAsia="zh-CN"/>
              </w:rPr>
              <w:t>1310-65-2</w:t>
            </w:r>
          </w:p>
        </w:tc>
        <w:tc>
          <w:tcPr>
            <w:tcW w:w="1025" w:type="dxa"/>
            <w:vMerge w:val="restart"/>
            <w:noWrap w:val="0"/>
            <w:vAlign w:val="center"/>
          </w:tcPr>
          <w:p w14:paraId="558988BB">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液态</w:t>
            </w:r>
          </w:p>
        </w:tc>
        <w:tc>
          <w:tcPr>
            <w:tcW w:w="1575" w:type="dxa"/>
            <w:noWrap w:val="0"/>
            <w:vAlign w:val="center"/>
          </w:tcPr>
          <w:p w14:paraId="1A009C21">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150</w:t>
            </w:r>
          </w:p>
        </w:tc>
        <w:tc>
          <w:tcPr>
            <w:tcW w:w="2987" w:type="dxa"/>
            <w:noWrap w:val="0"/>
            <w:vAlign w:val="center"/>
          </w:tcPr>
          <w:p w14:paraId="3EE17761">
            <w:pPr>
              <w:spacing w:line="240" w:lineRule="exact"/>
              <w:jc w:val="center"/>
              <w:rPr>
                <w:rFonts w:hint="default"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2号仓库隔间A</w:t>
            </w:r>
            <w:r>
              <w:rPr>
                <w:rFonts w:hint="eastAsia" w:cs="Times New Roman"/>
                <w:color w:val="auto"/>
                <w:kern w:val="0"/>
                <w:sz w:val="21"/>
                <w:szCs w:val="21"/>
                <w:u w:val="single"/>
                <w:vertAlign w:val="baseline"/>
                <w:lang w:val="en-US" w:eastAsia="zh-CN"/>
              </w:rPr>
              <w:t>1</w:t>
            </w:r>
          </w:p>
        </w:tc>
      </w:tr>
      <w:tr w14:paraId="674B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161F0E07">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745BF66A">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76657193">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4F37BB6F">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47D5CD43">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150</w:t>
            </w:r>
          </w:p>
        </w:tc>
        <w:tc>
          <w:tcPr>
            <w:tcW w:w="2987" w:type="dxa"/>
            <w:noWrap w:val="0"/>
            <w:vAlign w:val="center"/>
          </w:tcPr>
          <w:p w14:paraId="085E5905">
            <w:pPr>
              <w:spacing w:line="240" w:lineRule="exact"/>
              <w:jc w:val="center"/>
              <w:rPr>
                <w:rFonts w:hint="default"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B1</w:t>
            </w:r>
          </w:p>
        </w:tc>
      </w:tr>
      <w:tr w14:paraId="383B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3ACE4B36">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23B5635D">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0809A3A5">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49C617FF">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79FA14B7">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200</w:t>
            </w:r>
          </w:p>
        </w:tc>
        <w:tc>
          <w:tcPr>
            <w:tcW w:w="2987" w:type="dxa"/>
            <w:noWrap w:val="0"/>
            <w:vAlign w:val="center"/>
          </w:tcPr>
          <w:p w14:paraId="204C8987">
            <w:pPr>
              <w:spacing w:line="240" w:lineRule="exact"/>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4</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A</w:t>
            </w:r>
          </w:p>
        </w:tc>
      </w:tr>
      <w:tr w14:paraId="08B1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4F4ED3FE">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419AE2A2">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64EE0991">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0F844323">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6FB2343E">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1000</w:t>
            </w:r>
          </w:p>
        </w:tc>
        <w:tc>
          <w:tcPr>
            <w:tcW w:w="2987" w:type="dxa"/>
            <w:noWrap w:val="0"/>
            <w:vAlign w:val="center"/>
          </w:tcPr>
          <w:p w14:paraId="6EFB1C52">
            <w:pPr>
              <w:spacing w:line="240" w:lineRule="exact"/>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A</w:t>
            </w:r>
          </w:p>
        </w:tc>
      </w:tr>
      <w:tr w14:paraId="434B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restart"/>
            <w:noWrap w:val="0"/>
            <w:vAlign w:val="center"/>
          </w:tcPr>
          <w:p w14:paraId="1D2D35C7">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5</w:t>
            </w:r>
          </w:p>
        </w:tc>
        <w:tc>
          <w:tcPr>
            <w:tcW w:w="1478" w:type="dxa"/>
            <w:vMerge w:val="restart"/>
            <w:noWrap w:val="0"/>
            <w:vAlign w:val="center"/>
          </w:tcPr>
          <w:p w14:paraId="0BDA8973">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氢氧化锂</w:t>
            </w:r>
          </w:p>
        </w:tc>
        <w:tc>
          <w:tcPr>
            <w:tcW w:w="1190" w:type="dxa"/>
            <w:vMerge w:val="continue"/>
            <w:noWrap w:val="0"/>
            <w:vAlign w:val="center"/>
          </w:tcPr>
          <w:p w14:paraId="122B7542">
            <w:pPr>
              <w:jc w:val="center"/>
              <w:rPr>
                <w:rFonts w:hint="eastAsia" w:ascii="Times New Roman" w:hAnsi="Times New Roman" w:cs="Times New Roman"/>
                <w:color w:val="auto"/>
                <w:kern w:val="28"/>
                <w:szCs w:val="21"/>
                <w:u w:val="single"/>
                <w:lang w:val="en-US" w:eastAsia="zh-CN"/>
              </w:rPr>
            </w:pPr>
          </w:p>
        </w:tc>
        <w:tc>
          <w:tcPr>
            <w:tcW w:w="1025" w:type="dxa"/>
            <w:vMerge w:val="restart"/>
            <w:noWrap w:val="0"/>
            <w:vAlign w:val="center"/>
          </w:tcPr>
          <w:p w14:paraId="1E3B1960">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1575" w:type="dxa"/>
            <w:noWrap w:val="0"/>
            <w:vAlign w:val="center"/>
          </w:tcPr>
          <w:p w14:paraId="2A750557">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150</w:t>
            </w:r>
          </w:p>
        </w:tc>
        <w:tc>
          <w:tcPr>
            <w:tcW w:w="2987" w:type="dxa"/>
            <w:noWrap w:val="0"/>
            <w:vAlign w:val="center"/>
          </w:tcPr>
          <w:p w14:paraId="524209F8">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B1</w:t>
            </w:r>
          </w:p>
        </w:tc>
      </w:tr>
      <w:tr w14:paraId="03A2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5C8D719D">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1E4FA184">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12833483">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28D0087C">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4897B595">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150</w:t>
            </w:r>
          </w:p>
        </w:tc>
        <w:tc>
          <w:tcPr>
            <w:tcW w:w="2987" w:type="dxa"/>
            <w:noWrap w:val="0"/>
            <w:vAlign w:val="center"/>
          </w:tcPr>
          <w:p w14:paraId="7A06A49B">
            <w:pPr>
              <w:spacing w:line="240" w:lineRule="exact"/>
              <w:jc w:val="center"/>
              <w:rPr>
                <w:rFonts w:hint="default"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C1</w:t>
            </w:r>
          </w:p>
        </w:tc>
      </w:tr>
      <w:tr w14:paraId="15EC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46B1DF4E">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2B4AAF2A">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068B7613">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279329BA">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50AA8678">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200</w:t>
            </w:r>
          </w:p>
        </w:tc>
        <w:tc>
          <w:tcPr>
            <w:tcW w:w="2987" w:type="dxa"/>
            <w:noWrap w:val="0"/>
            <w:vAlign w:val="center"/>
          </w:tcPr>
          <w:p w14:paraId="119848F8">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D</w:t>
            </w:r>
          </w:p>
        </w:tc>
      </w:tr>
      <w:tr w14:paraId="6AF5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0AD29C7D">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1F7FE0FC">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3D7FF376">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29284FEF">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5FDDBE20">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200</w:t>
            </w:r>
          </w:p>
        </w:tc>
        <w:tc>
          <w:tcPr>
            <w:tcW w:w="2987" w:type="dxa"/>
            <w:noWrap w:val="0"/>
            <w:vAlign w:val="center"/>
          </w:tcPr>
          <w:p w14:paraId="1854647F">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4</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A</w:t>
            </w:r>
          </w:p>
        </w:tc>
      </w:tr>
      <w:tr w14:paraId="4FF3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6B558AE9">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131B2056">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09788C28">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1B900DB2">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75C179C5">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1000</w:t>
            </w:r>
          </w:p>
        </w:tc>
        <w:tc>
          <w:tcPr>
            <w:tcW w:w="2987" w:type="dxa"/>
            <w:noWrap w:val="0"/>
            <w:vAlign w:val="center"/>
          </w:tcPr>
          <w:p w14:paraId="676D5BBF">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A</w:t>
            </w:r>
          </w:p>
        </w:tc>
      </w:tr>
      <w:tr w14:paraId="3E86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restart"/>
            <w:noWrap w:val="0"/>
            <w:vAlign w:val="center"/>
          </w:tcPr>
          <w:p w14:paraId="5C3BE905">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6</w:t>
            </w:r>
          </w:p>
        </w:tc>
        <w:tc>
          <w:tcPr>
            <w:tcW w:w="1478" w:type="dxa"/>
            <w:vMerge w:val="restart"/>
            <w:noWrap w:val="0"/>
            <w:vAlign w:val="center"/>
          </w:tcPr>
          <w:p w14:paraId="7FA7876F">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氟硅酸钠</w:t>
            </w:r>
          </w:p>
        </w:tc>
        <w:tc>
          <w:tcPr>
            <w:tcW w:w="1190" w:type="dxa"/>
            <w:vMerge w:val="restart"/>
            <w:noWrap w:val="0"/>
            <w:vAlign w:val="center"/>
          </w:tcPr>
          <w:p w14:paraId="4C53EF12">
            <w:pPr>
              <w:jc w:val="center"/>
              <w:rPr>
                <w:rFonts w:hint="eastAsia" w:ascii="Times New Roman" w:hAnsi="Times New Roman" w:cs="Times New Roman"/>
                <w:color w:val="auto"/>
                <w:kern w:val="28"/>
                <w:szCs w:val="21"/>
                <w:u w:val="single"/>
                <w:lang w:val="en-US" w:eastAsia="zh-CN"/>
              </w:rPr>
            </w:pPr>
            <w:r>
              <w:rPr>
                <w:rFonts w:hint="eastAsia" w:cs="Times New Roman"/>
                <w:color w:val="auto"/>
                <w:sz w:val="21"/>
                <w:szCs w:val="21"/>
                <w:u w:val="single"/>
                <w:lang w:val="en-US" w:eastAsia="zh-CN"/>
              </w:rPr>
              <w:t>16893-85-9</w:t>
            </w:r>
          </w:p>
        </w:tc>
        <w:tc>
          <w:tcPr>
            <w:tcW w:w="1025" w:type="dxa"/>
            <w:vMerge w:val="restart"/>
            <w:noWrap w:val="0"/>
            <w:vAlign w:val="center"/>
          </w:tcPr>
          <w:p w14:paraId="2B48873B">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1575" w:type="dxa"/>
            <w:noWrap w:val="0"/>
            <w:vAlign w:val="center"/>
          </w:tcPr>
          <w:p w14:paraId="010EF37D">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3DD187D2">
            <w:pPr>
              <w:spacing w:line="240" w:lineRule="exact"/>
              <w:jc w:val="center"/>
              <w:rPr>
                <w:rFonts w:hint="default"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A3</w:t>
            </w:r>
          </w:p>
        </w:tc>
      </w:tr>
      <w:tr w14:paraId="0ED2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61D99721">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4C767D5E">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3442509E">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5E3B9CCD">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20E3D03B">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59C3D62C">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B3</w:t>
            </w:r>
          </w:p>
        </w:tc>
      </w:tr>
      <w:tr w14:paraId="77FB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5D0CDC8A">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1C99F7B6">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4051DB5A">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5BC83F7C">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6BC938A8">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61EE4216">
            <w:pPr>
              <w:spacing w:line="240" w:lineRule="exact"/>
              <w:jc w:val="center"/>
              <w:rPr>
                <w:rFonts w:hint="default"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C3</w:t>
            </w:r>
          </w:p>
        </w:tc>
      </w:tr>
      <w:tr w14:paraId="5B6F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55F17785">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66116128">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6D2B2FA5">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7641702E">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5F49F25A">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200</w:t>
            </w:r>
          </w:p>
        </w:tc>
        <w:tc>
          <w:tcPr>
            <w:tcW w:w="2987" w:type="dxa"/>
            <w:noWrap w:val="0"/>
            <w:vAlign w:val="center"/>
          </w:tcPr>
          <w:p w14:paraId="79F2D8BA">
            <w:pPr>
              <w:spacing w:line="240" w:lineRule="exact"/>
              <w:jc w:val="center"/>
              <w:rPr>
                <w:rFonts w:hint="default"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E</w:t>
            </w:r>
          </w:p>
        </w:tc>
      </w:tr>
      <w:tr w14:paraId="0840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2894E91C">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6E268D5A">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1E90A65F">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2B823F57">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7511DE67">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w:t>
            </w:r>
          </w:p>
        </w:tc>
        <w:tc>
          <w:tcPr>
            <w:tcW w:w="2987" w:type="dxa"/>
            <w:noWrap w:val="0"/>
            <w:vAlign w:val="center"/>
          </w:tcPr>
          <w:p w14:paraId="50CDDF20">
            <w:pPr>
              <w:spacing w:line="240" w:lineRule="exact"/>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4</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14C3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4B1AAB83">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6C90C075">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7D9CB7C8">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3A9C67EE">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4C1E0E17">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1000</w:t>
            </w:r>
          </w:p>
        </w:tc>
        <w:tc>
          <w:tcPr>
            <w:tcW w:w="2987" w:type="dxa"/>
            <w:noWrap w:val="0"/>
            <w:vAlign w:val="center"/>
          </w:tcPr>
          <w:p w14:paraId="393F3287">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32DA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noWrap w:val="0"/>
            <w:vAlign w:val="center"/>
          </w:tcPr>
          <w:p w14:paraId="1B96253C">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7</w:t>
            </w:r>
          </w:p>
        </w:tc>
        <w:tc>
          <w:tcPr>
            <w:tcW w:w="1478" w:type="dxa"/>
            <w:noWrap w:val="0"/>
            <w:vAlign w:val="center"/>
          </w:tcPr>
          <w:p w14:paraId="1A84C5EC">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氟硅酸镁</w:t>
            </w:r>
          </w:p>
        </w:tc>
        <w:tc>
          <w:tcPr>
            <w:tcW w:w="1190" w:type="dxa"/>
            <w:noWrap w:val="0"/>
            <w:vAlign w:val="center"/>
          </w:tcPr>
          <w:p w14:paraId="249C3588">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eastAsia="宋体" w:cs="Times New Roman"/>
                <w:color w:val="auto"/>
                <w:sz w:val="21"/>
                <w:szCs w:val="21"/>
                <w:u w:val="single"/>
                <w:lang w:val="en-US" w:eastAsia="zh-CN"/>
              </w:rPr>
              <w:t>16949-65-8</w:t>
            </w:r>
          </w:p>
        </w:tc>
        <w:tc>
          <w:tcPr>
            <w:tcW w:w="1025" w:type="dxa"/>
            <w:noWrap w:val="0"/>
            <w:vAlign w:val="center"/>
          </w:tcPr>
          <w:p w14:paraId="6EDA8971">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1575" w:type="dxa"/>
            <w:noWrap w:val="0"/>
            <w:vAlign w:val="center"/>
          </w:tcPr>
          <w:p w14:paraId="5D7C3614">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200</w:t>
            </w:r>
          </w:p>
        </w:tc>
        <w:tc>
          <w:tcPr>
            <w:tcW w:w="2987" w:type="dxa"/>
            <w:noWrap w:val="0"/>
            <w:vAlign w:val="center"/>
          </w:tcPr>
          <w:p w14:paraId="7B50098E">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E</w:t>
            </w:r>
          </w:p>
        </w:tc>
      </w:tr>
      <w:tr w14:paraId="7E02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restart"/>
            <w:noWrap w:val="0"/>
            <w:vAlign w:val="center"/>
          </w:tcPr>
          <w:p w14:paraId="64A50885">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8</w:t>
            </w:r>
          </w:p>
        </w:tc>
        <w:tc>
          <w:tcPr>
            <w:tcW w:w="1478" w:type="dxa"/>
            <w:vMerge w:val="restart"/>
            <w:noWrap w:val="0"/>
            <w:vAlign w:val="center"/>
          </w:tcPr>
          <w:p w14:paraId="6A1E69A0">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氟化钠</w:t>
            </w:r>
          </w:p>
        </w:tc>
        <w:tc>
          <w:tcPr>
            <w:tcW w:w="1190" w:type="dxa"/>
            <w:vMerge w:val="restart"/>
            <w:noWrap w:val="0"/>
            <w:vAlign w:val="center"/>
          </w:tcPr>
          <w:p w14:paraId="490F49EB">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eastAsia="宋体" w:cs="Times New Roman"/>
                <w:color w:val="auto"/>
                <w:sz w:val="21"/>
                <w:szCs w:val="21"/>
                <w:u w:val="single"/>
                <w:lang w:val="en-US" w:eastAsia="zh-CN"/>
              </w:rPr>
              <w:t>7681-49-4</w:t>
            </w:r>
          </w:p>
        </w:tc>
        <w:tc>
          <w:tcPr>
            <w:tcW w:w="1025" w:type="dxa"/>
            <w:vMerge w:val="restart"/>
            <w:noWrap w:val="0"/>
            <w:vAlign w:val="center"/>
          </w:tcPr>
          <w:p w14:paraId="0327611B">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1575" w:type="dxa"/>
            <w:noWrap w:val="0"/>
            <w:vAlign w:val="center"/>
          </w:tcPr>
          <w:p w14:paraId="3A038208">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26DB651A">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A3</w:t>
            </w:r>
          </w:p>
        </w:tc>
      </w:tr>
      <w:tr w14:paraId="65B9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78CC57D6">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08DE68EB">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4CF396F2">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7B0E6AD1">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448EE1DB">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34AAFAB6">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B3</w:t>
            </w:r>
          </w:p>
        </w:tc>
      </w:tr>
      <w:tr w14:paraId="48FA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5DD23DD2">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05A7C205">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47AAEBA6">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6BFA06D0">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7672EC23">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3101C6AD">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C3</w:t>
            </w:r>
          </w:p>
        </w:tc>
      </w:tr>
      <w:tr w14:paraId="6DC0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5A3E951F">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34E3AAD0">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7F14E2D3">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7057BF6A">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1B585D26">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w:t>
            </w:r>
          </w:p>
        </w:tc>
        <w:tc>
          <w:tcPr>
            <w:tcW w:w="2987" w:type="dxa"/>
            <w:noWrap w:val="0"/>
            <w:vAlign w:val="center"/>
          </w:tcPr>
          <w:p w14:paraId="069FCA87">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4</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0260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1BF362EC">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541ED906">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67A68B6D">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00AAB74D">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412C1B26">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1000</w:t>
            </w:r>
          </w:p>
        </w:tc>
        <w:tc>
          <w:tcPr>
            <w:tcW w:w="2987" w:type="dxa"/>
            <w:noWrap w:val="0"/>
            <w:vAlign w:val="center"/>
          </w:tcPr>
          <w:p w14:paraId="41424986">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4229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restart"/>
            <w:noWrap w:val="0"/>
            <w:vAlign w:val="center"/>
          </w:tcPr>
          <w:p w14:paraId="019D74A3">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9</w:t>
            </w:r>
          </w:p>
        </w:tc>
        <w:tc>
          <w:tcPr>
            <w:tcW w:w="1478" w:type="dxa"/>
            <w:vMerge w:val="restart"/>
            <w:noWrap w:val="0"/>
            <w:vAlign w:val="center"/>
          </w:tcPr>
          <w:p w14:paraId="7697EA5E">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氟化钡</w:t>
            </w:r>
          </w:p>
        </w:tc>
        <w:tc>
          <w:tcPr>
            <w:tcW w:w="1190" w:type="dxa"/>
            <w:vMerge w:val="restart"/>
            <w:noWrap w:val="0"/>
            <w:vAlign w:val="center"/>
          </w:tcPr>
          <w:p w14:paraId="51C2435E">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eastAsia="宋体" w:cs="Times New Roman"/>
                <w:color w:val="auto"/>
                <w:sz w:val="21"/>
                <w:szCs w:val="21"/>
                <w:u w:val="single"/>
                <w:lang w:val="en-US" w:eastAsia="zh-CN"/>
              </w:rPr>
              <w:t>7787-32-8</w:t>
            </w:r>
          </w:p>
        </w:tc>
        <w:tc>
          <w:tcPr>
            <w:tcW w:w="1025" w:type="dxa"/>
            <w:vMerge w:val="restart"/>
            <w:noWrap w:val="0"/>
            <w:vAlign w:val="center"/>
          </w:tcPr>
          <w:p w14:paraId="3E7AD3F1">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1575" w:type="dxa"/>
            <w:noWrap w:val="0"/>
            <w:vAlign w:val="center"/>
          </w:tcPr>
          <w:p w14:paraId="7274DE9B">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1A043B3B">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A3</w:t>
            </w:r>
          </w:p>
        </w:tc>
      </w:tr>
      <w:tr w14:paraId="31DC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3987F4C6">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53E0C74C">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5C78D93D">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17D4D56F">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6271E9D1">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0025F649">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B3</w:t>
            </w:r>
          </w:p>
        </w:tc>
      </w:tr>
      <w:tr w14:paraId="0BF8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4DED3AFD">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767EAFD0">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2A9C65C3">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7C6CAC7E">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017E8D0A">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6AB06344">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C3</w:t>
            </w:r>
          </w:p>
        </w:tc>
      </w:tr>
      <w:tr w14:paraId="7CCA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31C32F07">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796D93C8">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3CEA6013">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72AC83FF">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5EC0D789">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w:t>
            </w:r>
          </w:p>
        </w:tc>
        <w:tc>
          <w:tcPr>
            <w:tcW w:w="2987" w:type="dxa"/>
            <w:noWrap w:val="0"/>
            <w:vAlign w:val="center"/>
          </w:tcPr>
          <w:p w14:paraId="7BB02684">
            <w:pPr>
              <w:spacing w:line="240" w:lineRule="exact"/>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4</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0667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1B3DC82D">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416AE20C">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64FE5406">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1F901B3A">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1BBB163F">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1000</w:t>
            </w:r>
          </w:p>
        </w:tc>
        <w:tc>
          <w:tcPr>
            <w:tcW w:w="2987" w:type="dxa"/>
            <w:noWrap w:val="0"/>
            <w:vAlign w:val="center"/>
          </w:tcPr>
          <w:p w14:paraId="5EDF9355">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71A4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restart"/>
            <w:noWrap w:val="0"/>
            <w:vAlign w:val="center"/>
          </w:tcPr>
          <w:p w14:paraId="407E05D6">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10</w:t>
            </w:r>
          </w:p>
        </w:tc>
        <w:tc>
          <w:tcPr>
            <w:tcW w:w="1478" w:type="dxa"/>
            <w:vMerge w:val="restart"/>
            <w:noWrap w:val="0"/>
            <w:vAlign w:val="center"/>
          </w:tcPr>
          <w:p w14:paraId="1BF0CFE1">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氟硅酸锌</w:t>
            </w:r>
          </w:p>
        </w:tc>
        <w:tc>
          <w:tcPr>
            <w:tcW w:w="1190" w:type="dxa"/>
            <w:vMerge w:val="restart"/>
            <w:noWrap w:val="0"/>
            <w:vAlign w:val="center"/>
          </w:tcPr>
          <w:p w14:paraId="298B164B">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eastAsia="宋体" w:cs="Times New Roman"/>
                <w:color w:val="auto"/>
                <w:sz w:val="21"/>
                <w:szCs w:val="21"/>
                <w:u w:val="single"/>
                <w:lang w:val="en-US" w:eastAsia="zh-CN"/>
              </w:rPr>
              <w:t>16871-71-9</w:t>
            </w:r>
          </w:p>
        </w:tc>
        <w:tc>
          <w:tcPr>
            <w:tcW w:w="1025" w:type="dxa"/>
            <w:vMerge w:val="restart"/>
            <w:noWrap w:val="0"/>
            <w:vAlign w:val="center"/>
          </w:tcPr>
          <w:p w14:paraId="74275BCA">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1575" w:type="dxa"/>
            <w:noWrap w:val="0"/>
            <w:vAlign w:val="center"/>
          </w:tcPr>
          <w:p w14:paraId="3C7F745B">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5248DEA0">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A3</w:t>
            </w:r>
          </w:p>
        </w:tc>
      </w:tr>
      <w:tr w14:paraId="0F0A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422617AE">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1BA1C473">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1943881A">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34D68F1E">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1EE8CE64">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71099086">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B3</w:t>
            </w:r>
          </w:p>
        </w:tc>
      </w:tr>
      <w:tr w14:paraId="47A8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792B42D0">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6D943F64">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1225BA06">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663DECD1">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1EF13CE4">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18EA8C7E">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C3</w:t>
            </w:r>
          </w:p>
        </w:tc>
      </w:tr>
      <w:tr w14:paraId="0E9A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26F55864">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364E511E">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30318684">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4AF64472">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45C8F11B">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200</w:t>
            </w:r>
          </w:p>
        </w:tc>
        <w:tc>
          <w:tcPr>
            <w:tcW w:w="2987" w:type="dxa"/>
            <w:noWrap w:val="0"/>
            <w:vAlign w:val="center"/>
          </w:tcPr>
          <w:p w14:paraId="34F09015">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E</w:t>
            </w:r>
          </w:p>
        </w:tc>
      </w:tr>
      <w:tr w14:paraId="4ACA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44F4AE0A">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74AF8E0A">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2693EA6E">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4D81961E">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446E33A8">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w:t>
            </w:r>
          </w:p>
        </w:tc>
        <w:tc>
          <w:tcPr>
            <w:tcW w:w="2987" w:type="dxa"/>
            <w:noWrap w:val="0"/>
            <w:vAlign w:val="center"/>
          </w:tcPr>
          <w:p w14:paraId="2910DD9B">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4</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2EAD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1CB0F404">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570171D6">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206D1C4E">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296657F4">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6B191346">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1000</w:t>
            </w:r>
          </w:p>
        </w:tc>
        <w:tc>
          <w:tcPr>
            <w:tcW w:w="2987" w:type="dxa"/>
            <w:noWrap w:val="0"/>
            <w:vAlign w:val="center"/>
          </w:tcPr>
          <w:p w14:paraId="5A38C650">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4258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restart"/>
            <w:noWrap w:val="0"/>
            <w:vAlign w:val="center"/>
          </w:tcPr>
          <w:p w14:paraId="3A4A6653">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11</w:t>
            </w:r>
          </w:p>
        </w:tc>
        <w:tc>
          <w:tcPr>
            <w:tcW w:w="1478" w:type="dxa"/>
            <w:vMerge w:val="restart"/>
            <w:noWrap w:val="0"/>
            <w:vAlign w:val="center"/>
          </w:tcPr>
          <w:p w14:paraId="6B1C6F9E">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氟硅酸钾</w:t>
            </w:r>
          </w:p>
        </w:tc>
        <w:tc>
          <w:tcPr>
            <w:tcW w:w="1190" w:type="dxa"/>
            <w:vMerge w:val="restart"/>
            <w:noWrap w:val="0"/>
            <w:vAlign w:val="center"/>
          </w:tcPr>
          <w:p w14:paraId="47B79C69">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eastAsia="宋体" w:cs="Times New Roman"/>
                <w:color w:val="auto"/>
                <w:sz w:val="21"/>
                <w:szCs w:val="21"/>
                <w:u w:val="single"/>
                <w:lang w:val="en-US" w:eastAsia="zh-CN"/>
              </w:rPr>
              <w:t>16871-90-2</w:t>
            </w:r>
          </w:p>
        </w:tc>
        <w:tc>
          <w:tcPr>
            <w:tcW w:w="1025" w:type="dxa"/>
            <w:vMerge w:val="restart"/>
            <w:noWrap w:val="0"/>
            <w:vAlign w:val="center"/>
          </w:tcPr>
          <w:p w14:paraId="07C544A7">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1575" w:type="dxa"/>
            <w:noWrap w:val="0"/>
            <w:vAlign w:val="center"/>
          </w:tcPr>
          <w:p w14:paraId="1D39F647">
            <w:pPr>
              <w:adjustRightInd w:val="0"/>
              <w:snapToGrid w:val="0"/>
              <w:spacing w:line="240" w:lineRule="auto"/>
              <w:jc w:val="center"/>
              <w:rPr>
                <w:rFonts w:hint="default"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30F2D60A">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A3</w:t>
            </w:r>
          </w:p>
        </w:tc>
      </w:tr>
      <w:tr w14:paraId="6633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25EADDC1">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2DA6C71A">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382461F6">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360B33AF">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02A89E40">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227AC71D">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B3</w:t>
            </w:r>
          </w:p>
        </w:tc>
      </w:tr>
      <w:tr w14:paraId="30FE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32A36B37">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460641B6">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2C5CA52C">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1662A0BE">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73475050">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163668ED">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C3</w:t>
            </w:r>
          </w:p>
        </w:tc>
      </w:tr>
      <w:tr w14:paraId="626E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1C4D49B0">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59F9FCD1">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593775C2">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5FF2E46A">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37A2504B">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w:t>
            </w:r>
          </w:p>
        </w:tc>
        <w:tc>
          <w:tcPr>
            <w:tcW w:w="2987" w:type="dxa"/>
            <w:noWrap w:val="0"/>
            <w:vAlign w:val="center"/>
          </w:tcPr>
          <w:p w14:paraId="33A13369">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4</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5B70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185E0B5E">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5ED6F5C7">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05193571">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46C35403">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3999DF38">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1000</w:t>
            </w:r>
          </w:p>
        </w:tc>
        <w:tc>
          <w:tcPr>
            <w:tcW w:w="2987" w:type="dxa"/>
            <w:noWrap w:val="0"/>
            <w:vAlign w:val="center"/>
          </w:tcPr>
          <w:p w14:paraId="3F76252F">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0F43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restart"/>
            <w:noWrap w:val="0"/>
            <w:vAlign w:val="center"/>
          </w:tcPr>
          <w:p w14:paraId="32EBD052">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12</w:t>
            </w:r>
          </w:p>
        </w:tc>
        <w:tc>
          <w:tcPr>
            <w:tcW w:w="1478" w:type="dxa"/>
            <w:vMerge w:val="restart"/>
            <w:noWrap w:val="0"/>
            <w:vAlign w:val="center"/>
          </w:tcPr>
          <w:p w14:paraId="35B58AF2">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氟化铵</w:t>
            </w:r>
          </w:p>
        </w:tc>
        <w:tc>
          <w:tcPr>
            <w:tcW w:w="1190" w:type="dxa"/>
            <w:vMerge w:val="restart"/>
            <w:noWrap w:val="0"/>
            <w:vAlign w:val="center"/>
          </w:tcPr>
          <w:p w14:paraId="5D2D16DA">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eastAsia="宋体" w:cs="Times New Roman"/>
                <w:color w:val="auto"/>
                <w:sz w:val="21"/>
                <w:szCs w:val="21"/>
                <w:u w:val="single"/>
                <w:lang w:val="en-US" w:eastAsia="zh-CN"/>
              </w:rPr>
              <w:t>12125</w:t>
            </w:r>
            <w:r>
              <w:rPr>
                <w:rFonts w:hint="eastAsia" w:cs="Times New Roman"/>
                <w:color w:val="auto"/>
                <w:sz w:val="21"/>
                <w:szCs w:val="21"/>
                <w:u w:val="single"/>
                <w:lang w:val="en-US" w:eastAsia="zh-CN"/>
              </w:rPr>
              <w:t>-</w:t>
            </w:r>
            <w:r>
              <w:rPr>
                <w:rFonts w:hint="eastAsia" w:ascii="Times New Roman" w:hAnsi="Times New Roman" w:eastAsia="宋体" w:cs="Times New Roman"/>
                <w:color w:val="auto"/>
                <w:sz w:val="21"/>
                <w:szCs w:val="21"/>
                <w:u w:val="single"/>
                <w:lang w:val="en-US" w:eastAsia="zh-CN"/>
              </w:rPr>
              <w:t>01</w:t>
            </w:r>
            <w:r>
              <w:rPr>
                <w:rFonts w:hint="eastAsia" w:cs="Times New Roman"/>
                <w:color w:val="auto"/>
                <w:sz w:val="21"/>
                <w:szCs w:val="21"/>
                <w:u w:val="single"/>
                <w:lang w:val="en-US" w:eastAsia="zh-CN"/>
              </w:rPr>
              <w:t>-</w:t>
            </w:r>
            <w:r>
              <w:rPr>
                <w:rFonts w:hint="eastAsia" w:ascii="Times New Roman" w:hAnsi="Times New Roman" w:eastAsia="宋体" w:cs="Times New Roman"/>
                <w:color w:val="auto"/>
                <w:sz w:val="21"/>
                <w:szCs w:val="21"/>
                <w:u w:val="single"/>
                <w:lang w:val="en-US" w:eastAsia="zh-CN"/>
              </w:rPr>
              <w:t>8</w:t>
            </w:r>
          </w:p>
        </w:tc>
        <w:tc>
          <w:tcPr>
            <w:tcW w:w="1025" w:type="dxa"/>
            <w:vMerge w:val="restart"/>
            <w:noWrap w:val="0"/>
            <w:vAlign w:val="center"/>
          </w:tcPr>
          <w:p w14:paraId="53A3FD5C">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1575" w:type="dxa"/>
            <w:noWrap w:val="0"/>
            <w:vAlign w:val="center"/>
          </w:tcPr>
          <w:p w14:paraId="54F68398">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753944FB">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A3</w:t>
            </w:r>
          </w:p>
        </w:tc>
      </w:tr>
      <w:tr w14:paraId="5AD8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0E93BCFA">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7BC52F8F">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4611664D">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50E657ED">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687D1AA1">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67E206C7">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B3</w:t>
            </w:r>
          </w:p>
        </w:tc>
      </w:tr>
      <w:tr w14:paraId="556C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2633C1FA">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2C8F58DB">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710F9CAC">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56FC2BAD">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0276CF43">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0C29D695">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C3</w:t>
            </w:r>
          </w:p>
        </w:tc>
      </w:tr>
      <w:tr w14:paraId="4448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6BC94CF1">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1E64BEF8">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14ADC13A">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2E8A5A87">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52DE9125">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w:t>
            </w:r>
          </w:p>
        </w:tc>
        <w:tc>
          <w:tcPr>
            <w:tcW w:w="2987" w:type="dxa"/>
            <w:noWrap w:val="0"/>
            <w:vAlign w:val="center"/>
          </w:tcPr>
          <w:p w14:paraId="2EC1E98D">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4</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2228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078D9D08">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23E83B79">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159B8879">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2F358038">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29A8937B">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1000</w:t>
            </w:r>
          </w:p>
        </w:tc>
        <w:tc>
          <w:tcPr>
            <w:tcW w:w="2987" w:type="dxa"/>
            <w:noWrap w:val="0"/>
            <w:vAlign w:val="center"/>
          </w:tcPr>
          <w:p w14:paraId="165E4495">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4C10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restart"/>
            <w:noWrap w:val="0"/>
            <w:vAlign w:val="center"/>
          </w:tcPr>
          <w:p w14:paraId="0B5624FA">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13</w:t>
            </w:r>
          </w:p>
        </w:tc>
        <w:tc>
          <w:tcPr>
            <w:tcW w:w="1478" w:type="dxa"/>
            <w:vMerge w:val="restart"/>
            <w:noWrap w:val="0"/>
            <w:vAlign w:val="center"/>
          </w:tcPr>
          <w:p w14:paraId="32240A00">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氟化钾</w:t>
            </w:r>
          </w:p>
        </w:tc>
        <w:tc>
          <w:tcPr>
            <w:tcW w:w="1190" w:type="dxa"/>
            <w:vMerge w:val="restart"/>
            <w:noWrap w:val="0"/>
            <w:vAlign w:val="center"/>
          </w:tcPr>
          <w:p w14:paraId="57647E85">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eastAsia="宋体" w:cs="Times New Roman"/>
                <w:color w:val="auto"/>
                <w:sz w:val="21"/>
                <w:szCs w:val="21"/>
                <w:u w:val="single"/>
                <w:lang w:val="en-US" w:eastAsia="zh-CN"/>
              </w:rPr>
              <w:t>7789-23-3</w:t>
            </w:r>
          </w:p>
        </w:tc>
        <w:tc>
          <w:tcPr>
            <w:tcW w:w="1025" w:type="dxa"/>
            <w:vMerge w:val="restart"/>
            <w:noWrap w:val="0"/>
            <w:vAlign w:val="center"/>
          </w:tcPr>
          <w:p w14:paraId="497285F2">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1575" w:type="dxa"/>
            <w:noWrap w:val="0"/>
            <w:vAlign w:val="center"/>
          </w:tcPr>
          <w:p w14:paraId="4B072F92">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5727C7D9">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A3</w:t>
            </w:r>
          </w:p>
        </w:tc>
      </w:tr>
      <w:tr w14:paraId="5DE9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7E905268">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0291CE20">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57E9B60D">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1B4943FA">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2E7F0C9A">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4915B2A8">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B3</w:t>
            </w:r>
          </w:p>
        </w:tc>
      </w:tr>
      <w:tr w14:paraId="1EC7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739D0EB3">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562CE601">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0F015A5E">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5C08D8A4">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2809B0EB">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6C081031">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C3</w:t>
            </w:r>
          </w:p>
        </w:tc>
      </w:tr>
      <w:tr w14:paraId="20E7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07805710">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456F5F7F">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03F80A5B">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31934176">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789FF00B">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w:t>
            </w:r>
          </w:p>
        </w:tc>
        <w:tc>
          <w:tcPr>
            <w:tcW w:w="2987" w:type="dxa"/>
            <w:noWrap w:val="0"/>
            <w:vAlign w:val="center"/>
          </w:tcPr>
          <w:p w14:paraId="3462E2A8">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4</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0036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78B4192A">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135B0279">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4A926EBC">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575E8082">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7102A469">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1000</w:t>
            </w:r>
          </w:p>
        </w:tc>
        <w:tc>
          <w:tcPr>
            <w:tcW w:w="2987" w:type="dxa"/>
            <w:noWrap w:val="0"/>
            <w:vAlign w:val="center"/>
          </w:tcPr>
          <w:p w14:paraId="318C1F96">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0FCE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restart"/>
            <w:noWrap w:val="0"/>
            <w:vAlign w:val="center"/>
          </w:tcPr>
          <w:p w14:paraId="4FA9A7EA">
            <w:pPr>
              <w:spacing w:line="240" w:lineRule="exact"/>
              <w:jc w:val="center"/>
              <w:rPr>
                <w:rFonts w:hint="default" w:cs="Times New Roman"/>
                <w:color w:val="auto"/>
                <w:kern w:val="28"/>
                <w:szCs w:val="21"/>
                <w:u w:val="single"/>
                <w:lang w:val="en-US" w:eastAsia="zh-CN"/>
              </w:rPr>
            </w:pPr>
            <w:r>
              <w:rPr>
                <w:rFonts w:hint="eastAsia" w:cs="Times New Roman"/>
                <w:color w:val="auto"/>
                <w:kern w:val="28"/>
                <w:szCs w:val="21"/>
                <w:u w:val="single"/>
                <w:lang w:val="en-US" w:eastAsia="zh-CN"/>
              </w:rPr>
              <w:t>14</w:t>
            </w:r>
          </w:p>
        </w:tc>
        <w:tc>
          <w:tcPr>
            <w:tcW w:w="1478" w:type="dxa"/>
            <w:vMerge w:val="restart"/>
            <w:noWrap w:val="0"/>
            <w:vAlign w:val="center"/>
          </w:tcPr>
          <w:p w14:paraId="26A30543">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氟化锌</w:t>
            </w:r>
          </w:p>
        </w:tc>
        <w:tc>
          <w:tcPr>
            <w:tcW w:w="1190" w:type="dxa"/>
            <w:vMerge w:val="restart"/>
            <w:noWrap w:val="0"/>
            <w:vAlign w:val="center"/>
          </w:tcPr>
          <w:p w14:paraId="2A1D697D">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eastAsia="宋体" w:cs="Times New Roman"/>
                <w:color w:val="auto"/>
                <w:sz w:val="21"/>
                <w:szCs w:val="21"/>
                <w:u w:val="single"/>
                <w:lang w:val="en-US" w:eastAsia="zh-CN"/>
              </w:rPr>
              <w:t>7783-49-5</w:t>
            </w:r>
          </w:p>
        </w:tc>
        <w:tc>
          <w:tcPr>
            <w:tcW w:w="1025" w:type="dxa"/>
            <w:vMerge w:val="restart"/>
            <w:noWrap w:val="0"/>
            <w:vAlign w:val="center"/>
          </w:tcPr>
          <w:p w14:paraId="3C905BA1">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1575" w:type="dxa"/>
            <w:noWrap w:val="0"/>
            <w:vAlign w:val="center"/>
          </w:tcPr>
          <w:p w14:paraId="0BAF9C38">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71BA91F1">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A3</w:t>
            </w:r>
          </w:p>
        </w:tc>
      </w:tr>
      <w:tr w14:paraId="6C7F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0EF16F74">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41188D6D">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73AF4B93">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5B457705">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2994A640">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7F16E1FF">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B3</w:t>
            </w:r>
          </w:p>
        </w:tc>
      </w:tr>
      <w:tr w14:paraId="23DF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74A5A9FF">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2F851011">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747B17B6">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2722F3CB">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3DE625E6">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50</w:t>
            </w:r>
          </w:p>
        </w:tc>
        <w:tc>
          <w:tcPr>
            <w:tcW w:w="2987" w:type="dxa"/>
            <w:noWrap w:val="0"/>
            <w:vAlign w:val="center"/>
          </w:tcPr>
          <w:p w14:paraId="43F60C0A">
            <w:pPr>
              <w:spacing w:line="240" w:lineRule="exact"/>
              <w:jc w:val="center"/>
              <w:rPr>
                <w:rFonts w:hint="eastAsia"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C3</w:t>
            </w:r>
          </w:p>
        </w:tc>
      </w:tr>
      <w:tr w14:paraId="3030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4D921BB7">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70FD68F1">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4FE720D7">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1106D569">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5DF681DF">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w:t>
            </w:r>
          </w:p>
        </w:tc>
        <w:tc>
          <w:tcPr>
            <w:tcW w:w="2987" w:type="dxa"/>
            <w:noWrap w:val="0"/>
            <w:vAlign w:val="center"/>
          </w:tcPr>
          <w:p w14:paraId="16CCE1C2">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4</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r w14:paraId="7947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3" w:type="dxa"/>
            <w:vMerge w:val="continue"/>
            <w:noWrap w:val="0"/>
            <w:vAlign w:val="center"/>
          </w:tcPr>
          <w:p w14:paraId="49B1C726">
            <w:pPr>
              <w:spacing w:line="240" w:lineRule="exact"/>
              <w:jc w:val="center"/>
              <w:rPr>
                <w:rFonts w:hint="eastAsia" w:cs="Times New Roman"/>
                <w:color w:val="auto"/>
                <w:kern w:val="28"/>
                <w:szCs w:val="21"/>
                <w:u w:val="single"/>
                <w:lang w:val="en-US" w:eastAsia="zh-CN"/>
              </w:rPr>
            </w:pPr>
          </w:p>
        </w:tc>
        <w:tc>
          <w:tcPr>
            <w:tcW w:w="1478" w:type="dxa"/>
            <w:vMerge w:val="continue"/>
            <w:noWrap w:val="0"/>
            <w:vAlign w:val="center"/>
          </w:tcPr>
          <w:p w14:paraId="003EC372">
            <w:pPr>
              <w:jc w:val="center"/>
              <w:rPr>
                <w:rFonts w:hint="eastAsia" w:ascii="Times New Roman" w:hAnsi="Times New Roman" w:cs="Times New Roman"/>
                <w:color w:val="auto"/>
                <w:kern w:val="28"/>
                <w:szCs w:val="21"/>
                <w:u w:val="single"/>
                <w:lang w:val="en-US" w:eastAsia="zh-CN"/>
              </w:rPr>
            </w:pPr>
          </w:p>
        </w:tc>
        <w:tc>
          <w:tcPr>
            <w:tcW w:w="1190" w:type="dxa"/>
            <w:vMerge w:val="continue"/>
            <w:noWrap w:val="0"/>
            <w:vAlign w:val="center"/>
          </w:tcPr>
          <w:p w14:paraId="2CF47695">
            <w:pPr>
              <w:jc w:val="center"/>
              <w:rPr>
                <w:rFonts w:hint="eastAsia" w:ascii="Times New Roman" w:hAnsi="Times New Roman" w:cs="Times New Roman"/>
                <w:color w:val="auto"/>
                <w:kern w:val="28"/>
                <w:szCs w:val="21"/>
                <w:u w:val="single"/>
                <w:lang w:val="en-US" w:eastAsia="zh-CN"/>
              </w:rPr>
            </w:pPr>
          </w:p>
        </w:tc>
        <w:tc>
          <w:tcPr>
            <w:tcW w:w="1025" w:type="dxa"/>
            <w:vMerge w:val="continue"/>
            <w:noWrap w:val="0"/>
            <w:vAlign w:val="center"/>
          </w:tcPr>
          <w:p w14:paraId="7E64D3E7">
            <w:pPr>
              <w:jc w:val="center"/>
              <w:rPr>
                <w:rFonts w:hint="eastAsia" w:ascii="Times New Roman" w:hAnsi="Times New Roman" w:eastAsia="宋体" w:cs="Times New Roman"/>
                <w:color w:val="auto"/>
                <w:sz w:val="21"/>
                <w:szCs w:val="21"/>
                <w:u w:val="single"/>
                <w:lang w:val="en-US" w:eastAsia="zh-CN"/>
              </w:rPr>
            </w:pPr>
          </w:p>
        </w:tc>
        <w:tc>
          <w:tcPr>
            <w:tcW w:w="1575" w:type="dxa"/>
            <w:noWrap w:val="0"/>
            <w:vAlign w:val="center"/>
          </w:tcPr>
          <w:p w14:paraId="0461330D">
            <w:pPr>
              <w:adjustRightInd w:val="0"/>
              <w:snapToGrid w:val="0"/>
              <w:spacing w:line="240" w:lineRule="auto"/>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1000</w:t>
            </w:r>
          </w:p>
        </w:tc>
        <w:tc>
          <w:tcPr>
            <w:tcW w:w="2987" w:type="dxa"/>
            <w:noWrap w:val="0"/>
            <w:vAlign w:val="center"/>
          </w:tcPr>
          <w:p w14:paraId="29EEB4BD">
            <w:pPr>
              <w:spacing w:line="240" w:lineRule="exact"/>
              <w:jc w:val="center"/>
              <w:rPr>
                <w:rFonts w:hint="eastAsia"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5</w:t>
            </w:r>
            <w:r>
              <w:rPr>
                <w:rFonts w:hint="eastAsia" w:ascii="Times New Roman" w:hAnsi="Times New Roman" w:eastAsia="宋体" w:cs="Times New Roman"/>
                <w:color w:val="auto"/>
                <w:kern w:val="0"/>
                <w:sz w:val="21"/>
                <w:szCs w:val="21"/>
                <w:u w:val="single"/>
                <w:vertAlign w:val="baseline"/>
                <w:lang w:val="en-US" w:eastAsia="zh-CN"/>
              </w:rPr>
              <w:t>号仓库隔间</w:t>
            </w:r>
            <w:r>
              <w:rPr>
                <w:rFonts w:hint="eastAsia" w:cs="Times New Roman"/>
                <w:color w:val="auto"/>
                <w:kern w:val="0"/>
                <w:sz w:val="21"/>
                <w:szCs w:val="21"/>
                <w:u w:val="single"/>
                <w:vertAlign w:val="baseline"/>
                <w:lang w:val="en-US" w:eastAsia="zh-CN"/>
              </w:rPr>
              <w:t>C</w:t>
            </w:r>
          </w:p>
        </w:tc>
      </w:tr>
    </w:tbl>
    <w:p w14:paraId="1631ED7B">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2、生产工艺特点</w:t>
      </w:r>
    </w:p>
    <w:p w14:paraId="2BAEF22E">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本项目为危险化学品储存项目，不涉及</w:t>
      </w:r>
      <w:r>
        <w:rPr>
          <w:rFonts w:hint="eastAsia" w:cs="Times New Roman"/>
          <w:color w:val="auto"/>
          <w:spacing w:val="10"/>
          <w:sz w:val="24"/>
          <w:szCs w:val="32"/>
          <w:lang w:val="en-US" w:eastAsia="zh-CN"/>
        </w:rPr>
        <w:t>物料加工等</w:t>
      </w:r>
      <w:r>
        <w:rPr>
          <w:rFonts w:hint="default" w:ascii="Times New Roman" w:hAnsi="Times New Roman" w:eastAsia="宋体" w:cs="Times New Roman"/>
          <w:color w:val="auto"/>
          <w:spacing w:val="10"/>
          <w:sz w:val="24"/>
          <w:szCs w:val="32"/>
          <w:lang w:val="en-US" w:eastAsia="zh-CN"/>
        </w:rPr>
        <w:t>生产</w:t>
      </w:r>
      <w:r>
        <w:rPr>
          <w:rFonts w:hint="eastAsia" w:cs="Times New Roman"/>
          <w:color w:val="auto"/>
          <w:spacing w:val="10"/>
          <w:sz w:val="24"/>
          <w:szCs w:val="32"/>
          <w:lang w:val="en-US" w:eastAsia="zh-CN"/>
        </w:rPr>
        <w:t>行为</w:t>
      </w:r>
      <w:r>
        <w:rPr>
          <w:rFonts w:hint="default" w:ascii="Times New Roman" w:hAnsi="Times New Roman" w:eastAsia="宋体" w:cs="Times New Roman"/>
          <w:color w:val="auto"/>
          <w:spacing w:val="10"/>
          <w:sz w:val="24"/>
          <w:szCs w:val="32"/>
          <w:lang w:val="en-US" w:eastAsia="zh-CN"/>
        </w:rPr>
        <w:t>。</w:t>
      </w:r>
    </w:p>
    <w:p w14:paraId="05D72D07">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环境敏感目标调查</w:t>
      </w:r>
    </w:p>
    <w:p w14:paraId="6B6A0D91">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项目周边环境敏感目标调查情况见表1-</w:t>
      </w:r>
      <w:r>
        <w:rPr>
          <w:rFonts w:hint="eastAsia" w:cs="Times New Roman"/>
          <w:color w:val="000000"/>
          <w:spacing w:val="10"/>
          <w:sz w:val="24"/>
          <w:szCs w:val="32"/>
          <w:lang w:val="en-US" w:eastAsia="zh-CN"/>
        </w:rPr>
        <w:t>3</w:t>
      </w:r>
      <w:r>
        <w:rPr>
          <w:rFonts w:hint="default" w:ascii="Times New Roman" w:hAnsi="Times New Roman" w:eastAsia="宋体" w:cs="Times New Roman"/>
          <w:color w:val="000000"/>
          <w:spacing w:val="10"/>
          <w:sz w:val="24"/>
          <w:szCs w:val="32"/>
          <w:lang w:val="en-US" w:eastAsia="zh-CN"/>
        </w:rPr>
        <w:t>。</w:t>
      </w:r>
    </w:p>
    <w:p w14:paraId="6BE8EB09">
      <w:pPr>
        <w:pStyle w:val="4"/>
        <w:numPr>
          <w:ilvl w:val="3"/>
          <w:numId w:val="10"/>
        </w:numPr>
        <w:tabs>
          <w:tab w:val="left" w:pos="1358"/>
          <w:tab w:val="left" w:pos="2153"/>
          <w:tab w:val="left" w:pos="5950"/>
        </w:tabs>
        <w:ind w:left="1358"/>
        <w:rPr>
          <w:rFonts w:hint="default" w:ascii="Times New Roman" w:hAnsi="Times New Roman" w:eastAsia="宋体" w:cs="Times New Roman"/>
          <w:color w:val="auto"/>
        </w:rPr>
      </w:pPr>
      <w:bookmarkStart w:id="43" w:name="_Toc19684"/>
      <w:r>
        <w:rPr>
          <w:rFonts w:hint="default" w:ascii="Times New Roman" w:hAnsi="Times New Roman" w:eastAsia="宋体" w:cs="Times New Roman"/>
          <w:color w:val="auto"/>
        </w:rPr>
        <w:t>项目厂区周围保护对象与环境敏感区一览表</w:t>
      </w:r>
      <w:bookmarkEnd w:id="43"/>
    </w:p>
    <w:tbl>
      <w:tblPr>
        <w:tblStyle w:val="19"/>
        <w:tblW w:w="8884"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722"/>
        <w:gridCol w:w="723"/>
        <w:gridCol w:w="313"/>
        <w:gridCol w:w="1455"/>
        <w:gridCol w:w="622"/>
        <w:gridCol w:w="414"/>
        <w:gridCol w:w="901"/>
        <w:gridCol w:w="104"/>
        <w:gridCol w:w="694"/>
        <w:gridCol w:w="215"/>
        <w:gridCol w:w="249"/>
        <w:gridCol w:w="1228"/>
        <w:gridCol w:w="1244"/>
      </w:tblGrid>
      <w:tr w14:paraId="035003B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50" w:hRule="atLeast"/>
          <w:jc w:val="center"/>
        </w:trPr>
        <w:tc>
          <w:tcPr>
            <w:tcW w:w="722" w:type="dxa"/>
            <w:vMerge w:val="restart"/>
            <w:noWrap w:val="0"/>
            <w:tcMar>
              <w:left w:w="0" w:type="dxa"/>
              <w:right w:w="0" w:type="dxa"/>
            </w:tcMar>
            <w:vAlign w:val="center"/>
          </w:tcPr>
          <w:p w14:paraId="7683B16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类别</w:t>
            </w:r>
          </w:p>
        </w:tc>
        <w:tc>
          <w:tcPr>
            <w:tcW w:w="8162" w:type="dxa"/>
            <w:gridSpan w:val="12"/>
            <w:noWrap w:val="0"/>
            <w:tcMar>
              <w:left w:w="0" w:type="dxa"/>
              <w:right w:w="0" w:type="dxa"/>
            </w:tcMar>
            <w:vAlign w:val="center"/>
          </w:tcPr>
          <w:p w14:paraId="2C0716A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环境敏感特征</w:t>
            </w:r>
          </w:p>
          <w:p w14:paraId="57F50B8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厂址周边5</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km范围内</w:t>
            </w:r>
          </w:p>
        </w:tc>
      </w:tr>
      <w:tr w14:paraId="0F42930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50" w:hRule="atLeast"/>
          <w:jc w:val="center"/>
        </w:trPr>
        <w:tc>
          <w:tcPr>
            <w:tcW w:w="722" w:type="dxa"/>
            <w:vMerge w:val="continue"/>
            <w:noWrap w:val="0"/>
            <w:tcMar>
              <w:left w:w="0" w:type="dxa"/>
              <w:right w:w="0" w:type="dxa"/>
            </w:tcMar>
            <w:vAlign w:val="center"/>
          </w:tcPr>
          <w:p w14:paraId="3F93BFA9">
            <w:pPr>
              <w:adjustRightInd w:val="0"/>
              <w:snapToGrid w:val="0"/>
              <w:jc w:val="center"/>
              <w:rPr>
                <w:rFonts w:hint="default" w:ascii="Times New Roman" w:hAnsi="Times New Roman" w:eastAsia="宋体" w:cs="Times New Roman"/>
                <w:color w:val="auto"/>
                <w:sz w:val="21"/>
                <w:szCs w:val="21"/>
              </w:rPr>
            </w:pPr>
          </w:p>
        </w:tc>
        <w:tc>
          <w:tcPr>
            <w:tcW w:w="723" w:type="dxa"/>
            <w:noWrap w:val="0"/>
            <w:tcMar>
              <w:left w:w="0" w:type="dxa"/>
              <w:right w:w="0" w:type="dxa"/>
            </w:tcMar>
            <w:vAlign w:val="center"/>
          </w:tcPr>
          <w:p w14:paraId="085833C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804" w:type="dxa"/>
            <w:gridSpan w:val="4"/>
            <w:noWrap w:val="0"/>
            <w:tcMar>
              <w:left w:w="0" w:type="dxa"/>
              <w:right w:w="0" w:type="dxa"/>
            </w:tcMar>
            <w:vAlign w:val="center"/>
          </w:tcPr>
          <w:p w14:paraId="31675A9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敏感目标</w:t>
            </w:r>
            <w:r>
              <w:rPr>
                <w:rFonts w:hint="default" w:ascii="Times New Roman" w:hAnsi="Times New Roman" w:eastAsia="宋体" w:cs="Times New Roman"/>
                <w:color w:val="auto"/>
                <w:sz w:val="21"/>
                <w:szCs w:val="21"/>
              </w:rPr>
              <w:t>名称</w:t>
            </w:r>
          </w:p>
        </w:tc>
        <w:tc>
          <w:tcPr>
            <w:tcW w:w="901" w:type="dxa"/>
            <w:noWrap w:val="0"/>
            <w:tcMar>
              <w:left w:w="0" w:type="dxa"/>
              <w:right w:w="0" w:type="dxa"/>
            </w:tcMar>
            <w:vAlign w:val="center"/>
          </w:tcPr>
          <w:p w14:paraId="79E72EF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相对</w:t>
            </w:r>
            <w:r>
              <w:rPr>
                <w:rFonts w:hint="default" w:ascii="Times New Roman" w:hAnsi="Times New Roman" w:eastAsia="宋体" w:cs="Times New Roman"/>
                <w:color w:val="auto"/>
                <w:sz w:val="21"/>
                <w:szCs w:val="21"/>
              </w:rPr>
              <w:t>方位</w:t>
            </w:r>
          </w:p>
        </w:tc>
        <w:tc>
          <w:tcPr>
            <w:tcW w:w="1262" w:type="dxa"/>
            <w:gridSpan w:val="4"/>
            <w:noWrap w:val="0"/>
            <w:tcMar>
              <w:left w:w="0" w:type="dxa"/>
              <w:right w:w="0" w:type="dxa"/>
            </w:tcMar>
            <w:vAlign w:val="center"/>
          </w:tcPr>
          <w:p w14:paraId="65DDA59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距离（m）</w:t>
            </w:r>
          </w:p>
        </w:tc>
        <w:tc>
          <w:tcPr>
            <w:tcW w:w="1228" w:type="dxa"/>
            <w:tcBorders>
              <w:bottom w:val="single" w:color="000000" w:sz="6" w:space="0"/>
            </w:tcBorders>
            <w:noWrap w:val="0"/>
            <w:tcMar>
              <w:left w:w="0" w:type="dxa"/>
              <w:right w:w="0" w:type="dxa"/>
            </w:tcMar>
            <w:vAlign w:val="center"/>
          </w:tcPr>
          <w:p w14:paraId="5962316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属性</w:t>
            </w:r>
          </w:p>
        </w:tc>
        <w:tc>
          <w:tcPr>
            <w:tcW w:w="1244" w:type="dxa"/>
            <w:tcBorders>
              <w:bottom w:val="single" w:color="000000" w:sz="6" w:space="0"/>
            </w:tcBorders>
            <w:noWrap w:val="0"/>
            <w:tcMar>
              <w:left w:w="0" w:type="dxa"/>
              <w:right w:w="0" w:type="dxa"/>
            </w:tcMar>
            <w:vAlign w:val="center"/>
          </w:tcPr>
          <w:p w14:paraId="16AE79D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w:t>
            </w:r>
            <w:r>
              <w:rPr>
                <w:rFonts w:hint="default" w:ascii="Times New Roman" w:hAnsi="Times New Roman" w:eastAsia="宋体" w:cs="Times New Roman"/>
                <w:color w:val="auto"/>
                <w:sz w:val="21"/>
                <w:szCs w:val="21"/>
                <w:lang w:val="en-US" w:eastAsia="zh-CN"/>
              </w:rPr>
              <w:t>口</w:t>
            </w:r>
            <w:r>
              <w:rPr>
                <w:rFonts w:hint="default" w:ascii="Times New Roman" w:hAnsi="Times New Roman" w:eastAsia="宋体" w:cs="Times New Roman"/>
                <w:color w:val="auto"/>
                <w:sz w:val="21"/>
                <w:szCs w:val="21"/>
              </w:rPr>
              <w:t>数</w:t>
            </w:r>
          </w:p>
        </w:tc>
      </w:tr>
      <w:tr w14:paraId="1EDD226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restart"/>
            <w:tcBorders>
              <w:top w:val="single" w:color="000000" w:sz="6" w:space="0"/>
            </w:tcBorders>
            <w:noWrap w:val="0"/>
            <w:tcMar>
              <w:left w:w="0" w:type="dxa"/>
              <w:right w:w="0" w:type="dxa"/>
            </w:tcMar>
            <w:vAlign w:val="center"/>
          </w:tcPr>
          <w:p w14:paraId="5B76209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723" w:type="dxa"/>
            <w:tcBorders>
              <w:top w:val="single" w:color="000000" w:sz="6" w:space="0"/>
            </w:tcBorders>
            <w:noWrap w:val="0"/>
            <w:tcMar>
              <w:left w:w="0" w:type="dxa"/>
              <w:right w:w="0" w:type="dxa"/>
            </w:tcMar>
            <w:vAlign w:val="center"/>
          </w:tcPr>
          <w:p w14:paraId="7EB8BC2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04" w:type="dxa"/>
            <w:gridSpan w:val="4"/>
            <w:tcBorders>
              <w:top w:val="single" w:color="000000" w:sz="6" w:space="0"/>
            </w:tcBorders>
            <w:noWrap w:val="0"/>
            <w:tcMar>
              <w:left w:w="0" w:type="dxa"/>
              <w:right w:w="0" w:type="dxa"/>
            </w:tcMar>
            <w:vAlign w:val="center"/>
          </w:tcPr>
          <w:p w14:paraId="7C2F9159">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金鼓村</w:t>
            </w:r>
          </w:p>
        </w:tc>
        <w:tc>
          <w:tcPr>
            <w:tcW w:w="901" w:type="dxa"/>
            <w:tcBorders>
              <w:top w:val="single" w:color="000000" w:sz="6" w:space="0"/>
            </w:tcBorders>
            <w:noWrap w:val="0"/>
            <w:tcMar>
              <w:left w:w="0" w:type="dxa"/>
              <w:right w:w="0" w:type="dxa"/>
            </w:tcMar>
            <w:vAlign w:val="center"/>
          </w:tcPr>
          <w:p w14:paraId="7F74E49D">
            <w:pPr>
              <w:adjustRightInd w:val="0"/>
              <w:snapToGrid w:val="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东</w:t>
            </w:r>
          </w:p>
        </w:tc>
        <w:tc>
          <w:tcPr>
            <w:tcW w:w="1262" w:type="dxa"/>
            <w:gridSpan w:val="4"/>
            <w:tcBorders>
              <w:top w:val="single" w:color="000000" w:sz="6" w:space="0"/>
            </w:tcBorders>
            <w:noWrap w:val="0"/>
            <w:tcMar>
              <w:left w:w="0" w:type="dxa"/>
              <w:right w:w="0" w:type="dxa"/>
            </w:tcMar>
            <w:vAlign w:val="center"/>
          </w:tcPr>
          <w:p w14:paraId="355B6783">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875</w:t>
            </w:r>
          </w:p>
        </w:tc>
        <w:tc>
          <w:tcPr>
            <w:tcW w:w="1228" w:type="dxa"/>
            <w:tcBorders>
              <w:top w:val="single" w:color="000000" w:sz="6" w:space="0"/>
            </w:tcBorders>
            <w:noWrap w:val="0"/>
            <w:tcMar>
              <w:left w:w="0" w:type="dxa"/>
              <w:right w:w="0" w:type="dxa"/>
            </w:tcMar>
            <w:vAlign w:val="center"/>
          </w:tcPr>
          <w:p w14:paraId="0A67B50B">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tcBorders>
              <w:top w:val="single" w:color="000000" w:sz="6" w:space="0"/>
            </w:tcBorders>
            <w:noWrap w:val="0"/>
            <w:tcMar>
              <w:left w:w="0" w:type="dxa"/>
              <w:right w:w="0" w:type="dxa"/>
            </w:tcMar>
            <w:vAlign w:val="center"/>
          </w:tcPr>
          <w:p w14:paraId="6ED94AD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2300</w:t>
            </w:r>
          </w:p>
        </w:tc>
      </w:tr>
      <w:tr w14:paraId="080401D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00D1BAC4">
            <w:pPr>
              <w:adjustRightInd w:val="0"/>
              <w:snapToGrid w:val="0"/>
              <w:jc w:val="center"/>
              <w:rPr>
                <w:rFonts w:hint="default" w:ascii="Times New Roman" w:hAnsi="Times New Roman" w:eastAsia="宋体" w:cs="Times New Roman"/>
                <w:color w:val="auto"/>
                <w:sz w:val="21"/>
                <w:szCs w:val="21"/>
              </w:rPr>
            </w:pPr>
          </w:p>
        </w:tc>
        <w:tc>
          <w:tcPr>
            <w:tcW w:w="723" w:type="dxa"/>
            <w:noWrap w:val="0"/>
            <w:tcMar>
              <w:left w:w="0" w:type="dxa"/>
              <w:right w:w="0" w:type="dxa"/>
            </w:tcMar>
            <w:vAlign w:val="center"/>
          </w:tcPr>
          <w:p w14:paraId="4CD8535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804" w:type="dxa"/>
            <w:gridSpan w:val="4"/>
            <w:noWrap w:val="0"/>
            <w:tcMar>
              <w:left w:w="0" w:type="dxa"/>
              <w:right w:w="0" w:type="dxa"/>
            </w:tcMar>
            <w:vAlign w:val="center"/>
          </w:tcPr>
          <w:p w14:paraId="2B5AE25F">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金鼓小学</w:t>
            </w:r>
          </w:p>
        </w:tc>
        <w:tc>
          <w:tcPr>
            <w:tcW w:w="901" w:type="dxa"/>
            <w:noWrap w:val="0"/>
            <w:tcMar>
              <w:left w:w="0" w:type="dxa"/>
              <w:right w:w="0" w:type="dxa"/>
            </w:tcMar>
            <w:vAlign w:val="center"/>
          </w:tcPr>
          <w:p w14:paraId="2AA8EA43">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东</w:t>
            </w:r>
          </w:p>
        </w:tc>
        <w:tc>
          <w:tcPr>
            <w:tcW w:w="1262" w:type="dxa"/>
            <w:gridSpan w:val="4"/>
            <w:noWrap w:val="0"/>
            <w:tcMar>
              <w:left w:w="0" w:type="dxa"/>
              <w:right w:w="0" w:type="dxa"/>
            </w:tcMar>
            <w:vAlign w:val="center"/>
          </w:tcPr>
          <w:p w14:paraId="68A05611">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1300</w:t>
            </w:r>
          </w:p>
        </w:tc>
        <w:tc>
          <w:tcPr>
            <w:tcW w:w="1228" w:type="dxa"/>
            <w:noWrap w:val="0"/>
            <w:tcMar>
              <w:left w:w="0" w:type="dxa"/>
              <w:right w:w="0" w:type="dxa"/>
            </w:tcMar>
            <w:vAlign w:val="center"/>
          </w:tcPr>
          <w:p w14:paraId="1D441AC0">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学校</w:t>
            </w:r>
          </w:p>
        </w:tc>
        <w:tc>
          <w:tcPr>
            <w:tcW w:w="1244" w:type="dxa"/>
            <w:noWrap w:val="0"/>
            <w:tcMar>
              <w:left w:w="0" w:type="dxa"/>
              <w:right w:w="0" w:type="dxa"/>
            </w:tcMar>
            <w:vAlign w:val="center"/>
          </w:tcPr>
          <w:p w14:paraId="7EA37D1F">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200</w:t>
            </w:r>
          </w:p>
        </w:tc>
      </w:tr>
      <w:tr w14:paraId="2FC5531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027BCC0B">
            <w:pPr>
              <w:adjustRightInd w:val="0"/>
              <w:snapToGrid w:val="0"/>
              <w:jc w:val="center"/>
              <w:rPr>
                <w:rFonts w:hint="default" w:ascii="Times New Roman" w:hAnsi="Times New Roman" w:eastAsia="宋体" w:cs="Times New Roman"/>
                <w:color w:val="auto"/>
                <w:sz w:val="21"/>
                <w:szCs w:val="21"/>
              </w:rPr>
            </w:pPr>
          </w:p>
        </w:tc>
        <w:tc>
          <w:tcPr>
            <w:tcW w:w="723" w:type="dxa"/>
            <w:noWrap w:val="0"/>
            <w:tcMar>
              <w:left w:w="0" w:type="dxa"/>
              <w:right w:w="0" w:type="dxa"/>
            </w:tcMar>
            <w:vAlign w:val="center"/>
          </w:tcPr>
          <w:p w14:paraId="199723A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804" w:type="dxa"/>
            <w:gridSpan w:val="4"/>
            <w:noWrap w:val="0"/>
            <w:tcMar>
              <w:left w:w="0" w:type="dxa"/>
              <w:right w:w="0" w:type="dxa"/>
            </w:tcMar>
            <w:vAlign w:val="center"/>
          </w:tcPr>
          <w:p w14:paraId="33C68089">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孔雀环村</w:t>
            </w:r>
          </w:p>
        </w:tc>
        <w:tc>
          <w:tcPr>
            <w:tcW w:w="901" w:type="dxa"/>
            <w:noWrap w:val="0"/>
            <w:tcMar>
              <w:left w:w="0" w:type="dxa"/>
              <w:right w:w="0" w:type="dxa"/>
            </w:tcMar>
            <w:vAlign w:val="center"/>
          </w:tcPr>
          <w:p w14:paraId="2A9458ED">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东</w:t>
            </w:r>
            <w:r>
              <w:rPr>
                <w:rFonts w:hint="eastAsia" w:ascii="Times New Roman" w:hAnsi="Times New Roman" w:eastAsia="宋体" w:cs="Times New Roman"/>
                <w:color w:val="000000"/>
                <w:sz w:val="21"/>
                <w:szCs w:val="21"/>
                <w:lang w:val="en-US" w:eastAsia="zh-CN"/>
              </w:rPr>
              <w:t>北</w:t>
            </w:r>
          </w:p>
        </w:tc>
        <w:tc>
          <w:tcPr>
            <w:tcW w:w="1262" w:type="dxa"/>
            <w:gridSpan w:val="4"/>
            <w:noWrap w:val="0"/>
            <w:tcMar>
              <w:left w:w="0" w:type="dxa"/>
              <w:right w:w="0" w:type="dxa"/>
            </w:tcMar>
            <w:vAlign w:val="center"/>
          </w:tcPr>
          <w:p w14:paraId="4B31050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3566</w:t>
            </w:r>
          </w:p>
        </w:tc>
        <w:tc>
          <w:tcPr>
            <w:tcW w:w="1228" w:type="dxa"/>
            <w:noWrap w:val="0"/>
            <w:tcMar>
              <w:left w:w="0" w:type="dxa"/>
              <w:right w:w="0" w:type="dxa"/>
            </w:tcMar>
            <w:vAlign w:val="center"/>
          </w:tcPr>
          <w:p w14:paraId="01D2B9C4">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67B6278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1000</w:t>
            </w:r>
          </w:p>
        </w:tc>
      </w:tr>
      <w:tr w14:paraId="39A8474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7846008A">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129D445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804" w:type="dxa"/>
            <w:gridSpan w:val="4"/>
            <w:noWrap w:val="0"/>
            <w:tcMar>
              <w:left w:w="0" w:type="dxa"/>
              <w:right w:w="0" w:type="dxa"/>
            </w:tcMar>
            <w:vAlign w:val="center"/>
          </w:tcPr>
          <w:p w14:paraId="571AE4C4">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松柏港村</w:t>
            </w:r>
          </w:p>
        </w:tc>
        <w:tc>
          <w:tcPr>
            <w:tcW w:w="901" w:type="dxa"/>
            <w:noWrap w:val="0"/>
            <w:tcMar>
              <w:left w:w="0" w:type="dxa"/>
              <w:right w:w="0" w:type="dxa"/>
            </w:tcMar>
            <w:vAlign w:val="center"/>
          </w:tcPr>
          <w:p w14:paraId="77BA9E74">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东</w:t>
            </w:r>
            <w:r>
              <w:rPr>
                <w:rFonts w:hint="eastAsia" w:ascii="Times New Roman" w:hAnsi="Times New Roman" w:eastAsia="宋体" w:cs="Times New Roman"/>
                <w:color w:val="000000"/>
                <w:sz w:val="21"/>
                <w:szCs w:val="21"/>
                <w:lang w:val="en-US" w:eastAsia="zh-CN"/>
              </w:rPr>
              <w:t>北</w:t>
            </w:r>
          </w:p>
        </w:tc>
        <w:tc>
          <w:tcPr>
            <w:tcW w:w="1262" w:type="dxa"/>
            <w:gridSpan w:val="4"/>
            <w:noWrap w:val="0"/>
            <w:tcMar>
              <w:left w:w="0" w:type="dxa"/>
              <w:right w:w="0" w:type="dxa"/>
            </w:tcMar>
            <w:vAlign w:val="center"/>
          </w:tcPr>
          <w:p w14:paraId="546F980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2027</w:t>
            </w:r>
          </w:p>
        </w:tc>
        <w:tc>
          <w:tcPr>
            <w:tcW w:w="1228" w:type="dxa"/>
            <w:noWrap w:val="0"/>
            <w:tcMar>
              <w:left w:w="0" w:type="dxa"/>
              <w:right w:w="0" w:type="dxa"/>
            </w:tcMar>
            <w:vAlign w:val="center"/>
          </w:tcPr>
          <w:p w14:paraId="63EF8300">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7C0E1D4F">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w:t>
            </w:r>
          </w:p>
        </w:tc>
      </w:tr>
      <w:tr w14:paraId="3C1AAA2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500FBFF8">
            <w:pPr>
              <w:adjustRightInd w:val="0"/>
              <w:snapToGrid w:val="0"/>
              <w:jc w:val="center"/>
              <w:rPr>
                <w:rFonts w:hint="default" w:ascii="Times New Roman" w:hAnsi="Times New Roman" w:eastAsia="宋体" w:cs="Times New Roman"/>
                <w:color w:val="auto"/>
                <w:sz w:val="21"/>
                <w:szCs w:val="21"/>
              </w:rPr>
            </w:pPr>
          </w:p>
        </w:tc>
        <w:tc>
          <w:tcPr>
            <w:tcW w:w="723" w:type="dxa"/>
            <w:noWrap w:val="0"/>
            <w:tcMar>
              <w:left w:w="0" w:type="dxa"/>
              <w:right w:w="0" w:type="dxa"/>
            </w:tcMar>
            <w:vAlign w:val="center"/>
          </w:tcPr>
          <w:p w14:paraId="492EBC7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804" w:type="dxa"/>
            <w:gridSpan w:val="4"/>
            <w:noWrap w:val="0"/>
            <w:tcMar>
              <w:left w:w="0" w:type="dxa"/>
              <w:right w:w="0" w:type="dxa"/>
            </w:tcMar>
            <w:vAlign w:val="center"/>
          </w:tcPr>
          <w:p w14:paraId="52160E9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西安交大中马阳光高级中学</w:t>
            </w:r>
          </w:p>
        </w:tc>
        <w:tc>
          <w:tcPr>
            <w:tcW w:w="901" w:type="dxa"/>
            <w:noWrap w:val="0"/>
            <w:tcMar>
              <w:left w:w="0" w:type="dxa"/>
              <w:right w:w="0" w:type="dxa"/>
            </w:tcMar>
            <w:vAlign w:val="center"/>
          </w:tcPr>
          <w:p w14:paraId="3BAAE0CA">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东</w:t>
            </w:r>
            <w:r>
              <w:rPr>
                <w:rFonts w:hint="eastAsia" w:ascii="Times New Roman" w:hAnsi="Times New Roman" w:eastAsia="宋体" w:cs="Times New Roman"/>
                <w:color w:val="000000"/>
                <w:sz w:val="21"/>
                <w:szCs w:val="21"/>
                <w:lang w:val="en-US" w:eastAsia="zh-CN"/>
              </w:rPr>
              <w:t>北</w:t>
            </w:r>
          </w:p>
        </w:tc>
        <w:tc>
          <w:tcPr>
            <w:tcW w:w="1262" w:type="dxa"/>
            <w:gridSpan w:val="4"/>
            <w:noWrap w:val="0"/>
            <w:tcMar>
              <w:left w:w="0" w:type="dxa"/>
              <w:right w:w="0" w:type="dxa"/>
            </w:tcMar>
            <w:vAlign w:val="center"/>
          </w:tcPr>
          <w:p w14:paraId="6B8C25E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2939</w:t>
            </w:r>
          </w:p>
        </w:tc>
        <w:tc>
          <w:tcPr>
            <w:tcW w:w="1228" w:type="dxa"/>
            <w:noWrap w:val="0"/>
            <w:tcMar>
              <w:left w:w="0" w:type="dxa"/>
              <w:right w:w="0" w:type="dxa"/>
            </w:tcMar>
            <w:vAlign w:val="center"/>
          </w:tcPr>
          <w:p w14:paraId="7A90C1D9">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学校</w:t>
            </w:r>
          </w:p>
        </w:tc>
        <w:tc>
          <w:tcPr>
            <w:tcW w:w="1244" w:type="dxa"/>
            <w:noWrap w:val="0"/>
            <w:tcMar>
              <w:left w:w="0" w:type="dxa"/>
              <w:right w:w="0" w:type="dxa"/>
            </w:tcMar>
            <w:vAlign w:val="center"/>
          </w:tcPr>
          <w:p w14:paraId="1C27E7F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2760</w:t>
            </w:r>
          </w:p>
        </w:tc>
      </w:tr>
      <w:tr w14:paraId="6653F5E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51E68BC4">
            <w:pPr>
              <w:adjustRightInd w:val="0"/>
              <w:snapToGrid w:val="0"/>
              <w:jc w:val="center"/>
              <w:rPr>
                <w:rFonts w:hint="default" w:ascii="Times New Roman" w:hAnsi="Times New Roman" w:eastAsia="宋体" w:cs="Times New Roman"/>
                <w:color w:val="auto"/>
                <w:sz w:val="21"/>
                <w:szCs w:val="21"/>
              </w:rPr>
            </w:pPr>
          </w:p>
        </w:tc>
        <w:tc>
          <w:tcPr>
            <w:tcW w:w="723" w:type="dxa"/>
            <w:noWrap w:val="0"/>
            <w:tcMar>
              <w:left w:w="0" w:type="dxa"/>
              <w:right w:w="0" w:type="dxa"/>
            </w:tcMar>
            <w:vAlign w:val="center"/>
          </w:tcPr>
          <w:p w14:paraId="3ED23B6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804" w:type="dxa"/>
            <w:gridSpan w:val="4"/>
            <w:noWrap w:val="0"/>
            <w:tcMar>
              <w:left w:w="0" w:type="dxa"/>
              <w:right w:w="0" w:type="dxa"/>
            </w:tcMar>
            <w:vAlign w:val="center"/>
          </w:tcPr>
          <w:p w14:paraId="7C692E4F">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独连车村</w:t>
            </w:r>
          </w:p>
        </w:tc>
        <w:tc>
          <w:tcPr>
            <w:tcW w:w="901" w:type="dxa"/>
            <w:noWrap w:val="0"/>
            <w:tcMar>
              <w:left w:w="0" w:type="dxa"/>
              <w:right w:w="0" w:type="dxa"/>
            </w:tcMar>
            <w:vAlign w:val="center"/>
          </w:tcPr>
          <w:p w14:paraId="5C31C260">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东</w:t>
            </w:r>
            <w:r>
              <w:rPr>
                <w:rFonts w:hint="eastAsia" w:ascii="Times New Roman" w:hAnsi="Times New Roman" w:eastAsia="宋体" w:cs="Times New Roman"/>
                <w:color w:val="000000"/>
                <w:sz w:val="21"/>
                <w:szCs w:val="21"/>
                <w:lang w:val="en-US" w:eastAsia="zh-CN"/>
              </w:rPr>
              <w:t>北</w:t>
            </w:r>
          </w:p>
        </w:tc>
        <w:tc>
          <w:tcPr>
            <w:tcW w:w="1262" w:type="dxa"/>
            <w:gridSpan w:val="4"/>
            <w:noWrap w:val="0"/>
            <w:tcMar>
              <w:left w:w="0" w:type="dxa"/>
              <w:right w:w="0" w:type="dxa"/>
            </w:tcMar>
            <w:vAlign w:val="center"/>
          </w:tcPr>
          <w:p w14:paraId="7B1F4DE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4020</w:t>
            </w:r>
          </w:p>
        </w:tc>
        <w:tc>
          <w:tcPr>
            <w:tcW w:w="1228" w:type="dxa"/>
            <w:noWrap w:val="0"/>
            <w:tcMar>
              <w:left w:w="0" w:type="dxa"/>
              <w:right w:w="0" w:type="dxa"/>
            </w:tcMar>
            <w:vAlign w:val="center"/>
          </w:tcPr>
          <w:p w14:paraId="274118B9">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2C4B1044">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75</w:t>
            </w:r>
          </w:p>
        </w:tc>
      </w:tr>
      <w:tr w14:paraId="14FC4A1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621AE999">
            <w:pPr>
              <w:adjustRightInd w:val="0"/>
              <w:snapToGrid w:val="0"/>
              <w:jc w:val="center"/>
              <w:rPr>
                <w:rFonts w:hint="default" w:ascii="Times New Roman" w:hAnsi="Times New Roman" w:eastAsia="宋体" w:cs="Times New Roman"/>
                <w:color w:val="auto"/>
                <w:sz w:val="21"/>
                <w:szCs w:val="21"/>
              </w:rPr>
            </w:pPr>
          </w:p>
        </w:tc>
        <w:tc>
          <w:tcPr>
            <w:tcW w:w="723" w:type="dxa"/>
            <w:noWrap w:val="0"/>
            <w:tcMar>
              <w:left w:w="0" w:type="dxa"/>
              <w:right w:w="0" w:type="dxa"/>
            </w:tcMar>
            <w:vAlign w:val="center"/>
          </w:tcPr>
          <w:p w14:paraId="6D21C7B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w:t>
            </w:r>
          </w:p>
        </w:tc>
        <w:tc>
          <w:tcPr>
            <w:tcW w:w="2804" w:type="dxa"/>
            <w:gridSpan w:val="4"/>
            <w:noWrap w:val="0"/>
            <w:tcMar>
              <w:left w:w="0" w:type="dxa"/>
              <w:right w:w="0" w:type="dxa"/>
            </w:tcMar>
            <w:vAlign w:val="center"/>
          </w:tcPr>
          <w:p w14:paraId="4E4501B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苦竹坑村</w:t>
            </w:r>
          </w:p>
        </w:tc>
        <w:tc>
          <w:tcPr>
            <w:tcW w:w="901" w:type="dxa"/>
            <w:noWrap w:val="0"/>
            <w:tcMar>
              <w:left w:w="0" w:type="dxa"/>
              <w:right w:w="0" w:type="dxa"/>
            </w:tcMar>
            <w:vAlign w:val="center"/>
          </w:tcPr>
          <w:p w14:paraId="66242F5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东北</w:t>
            </w:r>
          </w:p>
        </w:tc>
        <w:tc>
          <w:tcPr>
            <w:tcW w:w="1262" w:type="dxa"/>
            <w:gridSpan w:val="4"/>
            <w:noWrap w:val="0"/>
            <w:tcMar>
              <w:left w:w="0" w:type="dxa"/>
              <w:right w:w="0" w:type="dxa"/>
            </w:tcMar>
            <w:vAlign w:val="center"/>
          </w:tcPr>
          <w:p w14:paraId="06425349">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4600</w:t>
            </w:r>
          </w:p>
        </w:tc>
        <w:tc>
          <w:tcPr>
            <w:tcW w:w="1228" w:type="dxa"/>
            <w:noWrap w:val="0"/>
            <w:tcMar>
              <w:left w:w="0" w:type="dxa"/>
              <w:right w:w="0" w:type="dxa"/>
            </w:tcMar>
            <w:vAlign w:val="center"/>
          </w:tcPr>
          <w:p w14:paraId="36029CB1">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04E8CDA0">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108</w:t>
            </w:r>
          </w:p>
        </w:tc>
      </w:tr>
      <w:tr w14:paraId="3677EFC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4D1123F9">
            <w:pPr>
              <w:adjustRightInd w:val="0"/>
              <w:snapToGrid w:val="0"/>
              <w:jc w:val="center"/>
              <w:rPr>
                <w:rFonts w:hint="default" w:ascii="Times New Roman" w:hAnsi="Times New Roman" w:eastAsia="宋体" w:cs="Times New Roman"/>
                <w:color w:val="auto"/>
                <w:sz w:val="21"/>
                <w:szCs w:val="21"/>
              </w:rPr>
            </w:pPr>
          </w:p>
        </w:tc>
        <w:tc>
          <w:tcPr>
            <w:tcW w:w="723" w:type="dxa"/>
            <w:noWrap w:val="0"/>
            <w:tcMar>
              <w:left w:w="0" w:type="dxa"/>
              <w:right w:w="0" w:type="dxa"/>
            </w:tcMar>
            <w:vAlign w:val="center"/>
          </w:tcPr>
          <w:p w14:paraId="77A4DBE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2804" w:type="dxa"/>
            <w:gridSpan w:val="4"/>
            <w:noWrap w:val="0"/>
            <w:tcMar>
              <w:left w:w="0" w:type="dxa"/>
              <w:right w:w="0" w:type="dxa"/>
            </w:tcMar>
            <w:vAlign w:val="center"/>
          </w:tcPr>
          <w:p w14:paraId="1F15961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大垌口村</w:t>
            </w:r>
          </w:p>
        </w:tc>
        <w:tc>
          <w:tcPr>
            <w:tcW w:w="901" w:type="dxa"/>
            <w:noWrap w:val="0"/>
            <w:tcMar>
              <w:left w:w="0" w:type="dxa"/>
              <w:right w:w="0" w:type="dxa"/>
            </w:tcMar>
            <w:vAlign w:val="center"/>
          </w:tcPr>
          <w:p w14:paraId="5E9EA31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东北</w:t>
            </w:r>
          </w:p>
        </w:tc>
        <w:tc>
          <w:tcPr>
            <w:tcW w:w="1262" w:type="dxa"/>
            <w:gridSpan w:val="4"/>
            <w:noWrap w:val="0"/>
            <w:tcMar>
              <w:left w:w="0" w:type="dxa"/>
              <w:right w:w="0" w:type="dxa"/>
            </w:tcMar>
            <w:vAlign w:val="center"/>
          </w:tcPr>
          <w:p w14:paraId="71D48BE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3416</w:t>
            </w:r>
          </w:p>
        </w:tc>
        <w:tc>
          <w:tcPr>
            <w:tcW w:w="1228" w:type="dxa"/>
            <w:noWrap w:val="0"/>
            <w:tcMar>
              <w:left w:w="0" w:type="dxa"/>
              <w:right w:w="0" w:type="dxa"/>
            </w:tcMar>
            <w:vAlign w:val="center"/>
          </w:tcPr>
          <w:p w14:paraId="6311971D">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690AE11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98</w:t>
            </w:r>
          </w:p>
        </w:tc>
      </w:tr>
      <w:tr w14:paraId="6FD9D10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57896CCB">
            <w:pPr>
              <w:adjustRightInd w:val="0"/>
              <w:snapToGrid w:val="0"/>
              <w:jc w:val="center"/>
              <w:rPr>
                <w:rFonts w:hint="default" w:ascii="Times New Roman" w:hAnsi="Times New Roman" w:eastAsia="宋体" w:cs="Times New Roman"/>
                <w:color w:val="auto"/>
                <w:sz w:val="21"/>
                <w:szCs w:val="21"/>
              </w:rPr>
            </w:pPr>
          </w:p>
        </w:tc>
        <w:tc>
          <w:tcPr>
            <w:tcW w:w="723" w:type="dxa"/>
            <w:noWrap w:val="0"/>
            <w:tcMar>
              <w:left w:w="0" w:type="dxa"/>
              <w:right w:w="0" w:type="dxa"/>
            </w:tcMar>
            <w:vAlign w:val="center"/>
          </w:tcPr>
          <w:p w14:paraId="3B236B4A">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9</w:t>
            </w:r>
          </w:p>
        </w:tc>
        <w:tc>
          <w:tcPr>
            <w:tcW w:w="2804" w:type="dxa"/>
            <w:gridSpan w:val="4"/>
            <w:noWrap w:val="0"/>
            <w:tcMar>
              <w:left w:w="0" w:type="dxa"/>
              <w:right w:w="0" w:type="dxa"/>
            </w:tcMar>
            <w:vAlign w:val="center"/>
          </w:tcPr>
          <w:p w14:paraId="2A566B6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细垌环村</w:t>
            </w:r>
          </w:p>
        </w:tc>
        <w:tc>
          <w:tcPr>
            <w:tcW w:w="901" w:type="dxa"/>
            <w:noWrap w:val="0"/>
            <w:tcMar>
              <w:left w:w="0" w:type="dxa"/>
              <w:right w:w="0" w:type="dxa"/>
            </w:tcMar>
            <w:vAlign w:val="center"/>
          </w:tcPr>
          <w:p w14:paraId="5C29CC62">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东</w:t>
            </w:r>
          </w:p>
        </w:tc>
        <w:tc>
          <w:tcPr>
            <w:tcW w:w="1262" w:type="dxa"/>
            <w:gridSpan w:val="4"/>
            <w:noWrap w:val="0"/>
            <w:tcMar>
              <w:left w:w="0" w:type="dxa"/>
              <w:right w:w="0" w:type="dxa"/>
            </w:tcMar>
            <w:vAlign w:val="center"/>
          </w:tcPr>
          <w:p w14:paraId="79EEC780">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2434</w:t>
            </w:r>
          </w:p>
        </w:tc>
        <w:tc>
          <w:tcPr>
            <w:tcW w:w="1228" w:type="dxa"/>
            <w:noWrap w:val="0"/>
            <w:tcMar>
              <w:left w:w="0" w:type="dxa"/>
              <w:right w:w="0" w:type="dxa"/>
            </w:tcMar>
            <w:vAlign w:val="center"/>
          </w:tcPr>
          <w:p w14:paraId="4CBB6021">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6C60898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400</w:t>
            </w:r>
          </w:p>
        </w:tc>
      </w:tr>
      <w:tr w14:paraId="50589D5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1648FD7C">
            <w:pPr>
              <w:adjustRightInd w:val="0"/>
              <w:snapToGrid w:val="0"/>
              <w:jc w:val="center"/>
              <w:rPr>
                <w:rFonts w:hint="default" w:ascii="Times New Roman" w:hAnsi="Times New Roman" w:eastAsia="宋体" w:cs="Times New Roman"/>
                <w:color w:val="auto"/>
                <w:sz w:val="21"/>
                <w:szCs w:val="21"/>
              </w:rPr>
            </w:pPr>
          </w:p>
        </w:tc>
        <w:tc>
          <w:tcPr>
            <w:tcW w:w="723" w:type="dxa"/>
            <w:noWrap w:val="0"/>
            <w:tcMar>
              <w:left w:w="0" w:type="dxa"/>
              <w:right w:w="0" w:type="dxa"/>
            </w:tcMar>
            <w:vAlign w:val="center"/>
          </w:tcPr>
          <w:p w14:paraId="44B3519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0</w:t>
            </w:r>
          </w:p>
        </w:tc>
        <w:tc>
          <w:tcPr>
            <w:tcW w:w="2804" w:type="dxa"/>
            <w:gridSpan w:val="4"/>
            <w:noWrap w:val="0"/>
            <w:tcMar>
              <w:left w:w="0" w:type="dxa"/>
              <w:right w:w="0" w:type="dxa"/>
            </w:tcMar>
            <w:vAlign w:val="center"/>
          </w:tcPr>
          <w:p w14:paraId="185542E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第一垌村</w:t>
            </w:r>
          </w:p>
        </w:tc>
        <w:tc>
          <w:tcPr>
            <w:tcW w:w="901" w:type="dxa"/>
            <w:noWrap w:val="0"/>
            <w:tcMar>
              <w:left w:w="0" w:type="dxa"/>
              <w:right w:w="0" w:type="dxa"/>
            </w:tcMar>
            <w:vAlign w:val="center"/>
          </w:tcPr>
          <w:p w14:paraId="07EED5A1">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东北</w:t>
            </w:r>
          </w:p>
        </w:tc>
        <w:tc>
          <w:tcPr>
            <w:tcW w:w="1262" w:type="dxa"/>
            <w:gridSpan w:val="4"/>
            <w:noWrap w:val="0"/>
            <w:tcMar>
              <w:left w:w="0" w:type="dxa"/>
              <w:right w:w="0" w:type="dxa"/>
            </w:tcMar>
            <w:vAlign w:val="center"/>
          </w:tcPr>
          <w:p w14:paraId="1BB62DC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1290</w:t>
            </w:r>
          </w:p>
        </w:tc>
        <w:tc>
          <w:tcPr>
            <w:tcW w:w="1228" w:type="dxa"/>
            <w:noWrap w:val="0"/>
            <w:tcMar>
              <w:left w:w="0" w:type="dxa"/>
              <w:right w:w="0" w:type="dxa"/>
            </w:tcMar>
            <w:vAlign w:val="center"/>
          </w:tcPr>
          <w:p w14:paraId="03F07B40">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064B663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420</w:t>
            </w:r>
          </w:p>
        </w:tc>
      </w:tr>
      <w:tr w14:paraId="6C2DB62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59F104DA">
            <w:pPr>
              <w:adjustRightInd w:val="0"/>
              <w:snapToGrid w:val="0"/>
              <w:jc w:val="center"/>
              <w:rPr>
                <w:rFonts w:hint="default" w:ascii="Times New Roman" w:hAnsi="Times New Roman" w:eastAsia="宋体" w:cs="Times New Roman"/>
                <w:color w:val="auto"/>
                <w:sz w:val="21"/>
                <w:szCs w:val="21"/>
              </w:rPr>
            </w:pPr>
          </w:p>
        </w:tc>
        <w:tc>
          <w:tcPr>
            <w:tcW w:w="723" w:type="dxa"/>
            <w:noWrap w:val="0"/>
            <w:tcMar>
              <w:left w:w="0" w:type="dxa"/>
              <w:right w:w="0" w:type="dxa"/>
            </w:tcMar>
            <w:vAlign w:val="center"/>
          </w:tcPr>
          <w:p w14:paraId="1BC19EE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11</w:t>
            </w:r>
          </w:p>
        </w:tc>
        <w:tc>
          <w:tcPr>
            <w:tcW w:w="2804" w:type="dxa"/>
            <w:gridSpan w:val="4"/>
            <w:noWrap w:val="0"/>
            <w:tcMar>
              <w:left w:w="0" w:type="dxa"/>
              <w:right w:w="0" w:type="dxa"/>
            </w:tcMar>
            <w:vAlign w:val="center"/>
          </w:tcPr>
          <w:p w14:paraId="169172E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大榄坪</w:t>
            </w:r>
          </w:p>
        </w:tc>
        <w:tc>
          <w:tcPr>
            <w:tcW w:w="901" w:type="dxa"/>
            <w:noWrap w:val="0"/>
            <w:tcMar>
              <w:left w:w="0" w:type="dxa"/>
              <w:right w:w="0" w:type="dxa"/>
            </w:tcMar>
            <w:vAlign w:val="center"/>
          </w:tcPr>
          <w:p w14:paraId="563A6743">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东</w:t>
            </w:r>
          </w:p>
        </w:tc>
        <w:tc>
          <w:tcPr>
            <w:tcW w:w="1262" w:type="dxa"/>
            <w:gridSpan w:val="4"/>
            <w:noWrap w:val="0"/>
            <w:tcMar>
              <w:left w:w="0" w:type="dxa"/>
              <w:right w:w="0" w:type="dxa"/>
            </w:tcMar>
            <w:vAlign w:val="center"/>
          </w:tcPr>
          <w:p w14:paraId="01A20A7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2445</w:t>
            </w:r>
          </w:p>
        </w:tc>
        <w:tc>
          <w:tcPr>
            <w:tcW w:w="1228" w:type="dxa"/>
            <w:noWrap w:val="0"/>
            <w:tcMar>
              <w:left w:w="0" w:type="dxa"/>
              <w:right w:w="0" w:type="dxa"/>
            </w:tcMar>
            <w:vAlign w:val="center"/>
          </w:tcPr>
          <w:p w14:paraId="1595739A">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6DF36AA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2000</w:t>
            </w:r>
          </w:p>
        </w:tc>
      </w:tr>
      <w:tr w14:paraId="636A27E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26763CE0">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2C3295E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2804" w:type="dxa"/>
            <w:gridSpan w:val="4"/>
            <w:noWrap w:val="0"/>
            <w:tcMar>
              <w:left w:w="0" w:type="dxa"/>
              <w:right w:w="0" w:type="dxa"/>
            </w:tcMar>
            <w:vAlign w:val="center"/>
          </w:tcPr>
          <w:p w14:paraId="0B545EF0">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蚝蜊墩村</w:t>
            </w:r>
          </w:p>
        </w:tc>
        <w:tc>
          <w:tcPr>
            <w:tcW w:w="901" w:type="dxa"/>
            <w:noWrap w:val="0"/>
            <w:tcMar>
              <w:left w:w="0" w:type="dxa"/>
              <w:right w:w="0" w:type="dxa"/>
            </w:tcMar>
            <w:vAlign w:val="center"/>
          </w:tcPr>
          <w:p w14:paraId="1AD6704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w:t>
            </w:r>
          </w:p>
        </w:tc>
        <w:tc>
          <w:tcPr>
            <w:tcW w:w="1262" w:type="dxa"/>
            <w:gridSpan w:val="4"/>
            <w:noWrap w:val="0"/>
            <w:tcMar>
              <w:left w:w="0" w:type="dxa"/>
              <w:right w:w="0" w:type="dxa"/>
            </w:tcMar>
            <w:vAlign w:val="center"/>
          </w:tcPr>
          <w:p w14:paraId="4CA5967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3942</w:t>
            </w:r>
          </w:p>
        </w:tc>
        <w:tc>
          <w:tcPr>
            <w:tcW w:w="1228" w:type="dxa"/>
            <w:noWrap w:val="0"/>
            <w:tcMar>
              <w:left w:w="0" w:type="dxa"/>
              <w:right w:w="0" w:type="dxa"/>
            </w:tcMar>
            <w:vAlign w:val="center"/>
          </w:tcPr>
          <w:p w14:paraId="7FFDBF09">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42EF5D7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165</w:t>
            </w:r>
          </w:p>
        </w:tc>
      </w:tr>
      <w:tr w14:paraId="39EDB8C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13F5EA5A">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0D25A55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2804" w:type="dxa"/>
            <w:gridSpan w:val="4"/>
            <w:noWrap w:val="0"/>
            <w:tcMar>
              <w:left w:w="0" w:type="dxa"/>
              <w:right w:w="0" w:type="dxa"/>
            </w:tcMar>
            <w:vAlign w:val="center"/>
          </w:tcPr>
          <w:p w14:paraId="0BEB640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淡水湾村</w:t>
            </w:r>
          </w:p>
        </w:tc>
        <w:tc>
          <w:tcPr>
            <w:tcW w:w="901" w:type="dxa"/>
            <w:noWrap w:val="0"/>
            <w:tcMar>
              <w:left w:w="0" w:type="dxa"/>
              <w:right w:w="0" w:type="dxa"/>
            </w:tcMar>
            <w:vAlign w:val="center"/>
          </w:tcPr>
          <w:p w14:paraId="57FE79DC">
            <w:pPr>
              <w:adjustRightInd w:val="0"/>
              <w:snapToGrid w:val="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东南</w:t>
            </w:r>
          </w:p>
        </w:tc>
        <w:tc>
          <w:tcPr>
            <w:tcW w:w="1262" w:type="dxa"/>
            <w:gridSpan w:val="4"/>
            <w:noWrap w:val="0"/>
            <w:tcMar>
              <w:left w:w="0" w:type="dxa"/>
              <w:right w:w="0" w:type="dxa"/>
            </w:tcMar>
            <w:vAlign w:val="center"/>
          </w:tcPr>
          <w:p w14:paraId="1453238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2245</w:t>
            </w:r>
          </w:p>
        </w:tc>
        <w:tc>
          <w:tcPr>
            <w:tcW w:w="1228" w:type="dxa"/>
            <w:noWrap w:val="0"/>
            <w:tcMar>
              <w:left w:w="0" w:type="dxa"/>
              <w:right w:w="0" w:type="dxa"/>
            </w:tcMar>
            <w:vAlign w:val="center"/>
          </w:tcPr>
          <w:p w14:paraId="4F05FEAE">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学校</w:t>
            </w:r>
          </w:p>
        </w:tc>
        <w:tc>
          <w:tcPr>
            <w:tcW w:w="1244" w:type="dxa"/>
            <w:noWrap w:val="0"/>
            <w:tcMar>
              <w:left w:w="0" w:type="dxa"/>
              <w:right w:w="0" w:type="dxa"/>
            </w:tcMar>
            <w:vAlign w:val="center"/>
          </w:tcPr>
          <w:p w14:paraId="5E403DD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200</w:t>
            </w:r>
          </w:p>
        </w:tc>
      </w:tr>
      <w:tr w14:paraId="52E11BA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62B35D9D">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50BB630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2804" w:type="dxa"/>
            <w:gridSpan w:val="4"/>
            <w:noWrap w:val="0"/>
            <w:tcMar>
              <w:left w:w="0" w:type="dxa"/>
              <w:right w:w="0" w:type="dxa"/>
            </w:tcMar>
            <w:vAlign w:val="center"/>
          </w:tcPr>
          <w:p w14:paraId="00D4D270">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东港区第一幼儿园</w:t>
            </w:r>
          </w:p>
        </w:tc>
        <w:tc>
          <w:tcPr>
            <w:tcW w:w="901" w:type="dxa"/>
            <w:noWrap w:val="0"/>
            <w:tcMar>
              <w:left w:w="0" w:type="dxa"/>
              <w:right w:w="0" w:type="dxa"/>
            </w:tcMar>
            <w:vAlign w:val="center"/>
          </w:tcPr>
          <w:p w14:paraId="113406DB">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262" w:type="dxa"/>
            <w:gridSpan w:val="4"/>
            <w:noWrap w:val="0"/>
            <w:tcMar>
              <w:left w:w="0" w:type="dxa"/>
              <w:right w:w="0" w:type="dxa"/>
            </w:tcMar>
            <w:vAlign w:val="center"/>
          </w:tcPr>
          <w:p w14:paraId="254DBB5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3562</w:t>
            </w:r>
          </w:p>
        </w:tc>
        <w:tc>
          <w:tcPr>
            <w:tcW w:w="1228" w:type="dxa"/>
            <w:noWrap w:val="0"/>
            <w:tcMar>
              <w:left w:w="0" w:type="dxa"/>
              <w:right w:w="0" w:type="dxa"/>
            </w:tcMar>
            <w:vAlign w:val="center"/>
          </w:tcPr>
          <w:p w14:paraId="0E75A07A">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1CA513D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100</w:t>
            </w:r>
          </w:p>
        </w:tc>
      </w:tr>
      <w:tr w14:paraId="5278A9F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305A485B">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7769003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2804" w:type="dxa"/>
            <w:gridSpan w:val="4"/>
            <w:noWrap w:val="0"/>
            <w:tcMar>
              <w:left w:w="0" w:type="dxa"/>
              <w:right w:w="0" w:type="dxa"/>
            </w:tcMar>
            <w:vAlign w:val="center"/>
          </w:tcPr>
          <w:p w14:paraId="6F321BD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过山路村</w:t>
            </w:r>
          </w:p>
        </w:tc>
        <w:tc>
          <w:tcPr>
            <w:tcW w:w="901" w:type="dxa"/>
            <w:noWrap w:val="0"/>
            <w:tcMar>
              <w:left w:w="0" w:type="dxa"/>
              <w:right w:w="0" w:type="dxa"/>
            </w:tcMar>
            <w:vAlign w:val="center"/>
          </w:tcPr>
          <w:p w14:paraId="278FACA1">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262" w:type="dxa"/>
            <w:gridSpan w:val="4"/>
            <w:noWrap w:val="0"/>
            <w:tcMar>
              <w:left w:w="0" w:type="dxa"/>
              <w:right w:w="0" w:type="dxa"/>
            </w:tcMar>
            <w:vAlign w:val="center"/>
          </w:tcPr>
          <w:p w14:paraId="39F218C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3275</w:t>
            </w:r>
          </w:p>
        </w:tc>
        <w:tc>
          <w:tcPr>
            <w:tcW w:w="1228" w:type="dxa"/>
            <w:noWrap w:val="0"/>
            <w:tcMar>
              <w:left w:w="0" w:type="dxa"/>
              <w:right w:w="0" w:type="dxa"/>
            </w:tcMar>
            <w:vAlign w:val="center"/>
          </w:tcPr>
          <w:p w14:paraId="3A1F072A">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016D64F0">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420</w:t>
            </w:r>
          </w:p>
        </w:tc>
      </w:tr>
      <w:tr w14:paraId="01A175B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3955E217">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6C58255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2804" w:type="dxa"/>
            <w:gridSpan w:val="4"/>
            <w:noWrap w:val="0"/>
            <w:tcMar>
              <w:left w:w="0" w:type="dxa"/>
              <w:right w:w="0" w:type="dxa"/>
            </w:tcMar>
            <w:vAlign w:val="center"/>
          </w:tcPr>
          <w:p w14:paraId="5B7232CC">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鲎泊潭村</w:t>
            </w:r>
          </w:p>
        </w:tc>
        <w:tc>
          <w:tcPr>
            <w:tcW w:w="901" w:type="dxa"/>
            <w:noWrap w:val="0"/>
            <w:tcMar>
              <w:left w:w="0" w:type="dxa"/>
              <w:right w:w="0" w:type="dxa"/>
            </w:tcMar>
            <w:vAlign w:val="center"/>
          </w:tcPr>
          <w:p w14:paraId="6984CC80">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262" w:type="dxa"/>
            <w:gridSpan w:val="4"/>
            <w:noWrap w:val="0"/>
            <w:tcMar>
              <w:left w:w="0" w:type="dxa"/>
              <w:right w:w="0" w:type="dxa"/>
            </w:tcMar>
            <w:vAlign w:val="center"/>
          </w:tcPr>
          <w:p w14:paraId="6EC1ADEF">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3822</w:t>
            </w:r>
          </w:p>
        </w:tc>
        <w:tc>
          <w:tcPr>
            <w:tcW w:w="1228" w:type="dxa"/>
            <w:noWrap w:val="0"/>
            <w:tcMar>
              <w:left w:w="0" w:type="dxa"/>
              <w:right w:w="0" w:type="dxa"/>
            </w:tcMar>
            <w:vAlign w:val="center"/>
          </w:tcPr>
          <w:p w14:paraId="1B258659">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603FB82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700</w:t>
            </w:r>
          </w:p>
        </w:tc>
      </w:tr>
      <w:tr w14:paraId="0B6997A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32D8CE86">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7741ED6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2804" w:type="dxa"/>
            <w:gridSpan w:val="4"/>
            <w:noWrap w:val="0"/>
            <w:tcMar>
              <w:left w:w="0" w:type="dxa"/>
              <w:right w:w="0" w:type="dxa"/>
            </w:tcMar>
            <w:vAlign w:val="center"/>
          </w:tcPr>
          <w:p w14:paraId="22142A94">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鸡墩头村</w:t>
            </w:r>
          </w:p>
        </w:tc>
        <w:tc>
          <w:tcPr>
            <w:tcW w:w="901" w:type="dxa"/>
            <w:noWrap w:val="0"/>
            <w:tcMar>
              <w:left w:w="0" w:type="dxa"/>
              <w:right w:w="0" w:type="dxa"/>
            </w:tcMar>
            <w:vAlign w:val="center"/>
          </w:tcPr>
          <w:p w14:paraId="78D5910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262" w:type="dxa"/>
            <w:gridSpan w:val="4"/>
            <w:noWrap w:val="0"/>
            <w:tcMar>
              <w:left w:w="0" w:type="dxa"/>
              <w:right w:w="0" w:type="dxa"/>
            </w:tcMar>
            <w:vAlign w:val="center"/>
          </w:tcPr>
          <w:p w14:paraId="42B2801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4058</w:t>
            </w:r>
          </w:p>
        </w:tc>
        <w:tc>
          <w:tcPr>
            <w:tcW w:w="1228" w:type="dxa"/>
            <w:noWrap w:val="0"/>
            <w:tcMar>
              <w:left w:w="0" w:type="dxa"/>
              <w:right w:w="0" w:type="dxa"/>
            </w:tcMar>
            <w:vAlign w:val="center"/>
          </w:tcPr>
          <w:p w14:paraId="4117CC26">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0FCFDB8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650</w:t>
            </w:r>
          </w:p>
        </w:tc>
      </w:tr>
      <w:tr w14:paraId="3DAFACD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681CB14A">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344542F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2804" w:type="dxa"/>
            <w:gridSpan w:val="4"/>
            <w:noWrap w:val="0"/>
            <w:tcMar>
              <w:left w:w="0" w:type="dxa"/>
              <w:right w:w="0" w:type="dxa"/>
            </w:tcMar>
            <w:vAlign w:val="center"/>
          </w:tcPr>
          <w:p w14:paraId="2B70A0F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老鸦坑村</w:t>
            </w:r>
          </w:p>
        </w:tc>
        <w:tc>
          <w:tcPr>
            <w:tcW w:w="901" w:type="dxa"/>
            <w:noWrap w:val="0"/>
            <w:tcMar>
              <w:left w:w="0" w:type="dxa"/>
              <w:right w:w="0" w:type="dxa"/>
            </w:tcMar>
            <w:vAlign w:val="center"/>
          </w:tcPr>
          <w:p w14:paraId="783FE5CF">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262" w:type="dxa"/>
            <w:gridSpan w:val="4"/>
            <w:noWrap w:val="0"/>
            <w:tcMar>
              <w:left w:w="0" w:type="dxa"/>
              <w:right w:w="0" w:type="dxa"/>
            </w:tcMar>
            <w:vAlign w:val="center"/>
          </w:tcPr>
          <w:p w14:paraId="5246CE0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4887</w:t>
            </w:r>
          </w:p>
        </w:tc>
        <w:tc>
          <w:tcPr>
            <w:tcW w:w="1228" w:type="dxa"/>
            <w:noWrap w:val="0"/>
            <w:tcMar>
              <w:left w:w="0" w:type="dxa"/>
              <w:right w:w="0" w:type="dxa"/>
            </w:tcMar>
            <w:vAlign w:val="center"/>
          </w:tcPr>
          <w:p w14:paraId="5BD18FAB">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20A6C30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200</w:t>
            </w:r>
          </w:p>
        </w:tc>
      </w:tr>
      <w:tr w14:paraId="214487A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09E6AFE8">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730ACB8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2804" w:type="dxa"/>
            <w:gridSpan w:val="4"/>
            <w:noWrap w:val="0"/>
            <w:tcMar>
              <w:left w:w="0" w:type="dxa"/>
              <w:right w:w="0" w:type="dxa"/>
            </w:tcMar>
            <w:vAlign w:val="center"/>
          </w:tcPr>
          <w:p w14:paraId="5BA2A5B4">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钦州港第五小学</w:t>
            </w:r>
          </w:p>
        </w:tc>
        <w:tc>
          <w:tcPr>
            <w:tcW w:w="901" w:type="dxa"/>
            <w:noWrap w:val="0"/>
            <w:tcMar>
              <w:left w:w="0" w:type="dxa"/>
              <w:right w:w="0" w:type="dxa"/>
            </w:tcMar>
            <w:vAlign w:val="center"/>
          </w:tcPr>
          <w:p w14:paraId="37D0893F">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262" w:type="dxa"/>
            <w:gridSpan w:val="4"/>
            <w:noWrap w:val="0"/>
            <w:tcMar>
              <w:left w:w="0" w:type="dxa"/>
              <w:right w:w="0" w:type="dxa"/>
            </w:tcMar>
            <w:vAlign w:val="center"/>
          </w:tcPr>
          <w:p w14:paraId="6CC02E51">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4704</w:t>
            </w:r>
          </w:p>
        </w:tc>
        <w:tc>
          <w:tcPr>
            <w:tcW w:w="1228" w:type="dxa"/>
            <w:noWrap w:val="0"/>
            <w:tcMar>
              <w:left w:w="0" w:type="dxa"/>
              <w:right w:w="0" w:type="dxa"/>
            </w:tcMar>
            <w:vAlign w:val="center"/>
          </w:tcPr>
          <w:p w14:paraId="055AC1C6">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0A3F13C3">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700</w:t>
            </w:r>
          </w:p>
        </w:tc>
      </w:tr>
      <w:tr w14:paraId="06E9131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24E63889">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10534F4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2804" w:type="dxa"/>
            <w:gridSpan w:val="4"/>
            <w:noWrap w:val="0"/>
            <w:tcMar>
              <w:left w:w="0" w:type="dxa"/>
              <w:right w:w="0" w:type="dxa"/>
            </w:tcMar>
            <w:vAlign w:val="center"/>
          </w:tcPr>
          <w:p w14:paraId="131127F7">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果子山村</w:t>
            </w:r>
          </w:p>
        </w:tc>
        <w:tc>
          <w:tcPr>
            <w:tcW w:w="901" w:type="dxa"/>
            <w:noWrap w:val="0"/>
            <w:tcMar>
              <w:left w:w="0" w:type="dxa"/>
              <w:right w:w="0" w:type="dxa"/>
            </w:tcMar>
            <w:vAlign w:val="center"/>
          </w:tcPr>
          <w:p w14:paraId="1145A5B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西南</w:t>
            </w:r>
          </w:p>
        </w:tc>
        <w:tc>
          <w:tcPr>
            <w:tcW w:w="1262" w:type="dxa"/>
            <w:gridSpan w:val="4"/>
            <w:noWrap w:val="0"/>
            <w:tcMar>
              <w:left w:w="0" w:type="dxa"/>
              <w:right w:w="0" w:type="dxa"/>
            </w:tcMar>
            <w:vAlign w:val="center"/>
          </w:tcPr>
          <w:p w14:paraId="5321BB54">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4500</w:t>
            </w:r>
          </w:p>
        </w:tc>
        <w:tc>
          <w:tcPr>
            <w:tcW w:w="1228" w:type="dxa"/>
            <w:noWrap w:val="0"/>
            <w:tcMar>
              <w:left w:w="0" w:type="dxa"/>
              <w:right w:w="0" w:type="dxa"/>
            </w:tcMar>
            <w:vAlign w:val="center"/>
          </w:tcPr>
          <w:p w14:paraId="7BC73B48">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21416873">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1360</w:t>
            </w:r>
          </w:p>
        </w:tc>
      </w:tr>
      <w:tr w14:paraId="1EA6670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1DF28670">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1C6A923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1</w:t>
            </w:r>
          </w:p>
        </w:tc>
        <w:tc>
          <w:tcPr>
            <w:tcW w:w="2804" w:type="dxa"/>
            <w:gridSpan w:val="4"/>
            <w:noWrap w:val="0"/>
            <w:tcMar>
              <w:left w:w="0" w:type="dxa"/>
              <w:right w:w="0" w:type="dxa"/>
            </w:tcMar>
            <w:vAlign w:val="center"/>
          </w:tcPr>
          <w:p w14:paraId="0BC28C4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竹笼村</w:t>
            </w:r>
          </w:p>
        </w:tc>
        <w:tc>
          <w:tcPr>
            <w:tcW w:w="901" w:type="dxa"/>
            <w:noWrap w:val="0"/>
            <w:tcMar>
              <w:left w:w="0" w:type="dxa"/>
              <w:right w:w="0" w:type="dxa"/>
            </w:tcMar>
            <w:vAlign w:val="center"/>
          </w:tcPr>
          <w:p w14:paraId="5A3FDF7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西南</w:t>
            </w:r>
          </w:p>
        </w:tc>
        <w:tc>
          <w:tcPr>
            <w:tcW w:w="1262" w:type="dxa"/>
            <w:gridSpan w:val="4"/>
            <w:noWrap w:val="0"/>
            <w:tcMar>
              <w:left w:w="0" w:type="dxa"/>
              <w:right w:w="0" w:type="dxa"/>
            </w:tcMar>
            <w:vAlign w:val="center"/>
          </w:tcPr>
          <w:p w14:paraId="7A661B2F">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3490</w:t>
            </w:r>
          </w:p>
        </w:tc>
        <w:tc>
          <w:tcPr>
            <w:tcW w:w="1228" w:type="dxa"/>
            <w:noWrap w:val="0"/>
            <w:tcMar>
              <w:left w:w="0" w:type="dxa"/>
              <w:right w:w="0" w:type="dxa"/>
            </w:tcMar>
            <w:vAlign w:val="center"/>
          </w:tcPr>
          <w:p w14:paraId="072130AD">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78914CF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260</w:t>
            </w:r>
          </w:p>
        </w:tc>
      </w:tr>
      <w:tr w14:paraId="4E9E9A8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69102196">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16A2F79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2</w:t>
            </w:r>
          </w:p>
        </w:tc>
        <w:tc>
          <w:tcPr>
            <w:tcW w:w="2804" w:type="dxa"/>
            <w:gridSpan w:val="4"/>
            <w:noWrap w:val="0"/>
            <w:tcMar>
              <w:left w:w="0" w:type="dxa"/>
              <w:right w:w="0" w:type="dxa"/>
            </w:tcMar>
            <w:vAlign w:val="center"/>
          </w:tcPr>
          <w:p w14:paraId="0D87FD41">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水井坑村</w:t>
            </w:r>
          </w:p>
        </w:tc>
        <w:tc>
          <w:tcPr>
            <w:tcW w:w="901" w:type="dxa"/>
            <w:noWrap w:val="0"/>
            <w:tcMar>
              <w:left w:w="0" w:type="dxa"/>
              <w:right w:w="0" w:type="dxa"/>
            </w:tcMar>
            <w:vAlign w:val="center"/>
          </w:tcPr>
          <w:p w14:paraId="2055BDA0">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西南</w:t>
            </w:r>
          </w:p>
        </w:tc>
        <w:tc>
          <w:tcPr>
            <w:tcW w:w="1262" w:type="dxa"/>
            <w:gridSpan w:val="4"/>
            <w:noWrap w:val="0"/>
            <w:tcMar>
              <w:left w:w="0" w:type="dxa"/>
              <w:right w:w="0" w:type="dxa"/>
            </w:tcMar>
            <w:vAlign w:val="center"/>
          </w:tcPr>
          <w:p w14:paraId="6D30C0C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3450</w:t>
            </w:r>
          </w:p>
        </w:tc>
        <w:tc>
          <w:tcPr>
            <w:tcW w:w="1228" w:type="dxa"/>
            <w:noWrap w:val="0"/>
            <w:tcMar>
              <w:left w:w="0" w:type="dxa"/>
              <w:right w:w="0" w:type="dxa"/>
            </w:tcMar>
            <w:vAlign w:val="center"/>
          </w:tcPr>
          <w:p w14:paraId="0CA935C4">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658AB58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1200</w:t>
            </w:r>
          </w:p>
        </w:tc>
      </w:tr>
      <w:tr w14:paraId="4E6720C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2F5CE310">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51ABA39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3</w:t>
            </w:r>
          </w:p>
        </w:tc>
        <w:tc>
          <w:tcPr>
            <w:tcW w:w="2804" w:type="dxa"/>
            <w:gridSpan w:val="4"/>
            <w:noWrap w:val="0"/>
            <w:tcMar>
              <w:left w:w="0" w:type="dxa"/>
              <w:right w:w="0" w:type="dxa"/>
            </w:tcMar>
            <w:vAlign w:val="center"/>
          </w:tcPr>
          <w:p w14:paraId="1EB41221">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三块田村</w:t>
            </w:r>
          </w:p>
        </w:tc>
        <w:tc>
          <w:tcPr>
            <w:tcW w:w="901" w:type="dxa"/>
            <w:noWrap w:val="0"/>
            <w:tcMar>
              <w:left w:w="0" w:type="dxa"/>
              <w:right w:w="0" w:type="dxa"/>
            </w:tcMar>
            <w:vAlign w:val="center"/>
          </w:tcPr>
          <w:p w14:paraId="09523C5D">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西南</w:t>
            </w:r>
          </w:p>
        </w:tc>
        <w:tc>
          <w:tcPr>
            <w:tcW w:w="1262" w:type="dxa"/>
            <w:gridSpan w:val="4"/>
            <w:noWrap w:val="0"/>
            <w:tcMar>
              <w:left w:w="0" w:type="dxa"/>
              <w:right w:w="0" w:type="dxa"/>
            </w:tcMar>
            <w:vAlign w:val="center"/>
          </w:tcPr>
          <w:p w14:paraId="1E102D2D">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2838</w:t>
            </w:r>
          </w:p>
        </w:tc>
        <w:tc>
          <w:tcPr>
            <w:tcW w:w="1228" w:type="dxa"/>
            <w:noWrap w:val="0"/>
            <w:tcMar>
              <w:left w:w="0" w:type="dxa"/>
              <w:right w:w="0" w:type="dxa"/>
            </w:tcMar>
            <w:vAlign w:val="center"/>
          </w:tcPr>
          <w:p w14:paraId="647EF9E6">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居住区</w:t>
            </w:r>
          </w:p>
        </w:tc>
        <w:tc>
          <w:tcPr>
            <w:tcW w:w="1244" w:type="dxa"/>
            <w:noWrap w:val="0"/>
            <w:tcMar>
              <w:left w:w="0" w:type="dxa"/>
              <w:right w:w="0" w:type="dxa"/>
            </w:tcMar>
            <w:vAlign w:val="center"/>
          </w:tcPr>
          <w:p w14:paraId="32C595ED">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150</w:t>
            </w:r>
          </w:p>
        </w:tc>
      </w:tr>
      <w:tr w14:paraId="56289F2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4B09E4C3">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0F5999B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c>
          <w:tcPr>
            <w:tcW w:w="2804" w:type="dxa"/>
            <w:gridSpan w:val="4"/>
            <w:noWrap w:val="0"/>
            <w:tcMar>
              <w:left w:w="0" w:type="dxa"/>
              <w:right w:w="0" w:type="dxa"/>
            </w:tcMar>
            <w:vAlign w:val="center"/>
          </w:tcPr>
          <w:p w14:paraId="6F761026">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滨海社区</w:t>
            </w:r>
          </w:p>
        </w:tc>
        <w:tc>
          <w:tcPr>
            <w:tcW w:w="901" w:type="dxa"/>
            <w:noWrap w:val="0"/>
            <w:tcMar>
              <w:left w:w="0" w:type="dxa"/>
              <w:right w:w="0" w:type="dxa"/>
            </w:tcMar>
            <w:vAlign w:val="center"/>
          </w:tcPr>
          <w:p w14:paraId="10AF108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西南</w:t>
            </w:r>
          </w:p>
        </w:tc>
        <w:tc>
          <w:tcPr>
            <w:tcW w:w="1262" w:type="dxa"/>
            <w:gridSpan w:val="4"/>
            <w:noWrap w:val="0"/>
            <w:tcMar>
              <w:left w:w="0" w:type="dxa"/>
              <w:right w:w="0" w:type="dxa"/>
            </w:tcMar>
            <w:vAlign w:val="center"/>
          </w:tcPr>
          <w:p w14:paraId="6FC5AFE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3470</w:t>
            </w:r>
          </w:p>
        </w:tc>
        <w:tc>
          <w:tcPr>
            <w:tcW w:w="1228" w:type="dxa"/>
            <w:noWrap w:val="0"/>
            <w:tcMar>
              <w:left w:w="0" w:type="dxa"/>
              <w:right w:w="0" w:type="dxa"/>
            </w:tcMar>
            <w:vAlign w:val="center"/>
          </w:tcPr>
          <w:p w14:paraId="5EBACE61">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269D8B97">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11000</w:t>
            </w:r>
          </w:p>
        </w:tc>
      </w:tr>
      <w:tr w14:paraId="5A38C26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69C08584">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01FF8DA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2804" w:type="dxa"/>
            <w:gridSpan w:val="4"/>
            <w:noWrap w:val="0"/>
            <w:tcMar>
              <w:left w:w="0" w:type="dxa"/>
              <w:right w:w="0" w:type="dxa"/>
            </w:tcMar>
            <w:vAlign w:val="center"/>
          </w:tcPr>
          <w:p w14:paraId="65F439F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滨海医院</w:t>
            </w:r>
          </w:p>
        </w:tc>
        <w:tc>
          <w:tcPr>
            <w:tcW w:w="901" w:type="dxa"/>
            <w:noWrap w:val="0"/>
            <w:tcMar>
              <w:left w:w="0" w:type="dxa"/>
              <w:right w:w="0" w:type="dxa"/>
            </w:tcMar>
            <w:vAlign w:val="center"/>
          </w:tcPr>
          <w:p w14:paraId="3F05BCE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西南</w:t>
            </w:r>
          </w:p>
        </w:tc>
        <w:tc>
          <w:tcPr>
            <w:tcW w:w="1262" w:type="dxa"/>
            <w:gridSpan w:val="4"/>
            <w:noWrap w:val="0"/>
            <w:tcMar>
              <w:left w:w="0" w:type="dxa"/>
              <w:right w:w="0" w:type="dxa"/>
            </w:tcMar>
            <w:vAlign w:val="center"/>
          </w:tcPr>
          <w:p w14:paraId="4F9F4D3F">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3436</w:t>
            </w:r>
          </w:p>
        </w:tc>
        <w:tc>
          <w:tcPr>
            <w:tcW w:w="1228" w:type="dxa"/>
            <w:noWrap w:val="0"/>
            <w:tcMar>
              <w:left w:w="0" w:type="dxa"/>
              <w:right w:w="0" w:type="dxa"/>
            </w:tcMar>
            <w:vAlign w:val="center"/>
          </w:tcPr>
          <w:p w14:paraId="503E07C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医院</w:t>
            </w:r>
          </w:p>
        </w:tc>
        <w:tc>
          <w:tcPr>
            <w:tcW w:w="1244" w:type="dxa"/>
            <w:noWrap w:val="0"/>
            <w:tcMar>
              <w:left w:w="0" w:type="dxa"/>
              <w:right w:w="0" w:type="dxa"/>
            </w:tcMar>
            <w:vAlign w:val="center"/>
          </w:tcPr>
          <w:p w14:paraId="382BCDE9">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300</w:t>
            </w:r>
          </w:p>
        </w:tc>
      </w:tr>
      <w:tr w14:paraId="6F248CE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5C632540">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7977315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w:t>
            </w:r>
          </w:p>
        </w:tc>
        <w:tc>
          <w:tcPr>
            <w:tcW w:w="2804" w:type="dxa"/>
            <w:gridSpan w:val="4"/>
            <w:noWrap w:val="0"/>
            <w:tcMar>
              <w:left w:w="0" w:type="dxa"/>
              <w:right w:w="0" w:type="dxa"/>
            </w:tcMar>
            <w:vAlign w:val="center"/>
          </w:tcPr>
          <w:p w14:paraId="274AB159">
            <w:pPr>
              <w:adjustRightInd w:val="0"/>
              <w:snapToGrid w:val="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钦州市第一人民医院钦州港分院</w:t>
            </w:r>
          </w:p>
        </w:tc>
        <w:tc>
          <w:tcPr>
            <w:tcW w:w="901" w:type="dxa"/>
            <w:noWrap w:val="0"/>
            <w:tcMar>
              <w:left w:w="0" w:type="dxa"/>
              <w:right w:w="0" w:type="dxa"/>
            </w:tcMar>
            <w:vAlign w:val="center"/>
          </w:tcPr>
          <w:p w14:paraId="21A83CD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w:t>
            </w:r>
          </w:p>
        </w:tc>
        <w:tc>
          <w:tcPr>
            <w:tcW w:w="1262" w:type="dxa"/>
            <w:gridSpan w:val="4"/>
            <w:noWrap w:val="0"/>
            <w:tcMar>
              <w:left w:w="0" w:type="dxa"/>
              <w:right w:w="0" w:type="dxa"/>
            </w:tcMar>
            <w:vAlign w:val="center"/>
          </w:tcPr>
          <w:p w14:paraId="637528D7">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3190</w:t>
            </w:r>
          </w:p>
        </w:tc>
        <w:tc>
          <w:tcPr>
            <w:tcW w:w="1228" w:type="dxa"/>
            <w:noWrap w:val="0"/>
            <w:tcMar>
              <w:left w:w="0" w:type="dxa"/>
              <w:right w:w="0" w:type="dxa"/>
            </w:tcMar>
            <w:vAlign w:val="center"/>
          </w:tcPr>
          <w:p w14:paraId="139BEC3F">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医院</w:t>
            </w:r>
          </w:p>
        </w:tc>
        <w:tc>
          <w:tcPr>
            <w:tcW w:w="1244" w:type="dxa"/>
            <w:noWrap w:val="0"/>
            <w:tcMar>
              <w:left w:w="0" w:type="dxa"/>
              <w:right w:w="0" w:type="dxa"/>
            </w:tcMar>
            <w:vAlign w:val="center"/>
          </w:tcPr>
          <w:p w14:paraId="36BFEF2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500</w:t>
            </w:r>
          </w:p>
        </w:tc>
      </w:tr>
      <w:tr w14:paraId="1E7EC9B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1597717B">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6577BEA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7</w:t>
            </w:r>
          </w:p>
        </w:tc>
        <w:tc>
          <w:tcPr>
            <w:tcW w:w="2804" w:type="dxa"/>
            <w:gridSpan w:val="4"/>
            <w:noWrap w:val="0"/>
            <w:tcMar>
              <w:left w:w="0" w:type="dxa"/>
              <w:right w:w="0" w:type="dxa"/>
            </w:tcMar>
            <w:vAlign w:val="center"/>
          </w:tcPr>
          <w:p w14:paraId="0735F35C">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亚路江社区</w:t>
            </w:r>
          </w:p>
        </w:tc>
        <w:tc>
          <w:tcPr>
            <w:tcW w:w="901" w:type="dxa"/>
            <w:noWrap w:val="0"/>
            <w:tcMar>
              <w:left w:w="0" w:type="dxa"/>
              <w:right w:w="0" w:type="dxa"/>
            </w:tcMar>
            <w:vAlign w:val="center"/>
          </w:tcPr>
          <w:p w14:paraId="0145CEB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w:t>
            </w:r>
          </w:p>
        </w:tc>
        <w:tc>
          <w:tcPr>
            <w:tcW w:w="1262" w:type="dxa"/>
            <w:gridSpan w:val="4"/>
            <w:noWrap w:val="0"/>
            <w:tcMar>
              <w:left w:w="0" w:type="dxa"/>
              <w:right w:w="0" w:type="dxa"/>
            </w:tcMar>
            <w:vAlign w:val="center"/>
          </w:tcPr>
          <w:p w14:paraId="216B96D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3190</w:t>
            </w:r>
          </w:p>
        </w:tc>
        <w:tc>
          <w:tcPr>
            <w:tcW w:w="1228" w:type="dxa"/>
            <w:noWrap w:val="0"/>
            <w:tcMar>
              <w:left w:w="0" w:type="dxa"/>
              <w:right w:w="0" w:type="dxa"/>
            </w:tcMar>
            <w:vAlign w:val="center"/>
          </w:tcPr>
          <w:p w14:paraId="7930D516">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0CD514B0">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10000</w:t>
            </w:r>
          </w:p>
        </w:tc>
      </w:tr>
      <w:tr w14:paraId="0702D1F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3CD9C875">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09E0AFC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8</w:t>
            </w:r>
          </w:p>
        </w:tc>
        <w:tc>
          <w:tcPr>
            <w:tcW w:w="2804" w:type="dxa"/>
            <w:gridSpan w:val="4"/>
            <w:noWrap w:val="0"/>
            <w:tcMar>
              <w:left w:w="0" w:type="dxa"/>
              <w:right w:w="0" w:type="dxa"/>
            </w:tcMar>
            <w:vAlign w:val="center"/>
          </w:tcPr>
          <w:p w14:paraId="634AC845">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勒沟村</w:t>
            </w:r>
          </w:p>
        </w:tc>
        <w:tc>
          <w:tcPr>
            <w:tcW w:w="901" w:type="dxa"/>
            <w:noWrap w:val="0"/>
            <w:tcMar>
              <w:left w:w="0" w:type="dxa"/>
              <w:right w:w="0" w:type="dxa"/>
            </w:tcMar>
            <w:vAlign w:val="center"/>
          </w:tcPr>
          <w:p w14:paraId="5A4BA5D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西南</w:t>
            </w:r>
          </w:p>
        </w:tc>
        <w:tc>
          <w:tcPr>
            <w:tcW w:w="1262" w:type="dxa"/>
            <w:gridSpan w:val="4"/>
            <w:noWrap w:val="0"/>
            <w:tcMar>
              <w:left w:w="0" w:type="dxa"/>
              <w:right w:w="0" w:type="dxa"/>
            </w:tcMar>
            <w:vAlign w:val="center"/>
          </w:tcPr>
          <w:p w14:paraId="59F023E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4470</w:t>
            </w:r>
          </w:p>
        </w:tc>
        <w:tc>
          <w:tcPr>
            <w:tcW w:w="1228" w:type="dxa"/>
            <w:noWrap w:val="0"/>
            <w:tcMar>
              <w:left w:w="0" w:type="dxa"/>
              <w:right w:w="0" w:type="dxa"/>
            </w:tcMar>
            <w:vAlign w:val="center"/>
          </w:tcPr>
          <w:p w14:paraId="19A891ED">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1F0422A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7500</w:t>
            </w:r>
          </w:p>
        </w:tc>
      </w:tr>
      <w:tr w14:paraId="634C0A0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15B0DA8D">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252A801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w:t>
            </w:r>
          </w:p>
        </w:tc>
        <w:tc>
          <w:tcPr>
            <w:tcW w:w="2804" w:type="dxa"/>
            <w:gridSpan w:val="4"/>
            <w:noWrap w:val="0"/>
            <w:tcMar>
              <w:left w:w="0" w:type="dxa"/>
              <w:right w:w="0" w:type="dxa"/>
            </w:tcMar>
            <w:vAlign w:val="center"/>
          </w:tcPr>
          <w:p w14:paraId="243F258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沙岗头村</w:t>
            </w:r>
          </w:p>
        </w:tc>
        <w:tc>
          <w:tcPr>
            <w:tcW w:w="901" w:type="dxa"/>
            <w:noWrap w:val="0"/>
            <w:tcMar>
              <w:left w:w="0" w:type="dxa"/>
              <w:right w:w="0" w:type="dxa"/>
            </w:tcMar>
            <w:vAlign w:val="center"/>
          </w:tcPr>
          <w:p w14:paraId="667C9A99">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w:t>
            </w:r>
          </w:p>
        </w:tc>
        <w:tc>
          <w:tcPr>
            <w:tcW w:w="1262" w:type="dxa"/>
            <w:gridSpan w:val="4"/>
            <w:noWrap w:val="0"/>
            <w:tcMar>
              <w:left w:w="0" w:type="dxa"/>
              <w:right w:w="0" w:type="dxa"/>
            </w:tcMar>
            <w:vAlign w:val="center"/>
          </w:tcPr>
          <w:p w14:paraId="70813469">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296</w:t>
            </w:r>
          </w:p>
        </w:tc>
        <w:tc>
          <w:tcPr>
            <w:tcW w:w="1228" w:type="dxa"/>
            <w:noWrap w:val="0"/>
            <w:tcMar>
              <w:left w:w="0" w:type="dxa"/>
              <w:right w:w="0" w:type="dxa"/>
            </w:tcMar>
            <w:vAlign w:val="center"/>
          </w:tcPr>
          <w:p w14:paraId="1BC0A342">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1DC805A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550</w:t>
            </w:r>
          </w:p>
        </w:tc>
      </w:tr>
      <w:tr w14:paraId="0B95511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1D1F423D">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68A73B0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2804" w:type="dxa"/>
            <w:gridSpan w:val="4"/>
            <w:noWrap w:val="0"/>
            <w:tcMar>
              <w:left w:w="0" w:type="dxa"/>
              <w:right w:w="0" w:type="dxa"/>
            </w:tcMar>
            <w:vAlign w:val="center"/>
          </w:tcPr>
          <w:p w14:paraId="0BEC0167">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旧村</w:t>
            </w:r>
          </w:p>
        </w:tc>
        <w:tc>
          <w:tcPr>
            <w:tcW w:w="901" w:type="dxa"/>
            <w:noWrap w:val="0"/>
            <w:tcMar>
              <w:left w:w="0" w:type="dxa"/>
              <w:right w:w="0" w:type="dxa"/>
            </w:tcMar>
            <w:vAlign w:val="center"/>
          </w:tcPr>
          <w:p w14:paraId="43DF061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w:t>
            </w:r>
          </w:p>
        </w:tc>
        <w:tc>
          <w:tcPr>
            <w:tcW w:w="1262" w:type="dxa"/>
            <w:gridSpan w:val="4"/>
            <w:noWrap w:val="0"/>
            <w:tcMar>
              <w:left w:w="0" w:type="dxa"/>
              <w:right w:w="0" w:type="dxa"/>
            </w:tcMar>
            <w:vAlign w:val="center"/>
          </w:tcPr>
          <w:p w14:paraId="35ACE6F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844</w:t>
            </w:r>
          </w:p>
        </w:tc>
        <w:tc>
          <w:tcPr>
            <w:tcW w:w="1228" w:type="dxa"/>
            <w:noWrap w:val="0"/>
            <w:tcMar>
              <w:left w:w="0" w:type="dxa"/>
              <w:right w:w="0" w:type="dxa"/>
            </w:tcMar>
            <w:vAlign w:val="center"/>
          </w:tcPr>
          <w:p w14:paraId="28DAB4DF">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14832EE1">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200</w:t>
            </w:r>
          </w:p>
        </w:tc>
      </w:tr>
      <w:tr w14:paraId="40DA155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36D82984">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48A3958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w:t>
            </w:r>
          </w:p>
        </w:tc>
        <w:tc>
          <w:tcPr>
            <w:tcW w:w="2804" w:type="dxa"/>
            <w:gridSpan w:val="4"/>
            <w:noWrap w:val="0"/>
            <w:tcMar>
              <w:left w:w="0" w:type="dxa"/>
              <w:right w:w="0" w:type="dxa"/>
            </w:tcMar>
            <w:vAlign w:val="center"/>
          </w:tcPr>
          <w:p w14:paraId="0CA7B2C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南港村</w:t>
            </w:r>
          </w:p>
        </w:tc>
        <w:tc>
          <w:tcPr>
            <w:tcW w:w="901" w:type="dxa"/>
            <w:noWrap w:val="0"/>
            <w:tcMar>
              <w:left w:w="0" w:type="dxa"/>
              <w:right w:w="0" w:type="dxa"/>
            </w:tcMar>
            <w:vAlign w:val="center"/>
          </w:tcPr>
          <w:p w14:paraId="77BD7F9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西北</w:t>
            </w:r>
          </w:p>
        </w:tc>
        <w:tc>
          <w:tcPr>
            <w:tcW w:w="1262" w:type="dxa"/>
            <w:gridSpan w:val="4"/>
            <w:noWrap w:val="0"/>
            <w:tcMar>
              <w:left w:w="0" w:type="dxa"/>
              <w:right w:w="0" w:type="dxa"/>
            </w:tcMar>
            <w:vAlign w:val="center"/>
          </w:tcPr>
          <w:p w14:paraId="43A0DFA7">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1890</w:t>
            </w:r>
          </w:p>
        </w:tc>
        <w:tc>
          <w:tcPr>
            <w:tcW w:w="1228" w:type="dxa"/>
            <w:noWrap w:val="0"/>
            <w:tcMar>
              <w:left w:w="0" w:type="dxa"/>
              <w:right w:w="0" w:type="dxa"/>
            </w:tcMar>
            <w:vAlign w:val="center"/>
          </w:tcPr>
          <w:p w14:paraId="5DFFB879">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7CB8830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530</w:t>
            </w:r>
          </w:p>
        </w:tc>
      </w:tr>
      <w:tr w14:paraId="6763661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0F8D8AF9">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7DF3502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c>
          <w:tcPr>
            <w:tcW w:w="2804" w:type="dxa"/>
            <w:gridSpan w:val="4"/>
            <w:noWrap w:val="0"/>
            <w:tcMar>
              <w:left w:w="0" w:type="dxa"/>
              <w:right w:w="0" w:type="dxa"/>
            </w:tcMar>
            <w:vAlign w:val="center"/>
          </w:tcPr>
          <w:p w14:paraId="1D28A0F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天塘村</w:t>
            </w:r>
          </w:p>
        </w:tc>
        <w:tc>
          <w:tcPr>
            <w:tcW w:w="901" w:type="dxa"/>
            <w:noWrap w:val="0"/>
            <w:tcMar>
              <w:left w:w="0" w:type="dxa"/>
              <w:right w:w="0" w:type="dxa"/>
            </w:tcMar>
            <w:vAlign w:val="center"/>
          </w:tcPr>
          <w:p w14:paraId="7F61AD3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北</w:t>
            </w:r>
          </w:p>
        </w:tc>
        <w:tc>
          <w:tcPr>
            <w:tcW w:w="1262" w:type="dxa"/>
            <w:gridSpan w:val="4"/>
            <w:noWrap w:val="0"/>
            <w:tcMar>
              <w:left w:w="0" w:type="dxa"/>
              <w:right w:w="0" w:type="dxa"/>
            </w:tcMar>
            <w:vAlign w:val="center"/>
          </w:tcPr>
          <w:p w14:paraId="1D75DC01">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722</w:t>
            </w:r>
          </w:p>
        </w:tc>
        <w:tc>
          <w:tcPr>
            <w:tcW w:w="1228" w:type="dxa"/>
            <w:noWrap w:val="0"/>
            <w:tcMar>
              <w:left w:w="0" w:type="dxa"/>
              <w:right w:w="0" w:type="dxa"/>
            </w:tcMar>
            <w:vAlign w:val="center"/>
          </w:tcPr>
          <w:p w14:paraId="43D7723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1648B099">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200</w:t>
            </w:r>
          </w:p>
        </w:tc>
      </w:tr>
      <w:tr w14:paraId="2C5361A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439D9166">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61EE99AC">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2804" w:type="dxa"/>
            <w:gridSpan w:val="4"/>
            <w:noWrap w:val="0"/>
            <w:tcMar>
              <w:left w:w="0" w:type="dxa"/>
              <w:right w:w="0" w:type="dxa"/>
            </w:tcMar>
            <w:vAlign w:val="center"/>
          </w:tcPr>
          <w:p w14:paraId="6B20C68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侬儿墩村</w:t>
            </w:r>
          </w:p>
        </w:tc>
        <w:tc>
          <w:tcPr>
            <w:tcW w:w="901" w:type="dxa"/>
            <w:noWrap w:val="0"/>
            <w:tcMar>
              <w:left w:w="0" w:type="dxa"/>
              <w:right w:w="0" w:type="dxa"/>
            </w:tcMar>
            <w:vAlign w:val="center"/>
          </w:tcPr>
          <w:p w14:paraId="504BD2B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北</w:t>
            </w:r>
          </w:p>
        </w:tc>
        <w:tc>
          <w:tcPr>
            <w:tcW w:w="1262" w:type="dxa"/>
            <w:gridSpan w:val="4"/>
            <w:noWrap w:val="0"/>
            <w:tcMar>
              <w:left w:w="0" w:type="dxa"/>
              <w:right w:w="0" w:type="dxa"/>
            </w:tcMar>
            <w:vAlign w:val="center"/>
          </w:tcPr>
          <w:p w14:paraId="0DA210E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2664</w:t>
            </w:r>
          </w:p>
        </w:tc>
        <w:tc>
          <w:tcPr>
            <w:tcW w:w="1228" w:type="dxa"/>
            <w:noWrap w:val="0"/>
            <w:tcMar>
              <w:left w:w="0" w:type="dxa"/>
              <w:right w:w="0" w:type="dxa"/>
            </w:tcMar>
            <w:vAlign w:val="center"/>
          </w:tcPr>
          <w:p w14:paraId="3B5AD1E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177233C1">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210</w:t>
            </w:r>
          </w:p>
        </w:tc>
      </w:tr>
      <w:tr w14:paraId="352C1FC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3FD30236">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4742E43C">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w:t>
            </w:r>
          </w:p>
        </w:tc>
        <w:tc>
          <w:tcPr>
            <w:tcW w:w="2804" w:type="dxa"/>
            <w:gridSpan w:val="4"/>
            <w:noWrap w:val="0"/>
            <w:tcMar>
              <w:left w:w="0" w:type="dxa"/>
              <w:right w:w="0" w:type="dxa"/>
            </w:tcMar>
            <w:vAlign w:val="center"/>
          </w:tcPr>
          <w:p w14:paraId="6BE056A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矮江村</w:t>
            </w:r>
          </w:p>
        </w:tc>
        <w:tc>
          <w:tcPr>
            <w:tcW w:w="901" w:type="dxa"/>
            <w:noWrap w:val="0"/>
            <w:tcMar>
              <w:left w:w="0" w:type="dxa"/>
              <w:right w:w="0" w:type="dxa"/>
            </w:tcMar>
            <w:vAlign w:val="center"/>
          </w:tcPr>
          <w:p w14:paraId="532F22D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北</w:t>
            </w:r>
          </w:p>
        </w:tc>
        <w:tc>
          <w:tcPr>
            <w:tcW w:w="1262" w:type="dxa"/>
            <w:gridSpan w:val="4"/>
            <w:noWrap w:val="0"/>
            <w:tcMar>
              <w:left w:w="0" w:type="dxa"/>
              <w:right w:w="0" w:type="dxa"/>
            </w:tcMar>
            <w:vAlign w:val="center"/>
          </w:tcPr>
          <w:p w14:paraId="5540881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3609</w:t>
            </w:r>
          </w:p>
        </w:tc>
        <w:tc>
          <w:tcPr>
            <w:tcW w:w="1228" w:type="dxa"/>
            <w:noWrap w:val="0"/>
            <w:tcMar>
              <w:left w:w="0" w:type="dxa"/>
              <w:right w:w="0" w:type="dxa"/>
            </w:tcMar>
            <w:vAlign w:val="center"/>
          </w:tcPr>
          <w:p w14:paraId="420820A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1E6E0787">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60</w:t>
            </w:r>
          </w:p>
        </w:tc>
      </w:tr>
      <w:tr w14:paraId="378CFAF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5BD4EC13">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1AA31FF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2804" w:type="dxa"/>
            <w:gridSpan w:val="4"/>
            <w:noWrap w:val="0"/>
            <w:tcMar>
              <w:left w:w="0" w:type="dxa"/>
              <w:right w:w="0" w:type="dxa"/>
            </w:tcMar>
            <w:vAlign w:val="center"/>
          </w:tcPr>
          <w:p w14:paraId="2D69880D">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围田沟村</w:t>
            </w:r>
          </w:p>
        </w:tc>
        <w:tc>
          <w:tcPr>
            <w:tcW w:w="901" w:type="dxa"/>
            <w:noWrap w:val="0"/>
            <w:tcMar>
              <w:left w:w="0" w:type="dxa"/>
              <w:right w:w="0" w:type="dxa"/>
            </w:tcMar>
            <w:vAlign w:val="center"/>
          </w:tcPr>
          <w:p w14:paraId="2C0CD66B">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北</w:t>
            </w:r>
          </w:p>
        </w:tc>
        <w:tc>
          <w:tcPr>
            <w:tcW w:w="1262" w:type="dxa"/>
            <w:gridSpan w:val="4"/>
            <w:noWrap w:val="0"/>
            <w:tcMar>
              <w:left w:w="0" w:type="dxa"/>
              <w:right w:w="0" w:type="dxa"/>
            </w:tcMar>
            <w:vAlign w:val="center"/>
          </w:tcPr>
          <w:p w14:paraId="6CC31B77">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4371</w:t>
            </w:r>
          </w:p>
        </w:tc>
        <w:tc>
          <w:tcPr>
            <w:tcW w:w="1228" w:type="dxa"/>
            <w:noWrap w:val="0"/>
            <w:tcMar>
              <w:left w:w="0" w:type="dxa"/>
              <w:right w:w="0" w:type="dxa"/>
            </w:tcMar>
            <w:vAlign w:val="center"/>
          </w:tcPr>
          <w:p w14:paraId="100F0B8A">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17CBAF79">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40</w:t>
            </w:r>
          </w:p>
        </w:tc>
      </w:tr>
      <w:tr w14:paraId="3B44022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27EBDF88">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0F0FB29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p>
        </w:tc>
        <w:tc>
          <w:tcPr>
            <w:tcW w:w="2804" w:type="dxa"/>
            <w:gridSpan w:val="4"/>
            <w:noWrap w:val="0"/>
            <w:tcMar>
              <w:left w:w="0" w:type="dxa"/>
              <w:right w:w="0" w:type="dxa"/>
            </w:tcMar>
            <w:vAlign w:val="center"/>
          </w:tcPr>
          <w:p w14:paraId="02C0A023">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坪下村</w:t>
            </w:r>
          </w:p>
        </w:tc>
        <w:tc>
          <w:tcPr>
            <w:tcW w:w="901" w:type="dxa"/>
            <w:noWrap w:val="0"/>
            <w:tcMar>
              <w:left w:w="0" w:type="dxa"/>
              <w:right w:w="0" w:type="dxa"/>
            </w:tcMar>
            <w:vAlign w:val="center"/>
          </w:tcPr>
          <w:p w14:paraId="166B37A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北</w:t>
            </w:r>
          </w:p>
        </w:tc>
        <w:tc>
          <w:tcPr>
            <w:tcW w:w="1262" w:type="dxa"/>
            <w:gridSpan w:val="4"/>
            <w:noWrap w:val="0"/>
            <w:tcMar>
              <w:left w:w="0" w:type="dxa"/>
              <w:right w:w="0" w:type="dxa"/>
            </w:tcMar>
            <w:vAlign w:val="center"/>
          </w:tcPr>
          <w:p w14:paraId="0F752BB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5000</w:t>
            </w:r>
          </w:p>
        </w:tc>
        <w:tc>
          <w:tcPr>
            <w:tcW w:w="1228" w:type="dxa"/>
            <w:noWrap w:val="0"/>
            <w:tcMar>
              <w:left w:w="0" w:type="dxa"/>
              <w:right w:w="0" w:type="dxa"/>
            </w:tcMar>
            <w:vAlign w:val="center"/>
          </w:tcPr>
          <w:p w14:paraId="1FAF0D2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居住区</w:t>
            </w:r>
          </w:p>
        </w:tc>
        <w:tc>
          <w:tcPr>
            <w:tcW w:w="1244" w:type="dxa"/>
            <w:noWrap w:val="0"/>
            <w:tcMar>
              <w:left w:w="0" w:type="dxa"/>
              <w:right w:w="0" w:type="dxa"/>
            </w:tcMar>
            <w:vAlign w:val="center"/>
          </w:tcPr>
          <w:p w14:paraId="72E87E2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70</w:t>
            </w:r>
          </w:p>
        </w:tc>
      </w:tr>
      <w:tr w14:paraId="5CF51DB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6B6EB498">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272C9F6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w:t>
            </w:r>
          </w:p>
        </w:tc>
        <w:tc>
          <w:tcPr>
            <w:tcW w:w="2804" w:type="dxa"/>
            <w:gridSpan w:val="4"/>
            <w:noWrap w:val="0"/>
            <w:tcMar>
              <w:left w:w="0" w:type="dxa"/>
              <w:right w:w="0" w:type="dxa"/>
            </w:tcMar>
            <w:vAlign w:val="center"/>
          </w:tcPr>
          <w:p w14:paraId="74C1673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钦州市第一中学钦州港校区</w:t>
            </w:r>
          </w:p>
        </w:tc>
        <w:tc>
          <w:tcPr>
            <w:tcW w:w="901" w:type="dxa"/>
            <w:noWrap w:val="0"/>
            <w:tcMar>
              <w:left w:w="0" w:type="dxa"/>
              <w:right w:w="0" w:type="dxa"/>
            </w:tcMar>
            <w:vAlign w:val="center"/>
          </w:tcPr>
          <w:p w14:paraId="0BAA965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262" w:type="dxa"/>
            <w:gridSpan w:val="4"/>
            <w:noWrap w:val="0"/>
            <w:tcMar>
              <w:left w:w="0" w:type="dxa"/>
              <w:right w:w="0" w:type="dxa"/>
            </w:tcMar>
            <w:vAlign w:val="center"/>
          </w:tcPr>
          <w:p w14:paraId="2ABCCCB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3000</w:t>
            </w:r>
          </w:p>
        </w:tc>
        <w:tc>
          <w:tcPr>
            <w:tcW w:w="1228" w:type="dxa"/>
            <w:noWrap w:val="0"/>
            <w:tcMar>
              <w:left w:w="0" w:type="dxa"/>
              <w:right w:w="0" w:type="dxa"/>
            </w:tcMar>
            <w:vAlign w:val="center"/>
          </w:tcPr>
          <w:p w14:paraId="1170B6A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学校</w:t>
            </w:r>
          </w:p>
        </w:tc>
        <w:tc>
          <w:tcPr>
            <w:tcW w:w="1244" w:type="dxa"/>
            <w:noWrap w:val="0"/>
            <w:tcMar>
              <w:left w:w="0" w:type="dxa"/>
              <w:right w:w="0" w:type="dxa"/>
            </w:tcMar>
            <w:vAlign w:val="center"/>
          </w:tcPr>
          <w:p w14:paraId="66F474A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1500</w:t>
            </w:r>
          </w:p>
        </w:tc>
      </w:tr>
      <w:tr w14:paraId="35C6B9C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39EA93D7">
            <w:pPr>
              <w:adjustRightInd w:val="0"/>
              <w:snapToGrid w:val="0"/>
              <w:jc w:val="center"/>
              <w:rPr>
                <w:rFonts w:hint="default" w:ascii="Times New Roman" w:hAnsi="Times New Roman" w:eastAsia="宋体" w:cs="Times New Roman"/>
                <w:color w:val="auto"/>
                <w:sz w:val="21"/>
                <w:szCs w:val="21"/>
                <w:lang w:val="en-US" w:eastAsia="zh-CN"/>
              </w:rPr>
            </w:pPr>
          </w:p>
        </w:tc>
        <w:tc>
          <w:tcPr>
            <w:tcW w:w="723" w:type="dxa"/>
            <w:noWrap w:val="0"/>
            <w:tcMar>
              <w:left w:w="0" w:type="dxa"/>
              <w:right w:w="0" w:type="dxa"/>
            </w:tcMar>
            <w:vAlign w:val="center"/>
          </w:tcPr>
          <w:p w14:paraId="0D89F4D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w:t>
            </w:r>
          </w:p>
        </w:tc>
        <w:tc>
          <w:tcPr>
            <w:tcW w:w="2804" w:type="dxa"/>
            <w:gridSpan w:val="4"/>
            <w:noWrap w:val="0"/>
            <w:tcMar>
              <w:left w:w="0" w:type="dxa"/>
              <w:right w:w="0" w:type="dxa"/>
            </w:tcMar>
            <w:vAlign w:val="center"/>
          </w:tcPr>
          <w:p w14:paraId="324AA7AA">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广西茅尾海红树林自治区级自然保护区</w:t>
            </w:r>
            <w:r>
              <w:rPr>
                <w:rFonts w:hint="eastAsia" w:ascii="Times New Roman" w:hAnsi="Times New Roman" w:eastAsia="宋体" w:cs="Times New Roman"/>
                <w:color w:val="000000"/>
                <w:sz w:val="21"/>
                <w:szCs w:val="21"/>
                <w:lang w:val="en-US" w:eastAsia="zh-CN"/>
              </w:rPr>
              <w:t>（七十二泾片）</w:t>
            </w:r>
          </w:p>
        </w:tc>
        <w:tc>
          <w:tcPr>
            <w:tcW w:w="901" w:type="dxa"/>
            <w:noWrap w:val="0"/>
            <w:tcMar>
              <w:left w:w="0" w:type="dxa"/>
              <w:right w:w="0" w:type="dxa"/>
            </w:tcMar>
            <w:vAlign w:val="center"/>
          </w:tcPr>
          <w:p w14:paraId="0A0485D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w:t>
            </w:r>
          </w:p>
        </w:tc>
        <w:tc>
          <w:tcPr>
            <w:tcW w:w="1262" w:type="dxa"/>
            <w:gridSpan w:val="4"/>
            <w:noWrap w:val="0"/>
            <w:tcMar>
              <w:left w:w="0" w:type="dxa"/>
              <w:right w:w="0" w:type="dxa"/>
            </w:tcMar>
            <w:vAlign w:val="center"/>
          </w:tcPr>
          <w:p w14:paraId="1C221C9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r>
              <w:rPr>
                <w:rFonts w:hint="eastAsia" w:cs="Times New Roman"/>
                <w:color w:val="000000"/>
                <w:sz w:val="21"/>
                <w:szCs w:val="21"/>
                <w:lang w:val="en-US" w:eastAsia="zh-CN"/>
              </w:rPr>
              <w:t>70</w:t>
            </w:r>
            <w:r>
              <w:rPr>
                <w:rFonts w:hint="eastAsia" w:ascii="Times New Roman" w:hAnsi="Times New Roman" w:eastAsia="宋体" w:cs="Times New Roman"/>
                <w:color w:val="000000"/>
                <w:sz w:val="21"/>
                <w:szCs w:val="21"/>
                <w:lang w:val="en-US" w:eastAsia="zh-CN"/>
              </w:rPr>
              <w:t>0</w:t>
            </w:r>
          </w:p>
        </w:tc>
        <w:tc>
          <w:tcPr>
            <w:tcW w:w="1228" w:type="dxa"/>
            <w:noWrap w:val="0"/>
            <w:tcMar>
              <w:left w:w="0" w:type="dxa"/>
              <w:right w:w="0" w:type="dxa"/>
            </w:tcMar>
            <w:vAlign w:val="center"/>
          </w:tcPr>
          <w:p w14:paraId="390D9B7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自然保护区</w:t>
            </w:r>
          </w:p>
        </w:tc>
        <w:tc>
          <w:tcPr>
            <w:tcW w:w="1244" w:type="dxa"/>
            <w:noWrap w:val="0"/>
            <w:tcMar>
              <w:left w:w="0" w:type="dxa"/>
              <w:right w:w="0" w:type="dxa"/>
            </w:tcMar>
            <w:vAlign w:val="center"/>
          </w:tcPr>
          <w:p w14:paraId="415C6EF7">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14:paraId="01633A7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0C37AA7F">
            <w:pPr>
              <w:adjustRightInd w:val="0"/>
              <w:snapToGrid w:val="0"/>
              <w:jc w:val="center"/>
              <w:rPr>
                <w:rFonts w:hint="default" w:ascii="Times New Roman" w:hAnsi="Times New Roman" w:eastAsia="宋体" w:cs="Times New Roman"/>
                <w:color w:val="auto"/>
                <w:sz w:val="21"/>
                <w:szCs w:val="21"/>
                <w:lang w:val="en-US" w:eastAsia="zh-CN"/>
              </w:rPr>
            </w:pPr>
          </w:p>
        </w:tc>
        <w:tc>
          <w:tcPr>
            <w:tcW w:w="6918" w:type="dxa"/>
            <w:gridSpan w:val="11"/>
            <w:noWrap w:val="0"/>
            <w:tcMar>
              <w:left w:w="0" w:type="dxa"/>
              <w:right w:w="0" w:type="dxa"/>
            </w:tcMar>
            <w:vAlign w:val="center"/>
          </w:tcPr>
          <w:p w14:paraId="0200FAC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厂址周边500m 范围内人口数小计</w:t>
            </w:r>
          </w:p>
        </w:tc>
        <w:tc>
          <w:tcPr>
            <w:tcW w:w="1244" w:type="dxa"/>
            <w:noWrap w:val="0"/>
            <w:tcMar>
              <w:left w:w="0" w:type="dxa"/>
              <w:right w:w="0" w:type="dxa"/>
            </w:tcMar>
            <w:vAlign w:val="center"/>
          </w:tcPr>
          <w:p w14:paraId="4DED94F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550</w:t>
            </w:r>
          </w:p>
        </w:tc>
      </w:tr>
      <w:tr w14:paraId="663B067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3BCFB8E9">
            <w:pPr>
              <w:adjustRightInd w:val="0"/>
              <w:snapToGrid w:val="0"/>
              <w:jc w:val="center"/>
              <w:rPr>
                <w:rFonts w:hint="default" w:ascii="Times New Roman" w:hAnsi="Times New Roman" w:eastAsia="宋体" w:cs="Times New Roman"/>
                <w:color w:val="auto"/>
                <w:sz w:val="21"/>
                <w:szCs w:val="21"/>
                <w:lang w:val="en-US" w:eastAsia="zh-CN"/>
              </w:rPr>
            </w:pPr>
          </w:p>
        </w:tc>
        <w:tc>
          <w:tcPr>
            <w:tcW w:w="6918" w:type="dxa"/>
            <w:gridSpan w:val="11"/>
            <w:noWrap w:val="0"/>
            <w:tcMar>
              <w:left w:w="0" w:type="dxa"/>
              <w:right w:w="0" w:type="dxa"/>
            </w:tcMar>
            <w:vAlign w:val="center"/>
          </w:tcPr>
          <w:p w14:paraId="02C6FA4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厂址周边 5km 范围内人口数小计</w:t>
            </w:r>
          </w:p>
        </w:tc>
        <w:tc>
          <w:tcPr>
            <w:tcW w:w="1244" w:type="dxa"/>
            <w:noWrap w:val="0"/>
            <w:tcMar>
              <w:left w:w="0" w:type="dxa"/>
              <w:right w:w="0" w:type="dxa"/>
            </w:tcMar>
            <w:vAlign w:val="center"/>
          </w:tcPr>
          <w:p w14:paraId="0A68738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48246</w:t>
            </w:r>
          </w:p>
        </w:tc>
      </w:tr>
      <w:tr w14:paraId="5F0459B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39FAB108">
            <w:pPr>
              <w:adjustRightInd w:val="0"/>
              <w:snapToGrid w:val="0"/>
              <w:jc w:val="center"/>
              <w:rPr>
                <w:rFonts w:hint="default" w:ascii="Times New Roman" w:hAnsi="Times New Roman" w:eastAsia="宋体" w:cs="Times New Roman"/>
                <w:color w:val="auto"/>
                <w:sz w:val="21"/>
                <w:szCs w:val="21"/>
                <w:lang w:val="en-US" w:eastAsia="zh-CN"/>
              </w:rPr>
            </w:pPr>
          </w:p>
        </w:tc>
        <w:tc>
          <w:tcPr>
            <w:tcW w:w="6918" w:type="dxa"/>
            <w:gridSpan w:val="11"/>
            <w:noWrap w:val="0"/>
            <w:tcMar>
              <w:left w:w="0" w:type="dxa"/>
              <w:right w:w="0" w:type="dxa"/>
            </w:tcMar>
            <w:vAlign w:val="center"/>
          </w:tcPr>
          <w:p w14:paraId="7232B9C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大气环境敏感程度 E 值</w:t>
            </w:r>
          </w:p>
        </w:tc>
        <w:tc>
          <w:tcPr>
            <w:tcW w:w="1244" w:type="dxa"/>
            <w:noWrap w:val="0"/>
            <w:tcMar>
              <w:left w:w="0" w:type="dxa"/>
              <w:right w:w="0" w:type="dxa"/>
            </w:tcMar>
            <w:vAlign w:val="center"/>
          </w:tcPr>
          <w:p w14:paraId="39478C0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w:t>
            </w:r>
            <w:r>
              <w:rPr>
                <w:rFonts w:hint="eastAsia" w:ascii="Times New Roman" w:hAnsi="Times New Roman" w:eastAsia="宋体" w:cs="Times New Roman"/>
                <w:color w:val="auto"/>
                <w:sz w:val="21"/>
                <w:szCs w:val="21"/>
                <w:lang w:val="en-US" w:eastAsia="zh-CN"/>
              </w:rPr>
              <w:t>2</w:t>
            </w:r>
          </w:p>
        </w:tc>
      </w:tr>
      <w:tr w14:paraId="76E07D4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restart"/>
            <w:noWrap w:val="0"/>
            <w:tcMar>
              <w:left w:w="0" w:type="dxa"/>
              <w:right w:w="0" w:type="dxa"/>
            </w:tcMar>
            <w:vAlign w:val="center"/>
          </w:tcPr>
          <w:p w14:paraId="35BAA59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海洋环境</w:t>
            </w:r>
          </w:p>
        </w:tc>
        <w:tc>
          <w:tcPr>
            <w:tcW w:w="1036" w:type="dxa"/>
            <w:gridSpan w:val="2"/>
            <w:noWrap w:val="0"/>
            <w:tcMar>
              <w:left w:w="0" w:type="dxa"/>
              <w:right w:w="0" w:type="dxa"/>
            </w:tcMar>
            <w:vAlign w:val="center"/>
          </w:tcPr>
          <w:p w14:paraId="2CFA249B">
            <w:pPr>
              <w:tabs>
                <w:tab w:val="left" w:pos="480"/>
              </w:tabs>
              <w:topLinePunct/>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10"/>
                <w:sz w:val="21"/>
                <w:szCs w:val="21"/>
                <w:lang w:val="zh-CN"/>
              </w:rPr>
              <w:t>序号</w:t>
            </w:r>
          </w:p>
        </w:tc>
        <w:tc>
          <w:tcPr>
            <w:tcW w:w="2077" w:type="dxa"/>
            <w:gridSpan w:val="2"/>
            <w:noWrap w:val="0"/>
            <w:tcMar>
              <w:left w:w="0" w:type="dxa"/>
              <w:right w:w="0" w:type="dxa"/>
            </w:tcMar>
            <w:vAlign w:val="center"/>
          </w:tcPr>
          <w:p w14:paraId="6FBA3F84">
            <w:pPr>
              <w:tabs>
                <w:tab w:val="left" w:pos="480"/>
              </w:tabs>
              <w:topLinePunct/>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10"/>
                <w:sz w:val="21"/>
                <w:szCs w:val="21"/>
                <w:lang w:val="zh-CN"/>
              </w:rPr>
              <w:t>水体名称</w:t>
            </w:r>
          </w:p>
        </w:tc>
        <w:tc>
          <w:tcPr>
            <w:tcW w:w="2328" w:type="dxa"/>
            <w:gridSpan w:val="5"/>
            <w:noWrap w:val="0"/>
            <w:tcMar>
              <w:left w:w="0" w:type="dxa"/>
              <w:right w:w="0" w:type="dxa"/>
            </w:tcMar>
            <w:vAlign w:val="center"/>
          </w:tcPr>
          <w:p w14:paraId="57501AFB">
            <w:pPr>
              <w:tabs>
                <w:tab w:val="left" w:pos="480"/>
              </w:tabs>
              <w:topLinePunct/>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10"/>
                <w:sz w:val="21"/>
                <w:szCs w:val="21"/>
                <w:lang w:val="zh-CN"/>
              </w:rPr>
              <w:t>排放点水域环境功能</w:t>
            </w:r>
          </w:p>
        </w:tc>
        <w:tc>
          <w:tcPr>
            <w:tcW w:w="2721" w:type="dxa"/>
            <w:gridSpan w:val="3"/>
            <w:noWrap w:val="0"/>
            <w:tcMar>
              <w:left w:w="0" w:type="dxa"/>
              <w:right w:w="0" w:type="dxa"/>
            </w:tcMar>
            <w:vAlign w:val="center"/>
          </w:tcPr>
          <w:p w14:paraId="18B429A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pacing w:val="10"/>
                <w:sz w:val="21"/>
                <w:szCs w:val="21"/>
                <w:lang w:val="zh-CN"/>
              </w:rPr>
              <w:t>24h内流经范围km</w:t>
            </w:r>
          </w:p>
        </w:tc>
      </w:tr>
      <w:tr w14:paraId="0B8E79C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55BC24CC">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3D4A1C4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077" w:type="dxa"/>
            <w:gridSpan w:val="2"/>
            <w:noWrap w:val="0"/>
            <w:tcMar>
              <w:left w:w="0" w:type="dxa"/>
              <w:right w:w="0" w:type="dxa"/>
            </w:tcMar>
            <w:vAlign w:val="center"/>
          </w:tcPr>
          <w:p w14:paraId="61FFBBCD">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钦州港大榄坪港口、工业区（GX055DⅣ）</w:t>
            </w:r>
          </w:p>
        </w:tc>
        <w:tc>
          <w:tcPr>
            <w:tcW w:w="2328" w:type="dxa"/>
            <w:gridSpan w:val="5"/>
            <w:noWrap w:val="0"/>
            <w:tcMar>
              <w:left w:w="0" w:type="dxa"/>
              <w:right w:w="0" w:type="dxa"/>
            </w:tcMar>
            <w:vAlign w:val="center"/>
          </w:tcPr>
          <w:p w14:paraId="2EA63773">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港口、工业用海</w:t>
            </w:r>
          </w:p>
        </w:tc>
        <w:tc>
          <w:tcPr>
            <w:tcW w:w="2721" w:type="dxa"/>
            <w:gridSpan w:val="3"/>
            <w:noWrap w:val="0"/>
            <w:tcMar>
              <w:left w:w="0" w:type="dxa"/>
              <w:right w:w="0" w:type="dxa"/>
            </w:tcMar>
            <w:vAlign w:val="center"/>
          </w:tcPr>
          <w:p w14:paraId="7F1A52FF">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14:paraId="47447CA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4D8CD9F6">
            <w:pPr>
              <w:adjustRightInd w:val="0"/>
              <w:snapToGrid w:val="0"/>
              <w:jc w:val="center"/>
              <w:rPr>
                <w:rFonts w:hint="default" w:ascii="Times New Roman" w:hAnsi="Times New Roman" w:eastAsia="宋体" w:cs="Times New Roman"/>
                <w:color w:val="auto"/>
                <w:sz w:val="21"/>
                <w:szCs w:val="21"/>
                <w:lang w:val="en-US" w:eastAsia="zh-CN"/>
              </w:rPr>
            </w:pPr>
          </w:p>
        </w:tc>
        <w:tc>
          <w:tcPr>
            <w:tcW w:w="8162" w:type="dxa"/>
            <w:gridSpan w:val="12"/>
            <w:noWrap w:val="0"/>
            <w:tcMar>
              <w:left w:w="0" w:type="dxa"/>
              <w:right w:w="0" w:type="dxa"/>
            </w:tcMar>
            <w:vAlign w:val="center"/>
          </w:tcPr>
          <w:p w14:paraId="55D9586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内陆水体排放点下游10km（近岸海域一个潮周期最大水平距离两倍）</w:t>
            </w:r>
          </w:p>
          <w:p w14:paraId="46E13FF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范围内敏感目标</w:t>
            </w:r>
          </w:p>
        </w:tc>
      </w:tr>
      <w:tr w14:paraId="6B9AAE9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32129433">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190A79E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2491" w:type="dxa"/>
            <w:gridSpan w:val="3"/>
            <w:noWrap w:val="0"/>
            <w:tcMar>
              <w:left w:w="0" w:type="dxa"/>
              <w:right w:w="0" w:type="dxa"/>
            </w:tcMar>
            <w:vAlign w:val="center"/>
          </w:tcPr>
          <w:p w14:paraId="756E038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敏感目标</w:t>
            </w:r>
          </w:p>
        </w:tc>
        <w:tc>
          <w:tcPr>
            <w:tcW w:w="1005" w:type="dxa"/>
            <w:gridSpan w:val="2"/>
            <w:tcBorders>
              <w:right w:val="single" w:color="auto" w:sz="4" w:space="0"/>
            </w:tcBorders>
            <w:noWrap w:val="0"/>
            <w:tcMar>
              <w:left w:w="0" w:type="dxa"/>
              <w:right w:w="0" w:type="dxa"/>
            </w:tcMar>
            <w:vAlign w:val="center"/>
          </w:tcPr>
          <w:p w14:paraId="2C6BED0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环境敏感特性</w:t>
            </w:r>
          </w:p>
        </w:tc>
        <w:tc>
          <w:tcPr>
            <w:tcW w:w="694" w:type="dxa"/>
            <w:tcBorders>
              <w:left w:val="single" w:color="auto" w:sz="4" w:space="0"/>
            </w:tcBorders>
            <w:noWrap w:val="0"/>
            <w:tcMar>
              <w:left w:w="0" w:type="dxa"/>
              <w:right w:w="0" w:type="dxa"/>
            </w:tcMar>
            <w:vAlign w:val="center"/>
          </w:tcPr>
          <w:p w14:paraId="02FD941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方位</w:t>
            </w:r>
          </w:p>
        </w:tc>
        <w:tc>
          <w:tcPr>
            <w:tcW w:w="1692" w:type="dxa"/>
            <w:gridSpan w:val="3"/>
            <w:noWrap w:val="0"/>
            <w:tcMar>
              <w:left w:w="0" w:type="dxa"/>
              <w:right w:w="0" w:type="dxa"/>
            </w:tcMar>
            <w:vAlign w:val="center"/>
          </w:tcPr>
          <w:p w14:paraId="2138B3F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水质目标</w:t>
            </w:r>
          </w:p>
        </w:tc>
        <w:tc>
          <w:tcPr>
            <w:tcW w:w="1244" w:type="dxa"/>
            <w:noWrap w:val="0"/>
            <w:tcMar>
              <w:left w:w="0" w:type="dxa"/>
              <w:right w:w="0" w:type="dxa"/>
            </w:tcMar>
            <w:vAlign w:val="center"/>
          </w:tcPr>
          <w:p w14:paraId="5DD9B46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与排放点距离/m</w:t>
            </w:r>
          </w:p>
        </w:tc>
      </w:tr>
      <w:tr w14:paraId="00E52A3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16D0EEE0">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73B5138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491" w:type="dxa"/>
            <w:gridSpan w:val="3"/>
            <w:noWrap w:val="0"/>
            <w:tcMar>
              <w:left w:w="0" w:type="dxa"/>
              <w:right w:w="0" w:type="dxa"/>
            </w:tcMar>
            <w:vAlign w:val="center"/>
          </w:tcPr>
          <w:p w14:paraId="5FD720A8">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鹿耳环江红树林保护区</w:t>
            </w:r>
          </w:p>
        </w:tc>
        <w:tc>
          <w:tcPr>
            <w:tcW w:w="1005" w:type="dxa"/>
            <w:gridSpan w:val="2"/>
            <w:tcBorders>
              <w:right w:val="single" w:color="auto" w:sz="4" w:space="0"/>
            </w:tcBorders>
            <w:noWrap w:val="0"/>
            <w:tcMar>
              <w:left w:w="0" w:type="dxa"/>
              <w:right w:w="0" w:type="dxa"/>
            </w:tcMar>
            <w:vAlign w:val="center"/>
          </w:tcPr>
          <w:p w14:paraId="30D64D0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6E62AD00">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692" w:type="dxa"/>
            <w:gridSpan w:val="3"/>
            <w:noWrap w:val="0"/>
            <w:tcMar>
              <w:left w:w="0" w:type="dxa"/>
              <w:right w:w="0" w:type="dxa"/>
            </w:tcMar>
            <w:vAlign w:val="center"/>
          </w:tcPr>
          <w:p w14:paraId="347D0D0C">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S1</w:t>
            </w:r>
          </w:p>
        </w:tc>
        <w:tc>
          <w:tcPr>
            <w:tcW w:w="1244" w:type="dxa"/>
            <w:noWrap w:val="0"/>
            <w:tcMar>
              <w:left w:w="0" w:type="dxa"/>
              <w:right w:w="0" w:type="dxa"/>
            </w:tcMar>
            <w:vAlign w:val="center"/>
          </w:tcPr>
          <w:p w14:paraId="4B0B9A6F">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7690</w:t>
            </w:r>
          </w:p>
        </w:tc>
      </w:tr>
      <w:tr w14:paraId="373B99B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31EB2ED8">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776C0F4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491" w:type="dxa"/>
            <w:gridSpan w:val="3"/>
            <w:noWrap w:val="0"/>
            <w:tcMar>
              <w:left w:w="0" w:type="dxa"/>
              <w:right w:w="0" w:type="dxa"/>
            </w:tcMar>
            <w:vAlign w:val="center"/>
          </w:tcPr>
          <w:p w14:paraId="771E3515">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金鼓江红树林区</w:t>
            </w:r>
          </w:p>
        </w:tc>
        <w:tc>
          <w:tcPr>
            <w:tcW w:w="1005" w:type="dxa"/>
            <w:gridSpan w:val="2"/>
            <w:tcBorders>
              <w:right w:val="single" w:color="auto" w:sz="4" w:space="0"/>
            </w:tcBorders>
            <w:noWrap w:val="0"/>
            <w:tcMar>
              <w:left w:w="0" w:type="dxa"/>
              <w:right w:w="0" w:type="dxa"/>
            </w:tcMar>
            <w:vAlign w:val="center"/>
          </w:tcPr>
          <w:p w14:paraId="5C46D61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46B76AF3">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北</w:t>
            </w:r>
          </w:p>
        </w:tc>
        <w:tc>
          <w:tcPr>
            <w:tcW w:w="1692" w:type="dxa"/>
            <w:gridSpan w:val="3"/>
            <w:noWrap w:val="0"/>
            <w:tcMar>
              <w:left w:w="0" w:type="dxa"/>
              <w:right w:w="0" w:type="dxa"/>
            </w:tcMar>
            <w:vAlign w:val="center"/>
          </w:tcPr>
          <w:p w14:paraId="44F8BAC1">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S1</w:t>
            </w:r>
          </w:p>
        </w:tc>
        <w:tc>
          <w:tcPr>
            <w:tcW w:w="1244" w:type="dxa"/>
            <w:noWrap w:val="0"/>
            <w:tcMar>
              <w:left w:w="0" w:type="dxa"/>
              <w:right w:w="0" w:type="dxa"/>
            </w:tcMar>
            <w:vAlign w:val="center"/>
          </w:tcPr>
          <w:p w14:paraId="299F4E3B">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700</w:t>
            </w:r>
          </w:p>
        </w:tc>
      </w:tr>
      <w:tr w14:paraId="1D57F11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716322CA">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05D676D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491" w:type="dxa"/>
            <w:gridSpan w:val="3"/>
            <w:noWrap w:val="0"/>
            <w:tcMar>
              <w:left w:w="0" w:type="dxa"/>
              <w:right w:w="0" w:type="dxa"/>
            </w:tcMar>
            <w:vAlign w:val="center"/>
          </w:tcPr>
          <w:p w14:paraId="710D8ADF">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广西茅尾海红树林自治区级自然保护区</w:t>
            </w:r>
            <w:r>
              <w:rPr>
                <w:rFonts w:hint="default" w:ascii="Times New Roman" w:hAnsi="Times New Roman" w:cs="Times New Roman"/>
                <w:kern w:val="0"/>
                <w:lang w:eastAsia="zh-CN"/>
              </w:rPr>
              <w:t>（</w:t>
            </w:r>
            <w:r>
              <w:rPr>
                <w:rFonts w:hint="default" w:ascii="Times New Roman" w:hAnsi="Times New Roman" w:cs="Times New Roman"/>
                <w:kern w:val="0"/>
              </w:rPr>
              <w:t>七十二泾</w:t>
            </w:r>
            <w:r>
              <w:rPr>
                <w:rFonts w:hint="default" w:ascii="Times New Roman" w:hAnsi="Times New Roman" w:cs="Times New Roman"/>
                <w:kern w:val="0"/>
                <w:lang w:eastAsia="zh-CN"/>
              </w:rPr>
              <w:t>片区）</w:t>
            </w:r>
          </w:p>
        </w:tc>
        <w:tc>
          <w:tcPr>
            <w:tcW w:w="1005" w:type="dxa"/>
            <w:gridSpan w:val="2"/>
            <w:tcBorders>
              <w:right w:val="single" w:color="auto" w:sz="4" w:space="0"/>
            </w:tcBorders>
            <w:noWrap w:val="0"/>
            <w:tcMar>
              <w:left w:w="0" w:type="dxa"/>
              <w:right w:w="0" w:type="dxa"/>
            </w:tcMar>
            <w:vAlign w:val="center"/>
          </w:tcPr>
          <w:p w14:paraId="023E220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40C1DF49">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西北</w:t>
            </w:r>
          </w:p>
        </w:tc>
        <w:tc>
          <w:tcPr>
            <w:tcW w:w="1692" w:type="dxa"/>
            <w:gridSpan w:val="3"/>
            <w:noWrap w:val="0"/>
            <w:tcMar>
              <w:left w:w="0" w:type="dxa"/>
              <w:right w:w="0" w:type="dxa"/>
            </w:tcMar>
            <w:vAlign w:val="center"/>
          </w:tcPr>
          <w:p w14:paraId="093B568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S1</w:t>
            </w:r>
          </w:p>
        </w:tc>
        <w:tc>
          <w:tcPr>
            <w:tcW w:w="1244" w:type="dxa"/>
            <w:noWrap w:val="0"/>
            <w:tcMar>
              <w:left w:w="0" w:type="dxa"/>
              <w:right w:w="0" w:type="dxa"/>
            </w:tcMar>
            <w:vAlign w:val="center"/>
          </w:tcPr>
          <w:p w14:paraId="6D8345C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3850</w:t>
            </w:r>
          </w:p>
        </w:tc>
      </w:tr>
      <w:tr w14:paraId="3909F18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7CB619C8">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4DFA691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491" w:type="dxa"/>
            <w:gridSpan w:val="3"/>
            <w:noWrap w:val="0"/>
            <w:tcMar>
              <w:left w:w="0" w:type="dxa"/>
              <w:right w:w="0" w:type="dxa"/>
            </w:tcMar>
            <w:vAlign w:val="center"/>
          </w:tcPr>
          <w:p w14:paraId="142D05AB">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茅尾海中部海洋保护区</w:t>
            </w:r>
          </w:p>
        </w:tc>
        <w:tc>
          <w:tcPr>
            <w:tcW w:w="1005" w:type="dxa"/>
            <w:gridSpan w:val="2"/>
            <w:tcBorders>
              <w:right w:val="single" w:color="auto" w:sz="4" w:space="0"/>
            </w:tcBorders>
            <w:noWrap w:val="0"/>
            <w:tcMar>
              <w:left w:w="0" w:type="dxa"/>
              <w:right w:w="0" w:type="dxa"/>
            </w:tcMar>
            <w:vAlign w:val="center"/>
          </w:tcPr>
          <w:p w14:paraId="39066C6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27C6AF4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西北</w:t>
            </w:r>
          </w:p>
        </w:tc>
        <w:tc>
          <w:tcPr>
            <w:tcW w:w="1692" w:type="dxa"/>
            <w:gridSpan w:val="3"/>
            <w:noWrap w:val="0"/>
            <w:tcMar>
              <w:left w:w="0" w:type="dxa"/>
              <w:right w:w="0" w:type="dxa"/>
            </w:tcMar>
            <w:vAlign w:val="center"/>
          </w:tcPr>
          <w:p w14:paraId="01AE274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S1</w:t>
            </w:r>
          </w:p>
        </w:tc>
        <w:tc>
          <w:tcPr>
            <w:tcW w:w="1244" w:type="dxa"/>
            <w:noWrap w:val="0"/>
            <w:tcMar>
              <w:left w:w="0" w:type="dxa"/>
              <w:right w:w="0" w:type="dxa"/>
            </w:tcMar>
            <w:vAlign w:val="center"/>
          </w:tcPr>
          <w:p w14:paraId="503D277B">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10838</w:t>
            </w:r>
          </w:p>
        </w:tc>
      </w:tr>
      <w:tr w14:paraId="5680CB9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7F14CE25">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607CC6A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491" w:type="dxa"/>
            <w:gridSpan w:val="3"/>
            <w:noWrap w:val="0"/>
            <w:tcMar>
              <w:left w:w="0" w:type="dxa"/>
              <w:right w:w="0" w:type="dxa"/>
            </w:tcMar>
            <w:vAlign w:val="center"/>
          </w:tcPr>
          <w:p w14:paraId="5C0B597C">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茅尾海红树林自然保护区</w:t>
            </w:r>
          </w:p>
        </w:tc>
        <w:tc>
          <w:tcPr>
            <w:tcW w:w="1005" w:type="dxa"/>
            <w:gridSpan w:val="2"/>
            <w:tcBorders>
              <w:right w:val="single" w:color="auto" w:sz="4" w:space="0"/>
            </w:tcBorders>
            <w:noWrap w:val="0"/>
            <w:tcMar>
              <w:left w:w="0" w:type="dxa"/>
              <w:right w:w="0" w:type="dxa"/>
            </w:tcMar>
            <w:vAlign w:val="center"/>
          </w:tcPr>
          <w:p w14:paraId="7279DEE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10282E7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西北</w:t>
            </w:r>
          </w:p>
        </w:tc>
        <w:tc>
          <w:tcPr>
            <w:tcW w:w="1692" w:type="dxa"/>
            <w:gridSpan w:val="3"/>
            <w:noWrap w:val="0"/>
            <w:tcMar>
              <w:left w:w="0" w:type="dxa"/>
              <w:right w:w="0" w:type="dxa"/>
            </w:tcMar>
            <w:vAlign w:val="center"/>
          </w:tcPr>
          <w:p w14:paraId="0379E355">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S1</w:t>
            </w:r>
          </w:p>
        </w:tc>
        <w:tc>
          <w:tcPr>
            <w:tcW w:w="1244" w:type="dxa"/>
            <w:noWrap w:val="0"/>
            <w:tcMar>
              <w:left w:w="0" w:type="dxa"/>
              <w:right w:w="0" w:type="dxa"/>
            </w:tcMar>
            <w:vAlign w:val="center"/>
          </w:tcPr>
          <w:p w14:paraId="0812087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14157</w:t>
            </w:r>
          </w:p>
        </w:tc>
      </w:tr>
      <w:tr w14:paraId="47418CF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796F2A08">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5BFFD14C">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2491" w:type="dxa"/>
            <w:gridSpan w:val="3"/>
            <w:noWrap w:val="0"/>
            <w:tcMar>
              <w:left w:w="0" w:type="dxa"/>
              <w:right w:w="0" w:type="dxa"/>
            </w:tcMar>
            <w:vAlign w:val="center"/>
          </w:tcPr>
          <w:p w14:paraId="742DC388">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三娘湾海洋保护区</w:t>
            </w:r>
          </w:p>
        </w:tc>
        <w:tc>
          <w:tcPr>
            <w:tcW w:w="1005" w:type="dxa"/>
            <w:gridSpan w:val="2"/>
            <w:tcBorders>
              <w:right w:val="single" w:color="auto" w:sz="4" w:space="0"/>
            </w:tcBorders>
            <w:noWrap w:val="0"/>
            <w:tcMar>
              <w:left w:w="0" w:type="dxa"/>
              <w:right w:w="0" w:type="dxa"/>
            </w:tcMar>
            <w:vAlign w:val="center"/>
          </w:tcPr>
          <w:p w14:paraId="4F01573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7535CD13">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692" w:type="dxa"/>
            <w:gridSpan w:val="3"/>
            <w:noWrap w:val="0"/>
            <w:tcMar>
              <w:left w:w="0" w:type="dxa"/>
              <w:right w:w="0" w:type="dxa"/>
            </w:tcMar>
            <w:vAlign w:val="center"/>
          </w:tcPr>
          <w:p w14:paraId="69B3FD8D">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S1</w:t>
            </w:r>
          </w:p>
        </w:tc>
        <w:tc>
          <w:tcPr>
            <w:tcW w:w="1244" w:type="dxa"/>
            <w:noWrap w:val="0"/>
            <w:tcMar>
              <w:left w:w="0" w:type="dxa"/>
              <w:right w:w="0" w:type="dxa"/>
            </w:tcMar>
            <w:vAlign w:val="center"/>
          </w:tcPr>
          <w:p w14:paraId="7FF7E64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20085</w:t>
            </w:r>
          </w:p>
        </w:tc>
      </w:tr>
      <w:tr w14:paraId="77F3D87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51D5E728">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765C37B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2491" w:type="dxa"/>
            <w:gridSpan w:val="3"/>
            <w:noWrap w:val="0"/>
            <w:tcMar>
              <w:left w:w="0" w:type="dxa"/>
              <w:right w:w="0" w:type="dxa"/>
            </w:tcMar>
            <w:vAlign w:val="center"/>
          </w:tcPr>
          <w:p w14:paraId="6C414E8C">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北部湾二长棘鲷长毛对虾国家级种质资源保护区（实验区）</w:t>
            </w:r>
          </w:p>
        </w:tc>
        <w:tc>
          <w:tcPr>
            <w:tcW w:w="1005" w:type="dxa"/>
            <w:gridSpan w:val="2"/>
            <w:tcBorders>
              <w:right w:val="single" w:color="auto" w:sz="4" w:space="0"/>
            </w:tcBorders>
            <w:noWrap w:val="0"/>
            <w:tcMar>
              <w:left w:w="0" w:type="dxa"/>
              <w:right w:w="0" w:type="dxa"/>
            </w:tcMar>
            <w:vAlign w:val="center"/>
          </w:tcPr>
          <w:p w14:paraId="23BEDD3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4ED59F09">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南</w:t>
            </w:r>
          </w:p>
        </w:tc>
        <w:tc>
          <w:tcPr>
            <w:tcW w:w="1692" w:type="dxa"/>
            <w:gridSpan w:val="3"/>
            <w:noWrap w:val="0"/>
            <w:tcMar>
              <w:left w:w="0" w:type="dxa"/>
              <w:right w:w="0" w:type="dxa"/>
            </w:tcMar>
            <w:vAlign w:val="center"/>
          </w:tcPr>
          <w:p w14:paraId="79CB45F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S1</w:t>
            </w:r>
          </w:p>
        </w:tc>
        <w:tc>
          <w:tcPr>
            <w:tcW w:w="1244" w:type="dxa"/>
            <w:noWrap w:val="0"/>
            <w:tcMar>
              <w:left w:w="0" w:type="dxa"/>
              <w:right w:w="0" w:type="dxa"/>
            </w:tcMar>
            <w:vAlign w:val="center"/>
          </w:tcPr>
          <w:p w14:paraId="4ED4E4D3">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25526</w:t>
            </w:r>
          </w:p>
        </w:tc>
      </w:tr>
      <w:tr w14:paraId="4516F7D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23351D29">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7803D68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2491" w:type="dxa"/>
            <w:gridSpan w:val="3"/>
            <w:noWrap w:val="0"/>
            <w:tcMar>
              <w:left w:w="0" w:type="dxa"/>
              <w:right w:w="0" w:type="dxa"/>
            </w:tcMar>
            <w:vAlign w:val="center"/>
          </w:tcPr>
          <w:p w14:paraId="55F2A471">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七十二泾休闲娱乐区</w:t>
            </w:r>
          </w:p>
        </w:tc>
        <w:tc>
          <w:tcPr>
            <w:tcW w:w="1005" w:type="dxa"/>
            <w:gridSpan w:val="2"/>
            <w:tcBorders>
              <w:right w:val="single" w:color="auto" w:sz="4" w:space="0"/>
            </w:tcBorders>
            <w:noWrap w:val="0"/>
            <w:tcMar>
              <w:left w:w="0" w:type="dxa"/>
              <w:right w:w="0" w:type="dxa"/>
            </w:tcMar>
            <w:vAlign w:val="center"/>
          </w:tcPr>
          <w:p w14:paraId="24AF9B7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62442BF5">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w:t>
            </w:r>
          </w:p>
        </w:tc>
        <w:tc>
          <w:tcPr>
            <w:tcW w:w="1692" w:type="dxa"/>
            <w:gridSpan w:val="3"/>
            <w:noWrap w:val="0"/>
            <w:tcMar>
              <w:left w:w="0" w:type="dxa"/>
              <w:right w:w="0" w:type="dxa"/>
            </w:tcMar>
            <w:vAlign w:val="center"/>
          </w:tcPr>
          <w:p w14:paraId="522EA50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6BACF587">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5025</w:t>
            </w:r>
          </w:p>
        </w:tc>
      </w:tr>
      <w:tr w14:paraId="239E7F4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00DCE36D">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53043AE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2491" w:type="dxa"/>
            <w:gridSpan w:val="3"/>
            <w:noWrap w:val="0"/>
            <w:tcMar>
              <w:left w:w="0" w:type="dxa"/>
              <w:right w:w="0" w:type="dxa"/>
            </w:tcMar>
            <w:vAlign w:val="center"/>
          </w:tcPr>
          <w:p w14:paraId="4747C86F">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龙门及观音堂旅游休闲娱乐区</w:t>
            </w:r>
          </w:p>
        </w:tc>
        <w:tc>
          <w:tcPr>
            <w:tcW w:w="1005" w:type="dxa"/>
            <w:gridSpan w:val="2"/>
            <w:tcBorders>
              <w:right w:val="single" w:color="auto" w:sz="4" w:space="0"/>
            </w:tcBorders>
            <w:noWrap w:val="0"/>
            <w:tcMar>
              <w:left w:w="0" w:type="dxa"/>
              <w:right w:w="0" w:type="dxa"/>
            </w:tcMar>
            <w:vAlign w:val="center"/>
          </w:tcPr>
          <w:p w14:paraId="1D16A090">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F3</w:t>
            </w:r>
          </w:p>
        </w:tc>
        <w:tc>
          <w:tcPr>
            <w:tcW w:w="694" w:type="dxa"/>
            <w:tcBorders>
              <w:left w:val="single" w:color="auto" w:sz="4" w:space="0"/>
            </w:tcBorders>
            <w:noWrap w:val="0"/>
            <w:tcMar>
              <w:left w:w="0" w:type="dxa"/>
              <w:right w:w="0" w:type="dxa"/>
            </w:tcMar>
            <w:vAlign w:val="center"/>
          </w:tcPr>
          <w:p w14:paraId="7D1DA88F">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w:t>
            </w:r>
          </w:p>
        </w:tc>
        <w:tc>
          <w:tcPr>
            <w:tcW w:w="1692" w:type="dxa"/>
            <w:gridSpan w:val="3"/>
            <w:noWrap w:val="0"/>
            <w:tcMar>
              <w:left w:w="0" w:type="dxa"/>
              <w:right w:w="0" w:type="dxa"/>
            </w:tcMar>
            <w:vAlign w:val="center"/>
          </w:tcPr>
          <w:p w14:paraId="23241736">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0B8B29E2">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8150</w:t>
            </w:r>
          </w:p>
        </w:tc>
      </w:tr>
      <w:tr w14:paraId="6F79B65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0AA41B0D">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583306F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2491" w:type="dxa"/>
            <w:gridSpan w:val="3"/>
            <w:noWrap w:val="0"/>
            <w:tcMar>
              <w:left w:w="0" w:type="dxa"/>
              <w:right w:w="0" w:type="dxa"/>
            </w:tcMar>
            <w:vAlign w:val="center"/>
          </w:tcPr>
          <w:p w14:paraId="16B0C53F">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 xml:space="preserve">鹿耳环至三娘湾旅游区 </w:t>
            </w:r>
          </w:p>
        </w:tc>
        <w:tc>
          <w:tcPr>
            <w:tcW w:w="1005" w:type="dxa"/>
            <w:gridSpan w:val="2"/>
            <w:tcBorders>
              <w:right w:val="single" w:color="auto" w:sz="4" w:space="0"/>
            </w:tcBorders>
            <w:noWrap w:val="0"/>
            <w:tcMar>
              <w:left w:w="0" w:type="dxa"/>
              <w:right w:w="0" w:type="dxa"/>
            </w:tcMar>
            <w:vAlign w:val="center"/>
          </w:tcPr>
          <w:p w14:paraId="1D24BD0F">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F3</w:t>
            </w:r>
          </w:p>
        </w:tc>
        <w:tc>
          <w:tcPr>
            <w:tcW w:w="694" w:type="dxa"/>
            <w:tcBorders>
              <w:left w:val="single" w:color="auto" w:sz="4" w:space="0"/>
            </w:tcBorders>
            <w:noWrap w:val="0"/>
            <w:tcMar>
              <w:left w:w="0" w:type="dxa"/>
              <w:right w:w="0" w:type="dxa"/>
            </w:tcMar>
            <w:vAlign w:val="center"/>
          </w:tcPr>
          <w:p w14:paraId="47BC39F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692" w:type="dxa"/>
            <w:gridSpan w:val="3"/>
            <w:noWrap w:val="0"/>
            <w:tcMar>
              <w:left w:w="0" w:type="dxa"/>
              <w:right w:w="0" w:type="dxa"/>
            </w:tcMar>
            <w:vAlign w:val="center"/>
          </w:tcPr>
          <w:p w14:paraId="72E3A614">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3EFAA9A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8029</w:t>
            </w:r>
          </w:p>
        </w:tc>
      </w:tr>
      <w:tr w14:paraId="497885D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6D343C31">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37128B5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2491" w:type="dxa"/>
            <w:gridSpan w:val="3"/>
            <w:noWrap w:val="0"/>
            <w:tcMar>
              <w:left w:w="0" w:type="dxa"/>
              <w:right w:w="0" w:type="dxa"/>
            </w:tcMar>
            <w:vAlign w:val="center"/>
          </w:tcPr>
          <w:p w14:paraId="3FA4AAA1">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三娘湾旅游娱乐区</w:t>
            </w:r>
          </w:p>
        </w:tc>
        <w:tc>
          <w:tcPr>
            <w:tcW w:w="1005" w:type="dxa"/>
            <w:gridSpan w:val="2"/>
            <w:tcBorders>
              <w:right w:val="single" w:color="auto" w:sz="4" w:space="0"/>
            </w:tcBorders>
            <w:noWrap w:val="0"/>
            <w:tcMar>
              <w:left w:w="0" w:type="dxa"/>
              <w:right w:w="0" w:type="dxa"/>
            </w:tcMar>
            <w:vAlign w:val="center"/>
          </w:tcPr>
          <w:p w14:paraId="498A692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F3</w:t>
            </w:r>
          </w:p>
        </w:tc>
        <w:tc>
          <w:tcPr>
            <w:tcW w:w="694" w:type="dxa"/>
            <w:tcBorders>
              <w:left w:val="single" w:color="auto" w:sz="4" w:space="0"/>
            </w:tcBorders>
            <w:noWrap w:val="0"/>
            <w:tcMar>
              <w:left w:w="0" w:type="dxa"/>
              <w:right w:w="0" w:type="dxa"/>
            </w:tcMar>
            <w:vAlign w:val="center"/>
          </w:tcPr>
          <w:p w14:paraId="5F7947A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692" w:type="dxa"/>
            <w:gridSpan w:val="3"/>
            <w:noWrap w:val="0"/>
            <w:tcMar>
              <w:left w:w="0" w:type="dxa"/>
              <w:right w:w="0" w:type="dxa"/>
            </w:tcMar>
            <w:vAlign w:val="center"/>
          </w:tcPr>
          <w:p w14:paraId="0A3C452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2CA036F4">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19829</w:t>
            </w:r>
          </w:p>
        </w:tc>
      </w:tr>
      <w:tr w14:paraId="626EB0E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6E29A52E">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3AD66A8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2491" w:type="dxa"/>
            <w:gridSpan w:val="3"/>
            <w:noWrap w:val="0"/>
            <w:tcMar>
              <w:left w:w="0" w:type="dxa"/>
              <w:right w:w="0" w:type="dxa"/>
            </w:tcMar>
            <w:vAlign w:val="center"/>
          </w:tcPr>
          <w:p w14:paraId="7A9FC88F">
            <w:pPr>
              <w:autoSpaceDE w:val="0"/>
              <w:autoSpaceDN w:val="0"/>
              <w:adjustRightInd w:val="0"/>
              <w:snapToGrid w:val="0"/>
              <w:jc w:val="center"/>
              <w:rPr>
                <w:rFonts w:hint="default" w:ascii="Times New Roman" w:hAnsi="Times New Roman" w:cs="Times New Roman"/>
                <w:kern w:val="0"/>
              </w:rPr>
            </w:pPr>
            <w:r>
              <w:rPr>
                <w:rFonts w:hint="default" w:ascii="Times New Roman" w:hAnsi="Times New Roman" w:cs="Times New Roman"/>
                <w:kern w:val="0"/>
              </w:rPr>
              <w:t>牡蛎养殖区1（钦政办〔2019〕45号禁养区）</w:t>
            </w:r>
          </w:p>
        </w:tc>
        <w:tc>
          <w:tcPr>
            <w:tcW w:w="1005" w:type="dxa"/>
            <w:gridSpan w:val="2"/>
            <w:tcBorders>
              <w:right w:val="single" w:color="auto" w:sz="4" w:space="0"/>
            </w:tcBorders>
            <w:noWrap w:val="0"/>
            <w:tcMar>
              <w:left w:w="0" w:type="dxa"/>
              <w:right w:w="0" w:type="dxa"/>
            </w:tcMar>
            <w:vAlign w:val="center"/>
          </w:tcPr>
          <w:p w14:paraId="307EF73A">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F3</w:t>
            </w:r>
          </w:p>
        </w:tc>
        <w:tc>
          <w:tcPr>
            <w:tcW w:w="694" w:type="dxa"/>
            <w:tcBorders>
              <w:left w:val="single" w:color="auto" w:sz="4" w:space="0"/>
            </w:tcBorders>
            <w:noWrap w:val="0"/>
            <w:tcMar>
              <w:left w:w="0" w:type="dxa"/>
              <w:right w:w="0" w:type="dxa"/>
            </w:tcMar>
            <w:vAlign w:val="center"/>
          </w:tcPr>
          <w:p w14:paraId="7D55AD50">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692" w:type="dxa"/>
            <w:gridSpan w:val="3"/>
            <w:noWrap w:val="0"/>
            <w:tcMar>
              <w:left w:w="0" w:type="dxa"/>
              <w:right w:w="0" w:type="dxa"/>
            </w:tcMar>
            <w:vAlign w:val="center"/>
          </w:tcPr>
          <w:p w14:paraId="66AFBAB3">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2CBF133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9408</w:t>
            </w:r>
          </w:p>
        </w:tc>
      </w:tr>
      <w:tr w14:paraId="48029E7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4704CCFE">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3FFA5A6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2491" w:type="dxa"/>
            <w:gridSpan w:val="3"/>
            <w:noWrap w:val="0"/>
            <w:tcMar>
              <w:left w:w="0" w:type="dxa"/>
              <w:right w:w="0" w:type="dxa"/>
            </w:tcMar>
            <w:vAlign w:val="center"/>
          </w:tcPr>
          <w:p w14:paraId="4CED14D9">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牡蛎养殖区2（钦政办〔2019〕45号禁养区）</w:t>
            </w:r>
          </w:p>
        </w:tc>
        <w:tc>
          <w:tcPr>
            <w:tcW w:w="1005" w:type="dxa"/>
            <w:gridSpan w:val="2"/>
            <w:tcBorders>
              <w:right w:val="single" w:color="auto" w:sz="4" w:space="0"/>
            </w:tcBorders>
            <w:noWrap w:val="0"/>
            <w:tcMar>
              <w:left w:w="0" w:type="dxa"/>
              <w:right w:w="0" w:type="dxa"/>
            </w:tcMar>
            <w:vAlign w:val="center"/>
          </w:tcPr>
          <w:p w14:paraId="749783A3">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F3</w:t>
            </w:r>
          </w:p>
        </w:tc>
        <w:tc>
          <w:tcPr>
            <w:tcW w:w="694" w:type="dxa"/>
            <w:tcBorders>
              <w:left w:val="single" w:color="auto" w:sz="4" w:space="0"/>
            </w:tcBorders>
            <w:noWrap w:val="0"/>
            <w:tcMar>
              <w:left w:w="0" w:type="dxa"/>
              <w:right w:w="0" w:type="dxa"/>
            </w:tcMar>
            <w:vAlign w:val="center"/>
          </w:tcPr>
          <w:p w14:paraId="7F23C65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692" w:type="dxa"/>
            <w:gridSpan w:val="3"/>
            <w:noWrap w:val="0"/>
            <w:tcMar>
              <w:left w:w="0" w:type="dxa"/>
              <w:right w:w="0" w:type="dxa"/>
            </w:tcMar>
            <w:vAlign w:val="center"/>
          </w:tcPr>
          <w:p w14:paraId="46F74978">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2AA4DDB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9811</w:t>
            </w:r>
          </w:p>
        </w:tc>
      </w:tr>
      <w:tr w14:paraId="119AFB9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36718658">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7BF26F2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2491" w:type="dxa"/>
            <w:gridSpan w:val="3"/>
            <w:noWrap w:val="0"/>
            <w:tcMar>
              <w:left w:w="0" w:type="dxa"/>
              <w:right w:w="0" w:type="dxa"/>
            </w:tcMar>
            <w:vAlign w:val="center"/>
          </w:tcPr>
          <w:p w14:paraId="45BAE36A">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牡蛎养殖区3</w:t>
            </w:r>
          </w:p>
        </w:tc>
        <w:tc>
          <w:tcPr>
            <w:tcW w:w="1005" w:type="dxa"/>
            <w:gridSpan w:val="2"/>
            <w:tcBorders>
              <w:right w:val="single" w:color="auto" w:sz="4" w:space="0"/>
            </w:tcBorders>
            <w:noWrap w:val="0"/>
            <w:tcMar>
              <w:left w:w="0" w:type="dxa"/>
              <w:right w:w="0" w:type="dxa"/>
            </w:tcMar>
            <w:vAlign w:val="center"/>
          </w:tcPr>
          <w:p w14:paraId="40CE5080">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F3</w:t>
            </w:r>
          </w:p>
        </w:tc>
        <w:tc>
          <w:tcPr>
            <w:tcW w:w="694" w:type="dxa"/>
            <w:tcBorders>
              <w:left w:val="single" w:color="auto" w:sz="4" w:space="0"/>
            </w:tcBorders>
            <w:noWrap w:val="0"/>
            <w:tcMar>
              <w:left w:w="0" w:type="dxa"/>
              <w:right w:w="0" w:type="dxa"/>
            </w:tcMar>
            <w:vAlign w:val="center"/>
          </w:tcPr>
          <w:p w14:paraId="7D2EB7B9">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692" w:type="dxa"/>
            <w:gridSpan w:val="3"/>
            <w:noWrap w:val="0"/>
            <w:tcMar>
              <w:left w:w="0" w:type="dxa"/>
              <w:right w:w="0" w:type="dxa"/>
            </w:tcMar>
            <w:vAlign w:val="center"/>
          </w:tcPr>
          <w:p w14:paraId="46F005E3">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3A3F149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12815</w:t>
            </w:r>
          </w:p>
        </w:tc>
      </w:tr>
      <w:tr w14:paraId="34BD181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2B7BF00A">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163C2A9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2491" w:type="dxa"/>
            <w:gridSpan w:val="3"/>
            <w:noWrap w:val="0"/>
            <w:tcMar>
              <w:left w:w="0" w:type="dxa"/>
              <w:right w:w="0" w:type="dxa"/>
            </w:tcMar>
            <w:vAlign w:val="center"/>
          </w:tcPr>
          <w:p w14:paraId="4E39EDBA">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 xml:space="preserve">牡蛎养殖区4 </w:t>
            </w:r>
          </w:p>
        </w:tc>
        <w:tc>
          <w:tcPr>
            <w:tcW w:w="1005" w:type="dxa"/>
            <w:gridSpan w:val="2"/>
            <w:tcBorders>
              <w:right w:val="single" w:color="auto" w:sz="4" w:space="0"/>
            </w:tcBorders>
            <w:noWrap w:val="0"/>
            <w:tcMar>
              <w:left w:w="0" w:type="dxa"/>
              <w:right w:w="0" w:type="dxa"/>
            </w:tcMar>
            <w:vAlign w:val="center"/>
          </w:tcPr>
          <w:p w14:paraId="50991814">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F3</w:t>
            </w:r>
          </w:p>
        </w:tc>
        <w:tc>
          <w:tcPr>
            <w:tcW w:w="694" w:type="dxa"/>
            <w:tcBorders>
              <w:left w:val="single" w:color="auto" w:sz="4" w:space="0"/>
            </w:tcBorders>
            <w:noWrap w:val="0"/>
            <w:tcMar>
              <w:left w:w="0" w:type="dxa"/>
              <w:right w:w="0" w:type="dxa"/>
            </w:tcMar>
            <w:vAlign w:val="center"/>
          </w:tcPr>
          <w:p w14:paraId="2567FA24">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692" w:type="dxa"/>
            <w:gridSpan w:val="3"/>
            <w:noWrap w:val="0"/>
            <w:tcMar>
              <w:left w:w="0" w:type="dxa"/>
              <w:right w:w="0" w:type="dxa"/>
            </w:tcMar>
            <w:vAlign w:val="center"/>
          </w:tcPr>
          <w:p w14:paraId="7DCFB2F3">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7F6588D1">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8190</w:t>
            </w:r>
          </w:p>
        </w:tc>
      </w:tr>
      <w:tr w14:paraId="1FEC839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2B4BDA5E">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3CB0364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2491" w:type="dxa"/>
            <w:gridSpan w:val="3"/>
            <w:noWrap w:val="0"/>
            <w:tcMar>
              <w:left w:w="0" w:type="dxa"/>
              <w:right w:w="0" w:type="dxa"/>
            </w:tcMar>
            <w:vAlign w:val="center"/>
          </w:tcPr>
          <w:p w14:paraId="52CFED3A">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牡蛎养殖区5（钦政办〔2019〕45号东侧禁养区或限养区）</w:t>
            </w:r>
          </w:p>
        </w:tc>
        <w:tc>
          <w:tcPr>
            <w:tcW w:w="1005" w:type="dxa"/>
            <w:gridSpan w:val="2"/>
            <w:tcBorders>
              <w:right w:val="single" w:color="auto" w:sz="4" w:space="0"/>
            </w:tcBorders>
            <w:noWrap w:val="0"/>
            <w:tcMar>
              <w:left w:w="0" w:type="dxa"/>
              <w:right w:w="0" w:type="dxa"/>
            </w:tcMar>
            <w:vAlign w:val="center"/>
          </w:tcPr>
          <w:p w14:paraId="3D0C6AB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1B60926B">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西南</w:t>
            </w:r>
          </w:p>
        </w:tc>
        <w:tc>
          <w:tcPr>
            <w:tcW w:w="1692" w:type="dxa"/>
            <w:gridSpan w:val="3"/>
            <w:noWrap w:val="0"/>
            <w:tcMar>
              <w:left w:w="0" w:type="dxa"/>
              <w:right w:w="0" w:type="dxa"/>
            </w:tcMar>
            <w:vAlign w:val="center"/>
          </w:tcPr>
          <w:p w14:paraId="1A368DE1">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298C14CB">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6009</w:t>
            </w:r>
          </w:p>
        </w:tc>
      </w:tr>
      <w:tr w14:paraId="544AF01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573C0995">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0463756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2491" w:type="dxa"/>
            <w:gridSpan w:val="3"/>
            <w:noWrap w:val="0"/>
            <w:tcMar>
              <w:left w:w="0" w:type="dxa"/>
              <w:right w:w="0" w:type="dxa"/>
            </w:tcMar>
            <w:vAlign w:val="center"/>
          </w:tcPr>
          <w:p w14:paraId="6FAF9CCC">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牡蛎养殖区6</w:t>
            </w:r>
          </w:p>
        </w:tc>
        <w:tc>
          <w:tcPr>
            <w:tcW w:w="1005" w:type="dxa"/>
            <w:gridSpan w:val="2"/>
            <w:tcBorders>
              <w:right w:val="single" w:color="auto" w:sz="4" w:space="0"/>
            </w:tcBorders>
            <w:noWrap w:val="0"/>
            <w:tcMar>
              <w:left w:w="0" w:type="dxa"/>
              <w:right w:w="0" w:type="dxa"/>
            </w:tcMar>
            <w:vAlign w:val="center"/>
          </w:tcPr>
          <w:p w14:paraId="43403C0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3B7DAAEE">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西南</w:t>
            </w:r>
          </w:p>
        </w:tc>
        <w:tc>
          <w:tcPr>
            <w:tcW w:w="1692" w:type="dxa"/>
            <w:gridSpan w:val="3"/>
            <w:noWrap w:val="0"/>
            <w:tcMar>
              <w:left w:w="0" w:type="dxa"/>
              <w:right w:w="0" w:type="dxa"/>
            </w:tcMar>
            <w:vAlign w:val="center"/>
          </w:tcPr>
          <w:p w14:paraId="4B0EF4ED">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4C6324A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5962</w:t>
            </w:r>
          </w:p>
        </w:tc>
      </w:tr>
      <w:tr w14:paraId="367C60C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3F8EA0A8">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1D3B25A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2491" w:type="dxa"/>
            <w:gridSpan w:val="3"/>
            <w:noWrap w:val="0"/>
            <w:tcMar>
              <w:left w:w="0" w:type="dxa"/>
              <w:right w:w="0" w:type="dxa"/>
            </w:tcMar>
            <w:vAlign w:val="center"/>
          </w:tcPr>
          <w:p w14:paraId="5ABC22FA">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牡蛎养殖区7</w:t>
            </w:r>
          </w:p>
        </w:tc>
        <w:tc>
          <w:tcPr>
            <w:tcW w:w="1005" w:type="dxa"/>
            <w:gridSpan w:val="2"/>
            <w:tcBorders>
              <w:right w:val="single" w:color="auto" w:sz="4" w:space="0"/>
            </w:tcBorders>
            <w:noWrap w:val="0"/>
            <w:tcMar>
              <w:left w:w="0" w:type="dxa"/>
              <w:right w:w="0" w:type="dxa"/>
            </w:tcMar>
            <w:vAlign w:val="center"/>
          </w:tcPr>
          <w:p w14:paraId="273945B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59A9BF73">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w:t>
            </w:r>
          </w:p>
        </w:tc>
        <w:tc>
          <w:tcPr>
            <w:tcW w:w="1692" w:type="dxa"/>
            <w:gridSpan w:val="3"/>
            <w:noWrap w:val="0"/>
            <w:tcMar>
              <w:left w:w="0" w:type="dxa"/>
              <w:right w:w="0" w:type="dxa"/>
            </w:tcMar>
            <w:vAlign w:val="center"/>
          </w:tcPr>
          <w:p w14:paraId="18073F36">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1C96274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6044</w:t>
            </w:r>
          </w:p>
        </w:tc>
      </w:tr>
      <w:tr w14:paraId="3ED4411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470DC09E">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5240FBF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2491" w:type="dxa"/>
            <w:gridSpan w:val="3"/>
            <w:noWrap w:val="0"/>
            <w:tcMar>
              <w:left w:w="0" w:type="dxa"/>
              <w:right w:w="0" w:type="dxa"/>
            </w:tcMar>
            <w:vAlign w:val="center"/>
          </w:tcPr>
          <w:p w14:paraId="6D468F16">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牡蛎养殖区8（钦政办〔2019〕45号禁养区）</w:t>
            </w:r>
          </w:p>
        </w:tc>
        <w:tc>
          <w:tcPr>
            <w:tcW w:w="1005" w:type="dxa"/>
            <w:gridSpan w:val="2"/>
            <w:tcBorders>
              <w:right w:val="single" w:color="auto" w:sz="4" w:space="0"/>
            </w:tcBorders>
            <w:noWrap w:val="0"/>
            <w:tcMar>
              <w:left w:w="0" w:type="dxa"/>
              <w:right w:w="0" w:type="dxa"/>
            </w:tcMar>
            <w:vAlign w:val="center"/>
          </w:tcPr>
          <w:p w14:paraId="11EE012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2456F64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w:t>
            </w:r>
          </w:p>
        </w:tc>
        <w:tc>
          <w:tcPr>
            <w:tcW w:w="1692" w:type="dxa"/>
            <w:gridSpan w:val="3"/>
            <w:noWrap w:val="0"/>
            <w:tcMar>
              <w:left w:w="0" w:type="dxa"/>
              <w:right w:w="0" w:type="dxa"/>
            </w:tcMar>
            <w:vAlign w:val="center"/>
          </w:tcPr>
          <w:p w14:paraId="0887F628">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707F7608">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w:t>
            </w:r>
          </w:p>
        </w:tc>
      </w:tr>
      <w:tr w14:paraId="41B3858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263A854D">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260C147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2491" w:type="dxa"/>
            <w:gridSpan w:val="3"/>
            <w:noWrap w:val="0"/>
            <w:tcMar>
              <w:left w:w="0" w:type="dxa"/>
              <w:right w:w="0" w:type="dxa"/>
            </w:tcMar>
            <w:vAlign w:val="center"/>
          </w:tcPr>
          <w:p w14:paraId="2579834E">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网箱鱼类养殖区1（含在牡蛎养殖区5内）</w:t>
            </w:r>
          </w:p>
        </w:tc>
        <w:tc>
          <w:tcPr>
            <w:tcW w:w="1005" w:type="dxa"/>
            <w:gridSpan w:val="2"/>
            <w:tcBorders>
              <w:right w:val="single" w:color="auto" w:sz="4" w:space="0"/>
            </w:tcBorders>
            <w:noWrap w:val="0"/>
            <w:tcMar>
              <w:left w:w="0" w:type="dxa"/>
              <w:right w:w="0" w:type="dxa"/>
            </w:tcMar>
            <w:vAlign w:val="center"/>
          </w:tcPr>
          <w:p w14:paraId="55BE4BF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48F4E909">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692" w:type="dxa"/>
            <w:gridSpan w:val="3"/>
            <w:noWrap w:val="0"/>
            <w:tcMar>
              <w:left w:w="0" w:type="dxa"/>
              <w:right w:w="0" w:type="dxa"/>
            </w:tcMar>
            <w:vAlign w:val="center"/>
          </w:tcPr>
          <w:p w14:paraId="56A510F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S2</w:t>
            </w:r>
          </w:p>
        </w:tc>
        <w:tc>
          <w:tcPr>
            <w:tcW w:w="1244" w:type="dxa"/>
            <w:noWrap w:val="0"/>
            <w:tcMar>
              <w:left w:w="0" w:type="dxa"/>
              <w:right w:w="0" w:type="dxa"/>
            </w:tcMar>
            <w:vAlign w:val="center"/>
          </w:tcPr>
          <w:p w14:paraId="0A092922">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000000"/>
                <w:sz w:val="21"/>
                <w:szCs w:val="21"/>
                <w:lang w:val="en-US" w:eastAsia="zh-CN"/>
              </w:rPr>
              <w:t>9408</w:t>
            </w:r>
          </w:p>
        </w:tc>
      </w:tr>
      <w:tr w14:paraId="6AF1F85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7863735B">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6B20819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2491" w:type="dxa"/>
            <w:gridSpan w:val="3"/>
            <w:noWrap w:val="0"/>
            <w:tcMar>
              <w:left w:w="0" w:type="dxa"/>
              <w:right w:w="0" w:type="dxa"/>
            </w:tcMar>
            <w:vAlign w:val="center"/>
          </w:tcPr>
          <w:p w14:paraId="0ECD0E5C">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网箱鱼类养殖区2（含在牡蛎养殖区6内）</w:t>
            </w:r>
          </w:p>
        </w:tc>
        <w:tc>
          <w:tcPr>
            <w:tcW w:w="1005" w:type="dxa"/>
            <w:gridSpan w:val="2"/>
            <w:tcBorders>
              <w:right w:val="single" w:color="auto" w:sz="4" w:space="0"/>
            </w:tcBorders>
            <w:noWrap w:val="0"/>
            <w:tcMar>
              <w:left w:w="0" w:type="dxa"/>
              <w:right w:w="0" w:type="dxa"/>
            </w:tcMar>
            <w:vAlign w:val="center"/>
          </w:tcPr>
          <w:p w14:paraId="3C2F115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267492FD">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692" w:type="dxa"/>
            <w:gridSpan w:val="3"/>
            <w:noWrap w:val="0"/>
            <w:tcMar>
              <w:left w:w="0" w:type="dxa"/>
              <w:right w:w="0" w:type="dxa"/>
            </w:tcMar>
            <w:vAlign w:val="center"/>
          </w:tcPr>
          <w:p w14:paraId="299CD34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S2</w:t>
            </w:r>
          </w:p>
        </w:tc>
        <w:tc>
          <w:tcPr>
            <w:tcW w:w="1244" w:type="dxa"/>
            <w:noWrap w:val="0"/>
            <w:tcMar>
              <w:left w:w="0" w:type="dxa"/>
              <w:right w:w="0" w:type="dxa"/>
            </w:tcMar>
            <w:vAlign w:val="center"/>
          </w:tcPr>
          <w:p w14:paraId="2197F8F8">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000000"/>
                <w:sz w:val="21"/>
                <w:szCs w:val="21"/>
                <w:lang w:val="en-US" w:eastAsia="zh-CN"/>
              </w:rPr>
              <w:t>9811</w:t>
            </w:r>
          </w:p>
        </w:tc>
      </w:tr>
      <w:tr w14:paraId="0C63BEB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0B5FE94B">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5842DF1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2491" w:type="dxa"/>
            <w:gridSpan w:val="3"/>
            <w:noWrap w:val="0"/>
            <w:tcMar>
              <w:left w:w="0" w:type="dxa"/>
              <w:right w:w="0" w:type="dxa"/>
            </w:tcMar>
            <w:vAlign w:val="center"/>
          </w:tcPr>
          <w:p w14:paraId="2C9E7923">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网箱鱼类养殖区3（含在牡蛎养殖区6内）</w:t>
            </w:r>
          </w:p>
        </w:tc>
        <w:tc>
          <w:tcPr>
            <w:tcW w:w="1005" w:type="dxa"/>
            <w:gridSpan w:val="2"/>
            <w:tcBorders>
              <w:right w:val="single" w:color="auto" w:sz="4" w:space="0"/>
            </w:tcBorders>
            <w:noWrap w:val="0"/>
            <w:tcMar>
              <w:left w:w="0" w:type="dxa"/>
              <w:right w:w="0" w:type="dxa"/>
            </w:tcMar>
            <w:vAlign w:val="center"/>
          </w:tcPr>
          <w:p w14:paraId="13C4A50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1073983E">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692" w:type="dxa"/>
            <w:gridSpan w:val="3"/>
            <w:noWrap w:val="0"/>
            <w:tcMar>
              <w:left w:w="0" w:type="dxa"/>
              <w:right w:w="0" w:type="dxa"/>
            </w:tcMar>
            <w:vAlign w:val="center"/>
          </w:tcPr>
          <w:p w14:paraId="05CB0C8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S2</w:t>
            </w:r>
          </w:p>
        </w:tc>
        <w:tc>
          <w:tcPr>
            <w:tcW w:w="1244" w:type="dxa"/>
            <w:noWrap w:val="0"/>
            <w:tcMar>
              <w:left w:w="0" w:type="dxa"/>
              <w:right w:w="0" w:type="dxa"/>
            </w:tcMar>
            <w:vAlign w:val="center"/>
          </w:tcPr>
          <w:p w14:paraId="75A14A99">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000000"/>
                <w:sz w:val="21"/>
                <w:szCs w:val="21"/>
                <w:lang w:val="en-US" w:eastAsia="zh-CN"/>
              </w:rPr>
              <w:t>12815</w:t>
            </w:r>
          </w:p>
        </w:tc>
      </w:tr>
      <w:tr w14:paraId="368A8DC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19BBFC74">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3B4515B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2491" w:type="dxa"/>
            <w:gridSpan w:val="3"/>
            <w:noWrap w:val="0"/>
            <w:tcMar>
              <w:left w:w="0" w:type="dxa"/>
              <w:right w:w="0" w:type="dxa"/>
            </w:tcMar>
            <w:vAlign w:val="center"/>
          </w:tcPr>
          <w:p w14:paraId="0D684F6D">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三娘湾南离岸浅海养殖（主要为贝类浅海底播养殖、贝类浮筏吊养殖、网箱鱼类养殖等）</w:t>
            </w:r>
          </w:p>
        </w:tc>
        <w:tc>
          <w:tcPr>
            <w:tcW w:w="1005" w:type="dxa"/>
            <w:gridSpan w:val="2"/>
            <w:tcBorders>
              <w:right w:val="single" w:color="auto" w:sz="4" w:space="0"/>
            </w:tcBorders>
            <w:noWrap w:val="0"/>
            <w:tcMar>
              <w:left w:w="0" w:type="dxa"/>
              <w:right w:w="0" w:type="dxa"/>
            </w:tcMar>
            <w:vAlign w:val="center"/>
          </w:tcPr>
          <w:p w14:paraId="1E843D1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6DFCBF6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692" w:type="dxa"/>
            <w:gridSpan w:val="3"/>
            <w:noWrap w:val="0"/>
            <w:tcMar>
              <w:left w:w="0" w:type="dxa"/>
              <w:right w:w="0" w:type="dxa"/>
            </w:tcMar>
            <w:vAlign w:val="center"/>
          </w:tcPr>
          <w:p w14:paraId="20F3597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08D30A9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21640</w:t>
            </w:r>
          </w:p>
        </w:tc>
      </w:tr>
      <w:tr w14:paraId="7F28FFE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36966289">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115B9DC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2491" w:type="dxa"/>
            <w:gridSpan w:val="3"/>
            <w:noWrap w:val="0"/>
            <w:tcMar>
              <w:left w:w="0" w:type="dxa"/>
              <w:right w:w="0" w:type="dxa"/>
            </w:tcMar>
            <w:vAlign w:val="center"/>
          </w:tcPr>
          <w:p w14:paraId="10B5ADE3">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钦州外湾农渔业区</w:t>
            </w:r>
          </w:p>
        </w:tc>
        <w:tc>
          <w:tcPr>
            <w:tcW w:w="1005" w:type="dxa"/>
            <w:gridSpan w:val="2"/>
            <w:tcBorders>
              <w:right w:val="single" w:color="auto" w:sz="4" w:space="0"/>
            </w:tcBorders>
            <w:noWrap w:val="0"/>
            <w:tcMar>
              <w:left w:w="0" w:type="dxa"/>
              <w:right w:w="0" w:type="dxa"/>
            </w:tcMar>
            <w:vAlign w:val="center"/>
          </w:tcPr>
          <w:p w14:paraId="2383591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0B44A29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南</w:t>
            </w:r>
          </w:p>
        </w:tc>
        <w:tc>
          <w:tcPr>
            <w:tcW w:w="1692" w:type="dxa"/>
            <w:gridSpan w:val="3"/>
            <w:noWrap w:val="0"/>
            <w:tcMar>
              <w:left w:w="0" w:type="dxa"/>
              <w:right w:w="0" w:type="dxa"/>
            </w:tcMar>
            <w:vAlign w:val="center"/>
          </w:tcPr>
          <w:p w14:paraId="51B26EE1">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27B450F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21800</w:t>
            </w:r>
          </w:p>
        </w:tc>
      </w:tr>
      <w:tr w14:paraId="7698CAA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0213D0D8">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6D50BD1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2491" w:type="dxa"/>
            <w:gridSpan w:val="3"/>
            <w:noWrap w:val="0"/>
            <w:tcMar>
              <w:left w:w="0" w:type="dxa"/>
              <w:right w:w="0" w:type="dxa"/>
            </w:tcMar>
            <w:vAlign w:val="center"/>
          </w:tcPr>
          <w:p w14:paraId="1A49FAA0">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企沙半岛南部农渔业区</w:t>
            </w:r>
          </w:p>
        </w:tc>
        <w:tc>
          <w:tcPr>
            <w:tcW w:w="1005" w:type="dxa"/>
            <w:gridSpan w:val="2"/>
            <w:tcBorders>
              <w:right w:val="single" w:color="auto" w:sz="4" w:space="0"/>
            </w:tcBorders>
            <w:noWrap w:val="0"/>
            <w:tcMar>
              <w:left w:w="0" w:type="dxa"/>
              <w:right w:w="0" w:type="dxa"/>
            </w:tcMar>
            <w:vAlign w:val="center"/>
          </w:tcPr>
          <w:p w14:paraId="135F991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248F7EAA">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西南</w:t>
            </w:r>
          </w:p>
        </w:tc>
        <w:tc>
          <w:tcPr>
            <w:tcW w:w="1692" w:type="dxa"/>
            <w:gridSpan w:val="3"/>
            <w:noWrap w:val="0"/>
            <w:tcMar>
              <w:left w:w="0" w:type="dxa"/>
              <w:right w:w="0" w:type="dxa"/>
            </w:tcMar>
            <w:vAlign w:val="center"/>
          </w:tcPr>
          <w:p w14:paraId="3D39916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2790648C">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23110</w:t>
            </w:r>
          </w:p>
        </w:tc>
      </w:tr>
      <w:tr w14:paraId="7308377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2B988799">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5660735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2491" w:type="dxa"/>
            <w:gridSpan w:val="3"/>
            <w:noWrap w:val="0"/>
            <w:tcMar>
              <w:left w:w="0" w:type="dxa"/>
              <w:right w:w="0" w:type="dxa"/>
            </w:tcMar>
            <w:vAlign w:val="center"/>
          </w:tcPr>
          <w:p w14:paraId="713D9A37">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 xml:space="preserve">钦州湾东南部农渔业区 </w:t>
            </w:r>
          </w:p>
        </w:tc>
        <w:tc>
          <w:tcPr>
            <w:tcW w:w="1005" w:type="dxa"/>
            <w:gridSpan w:val="2"/>
            <w:tcBorders>
              <w:right w:val="single" w:color="auto" w:sz="4" w:space="0"/>
            </w:tcBorders>
            <w:noWrap w:val="0"/>
            <w:tcMar>
              <w:left w:w="0" w:type="dxa"/>
              <w:right w:w="0" w:type="dxa"/>
            </w:tcMar>
            <w:vAlign w:val="center"/>
          </w:tcPr>
          <w:p w14:paraId="6347B3E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39ABFE5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692" w:type="dxa"/>
            <w:gridSpan w:val="3"/>
            <w:noWrap w:val="0"/>
            <w:tcMar>
              <w:left w:w="0" w:type="dxa"/>
              <w:right w:w="0" w:type="dxa"/>
            </w:tcMar>
            <w:vAlign w:val="center"/>
          </w:tcPr>
          <w:p w14:paraId="3BC74E3F">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S2</w:t>
            </w:r>
          </w:p>
        </w:tc>
        <w:tc>
          <w:tcPr>
            <w:tcW w:w="1244" w:type="dxa"/>
            <w:noWrap w:val="0"/>
            <w:tcMar>
              <w:left w:w="0" w:type="dxa"/>
              <w:right w:w="0" w:type="dxa"/>
            </w:tcMar>
            <w:vAlign w:val="center"/>
          </w:tcPr>
          <w:p w14:paraId="4121AF86">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23172</w:t>
            </w:r>
          </w:p>
        </w:tc>
      </w:tr>
      <w:tr w14:paraId="7D05B23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73D246EA">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03A243E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2491" w:type="dxa"/>
            <w:gridSpan w:val="3"/>
            <w:noWrap w:val="0"/>
            <w:tcMar>
              <w:left w:w="0" w:type="dxa"/>
              <w:right w:w="0" w:type="dxa"/>
            </w:tcMar>
            <w:vAlign w:val="center"/>
          </w:tcPr>
          <w:p w14:paraId="17940B2A">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kern w:val="0"/>
              </w:rPr>
              <w:t>白海豚分布区</w:t>
            </w:r>
          </w:p>
        </w:tc>
        <w:tc>
          <w:tcPr>
            <w:tcW w:w="1005" w:type="dxa"/>
            <w:gridSpan w:val="2"/>
            <w:tcBorders>
              <w:right w:val="single" w:color="auto" w:sz="4" w:space="0"/>
            </w:tcBorders>
            <w:noWrap w:val="0"/>
            <w:tcMar>
              <w:left w:w="0" w:type="dxa"/>
              <w:right w:w="0" w:type="dxa"/>
            </w:tcMar>
            <w:vAlign w:val="center"/>
          </w:tcPr>
          <w:p w14:paraId="06A6CD7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F3</w:t>
            </w:r>
          </w:p>
        </w:tc>
        <w:tc>
          <w:tcPr>
            <w:tcW w:w="694" w:type="dxa"/>
            <w:tcBorders>
              <w:left w:val="single" w:color="auto" w:sz="4" w:space="0"/>
            </w:tcBorders>
            <w:noWrap w:val="0"/>
            <w:tcMar>
              <w:left w:w="0" w:type="dxa"/>
              <w:right w:w="0" w:type="dxa"/>
            </w:tcMar>
            <w:vAlign w:val="center"/>
          </w:tcPr>
          <w:p w14:paraId="5279D890">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东南</w:t>
            </w:r>
          </w:p>
        </w:tc>
        <w:tc>
          <w:tcPr>
            <w:tcW w:w="1692" w:type="dxa"/>
            <w:gridSpan w:val="3"/>
            <w:noWrap w:val="0"/>
            <w:tcMar>
              <w:left w:w="0" w:type="dxa"/>
              <w:right w:w="0" w:type="dxa"/>
            </w:tcMar>
            <w:vAlign w:val="center"/>
          </w:tcPr>
          <w:p w14:paraId="3EC1F227">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S1</w:t>
            </w:r>
          </w:p>
        </w:tc>
        <w:tc>
          <w:tcPr>
            <w:tcW w:w="1244" w:type="dxa"/>
            <w:noWrap w:val="0"/>
            <w:tcMar>
              <w:left w:w="0" w:type="dxa"/>
              <w:right w:w="0" w:type="dxa"/>
            </w:tcMar>
            <w:vAlign w:val="center"/>
          </w:tcPr>
          <w:p w14:paraId="50844CE0">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21189</w:t>
            </w:r>
          </w:p>
        </w:tc>
      </w:tr>
      <w:tr w14:paraId="1C61086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527A3803">
            <w:pPr>
              <w:adjustRightInd w:val="0"/>
              <w:snapToGrid w:val="0"/>
              <w:jc w:val="center"/>
              <w:rPr>
                <w:rFonts w:hint="default" w:ascii="Times New Roman" w:hAnsi="Times New Roman" w:eastAsia="宋体" w:cs="Times New Roman"/>
                <w:color w:val="auto"/>
                <w:sz w:val="21"/>
                <w:szCs w:val="21"/>
                <w:lang w:val="en-US" w:eastAsia="zh-CN"/>
              </w:rPr>
            </w:pPr>
          </w:p>
        </w:tc>
        <w:tc>
          <w:tcPr>
            <w:tcW w:w="6918" w:type="dxa"/>
            <w:gridSpan w:val="11"/>
            <w:noWrap w:val="0"/>
            <w:tcMar>
              <w:left w:w="0" w:type="dxa"/>
              <w:right w:w="0" w:type="dxa"/>
            </w:tcMar>
            <w:vAlign w:val="center"/>
          </w:tcPr>
          <w:p w14:paraId="4FA8FCD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地表水环境敏感程度E值</w:t>
            </w:r>
          </w:p>
        </w:tc>
        <w:tc>
          <w:tcPr>
            <w:tcW w:w="1244" w:type="dxa"/>
            <w:noWrap w:val="0"/>
            <w:tcMar>
              <w:left w:w="0" w:type="dxa"/>
              <w:right w:w="0" w:type="dxa"/>
            </w:tcMar>
            <w:vAlign w:val="center"/>
          </w:tcPr>
          <w:p w14:paraId="47CFE95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E2</w:t>
            </w:r>
          </w:p>
        </w:tc>
      </w:tr>
      <w:tr w14:paraId="4FE20ED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restart"/>
            <w:noWrap w:val="0"/>
            <w:tcMar>
              <w:left w:w="0" w:type="dxa"/>
              <w:right w:w="0" w:type="dxa"/>
            </w:tcMar>
            <w:vAlign w:val="center"/>
          </w:tcPr>
          <w:p w14:paraId="7FF9300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地下水</w:t>
            </w:r>
          </w:p>
        </w:tc>
        <w:tc>
          <w:tcPr>
            <w:tcW w:w="1036" w:type="dxa"/>
            <w:gridSpan w:val="2"/>
            <w:noWrap w:val="0"/>
            <w:tcMar>
              <w:left w:w="0" w:type="dxa"/>
              <w:right w:w="0" w:type="dxa"/>
            </w:tcMar>
            <w:vAlign w:val="center"/>
          </w:tcPr>
          <w:p w14:paraId="18B038A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1455" w:type="dxa"/>
            <w:noWrap w:val="0"/>
            <w:tcMar>
              <w:left w:w="0" w:type="dxa"/>
              <w:right w:w="0" w:type="dxa"/>
            </w:tcMar>
            <w:vAlign w:val="center"/>
          </w:tcPr>
          <w:p w14:paraId="5172911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环境敏感区名称</w:t>
            </w:r>
          </w:p>
        </w:tc>
        <w:tc>
          <w:tcPr>
            <w:tcW w:w="1036" w:type="dxa"/>
            <w:gridSpan w:val="2"/>
            <w:noWrap w:val="0"/>
            <w:tcMar>
              <w:left w:w="0" w:type="dxa"/>
              <w:right w:w="0" w:type="dxa"/>
            </w:tcMar>
            <w:vAlign w:val="center"/>
          </w:tcPr>
          <w:p w14:paraId="40C6284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p w14:paraId="0FCE0C5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敏感特征</w:t>
            </w:r>
          </w:p>
        </w:tc>
        <w:tc>
          <w:tcPr>
            <w:tcW w:w="1699" w:type="dxa"/>
            <w:gridSpan w:val="3"/>
            <w:noWrap w:val="0"/>
            <w:tcMar>
              <w:left w:w="0" w:type="dxa"/>
              <w:right w:w="0" w:type="dxa"/>
            </w:tcMar>
            <w:vAlign w:val="center"/>
          </w:tcPr>
          <w:p w14:paraId="17FD46D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水质目标</w:t>
            </w:r>
          </w:p>
        </w:tc>
        <w:tc>
          <w:tcPr>
            <w:tcW w:w="1692" w:type="dxa"/>
            <w:gridSpan w:val="3"/>
            <w:noWrap w:val="0"/>
            <w:tcMar>
              <w:left w:w="0" w:type="dxa"/>
              <w:right w:w="0" w:type="dxa"/>
            </w:tcMar>
            <w:vAlign w:val="center"/>
          </w:tcPr>
          <w:p w14:paraId="745C68B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包气带防污性能</w:t>
            </w:r>
          </w:p>
        </w:tc>
        <w:tc>
          <w:tcPr>
            <w:tcW w:w="1244" w:type="dxa"/>
            <w:noWrap w:val="0"/>
            <w:tcMar>
              <w:left w:w="0" w:type="dxa"/>
              <w:right w:w="0" w:type="dxa"/>
            </w:tcMar>
            <w:vAlign w:val="center"/>
          </w:tcPr>
          <w:p w14:paraId="65DA860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与下游厂界距离/m</w:t>
            </w:r>
          </w:p>
        </w:tc>
      </w:tr>
      <w:tr w14:paraId="3FA199D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21311926">
            <w:pPr>
              <w:adjustRightInd w:val="0"/>
              <w:snapToGrid w:val="0"/>
              <w:jc w:val="center"/>
              <w:rPr>
                <w:rFonts w:hint="default" w:ascii="Times New Roman" w:hAnsi="Times New Roman" w:eastAsia="宋体" w:cs="Times New Roman"/>
                <w:color w:val="auto"/>
                <w:sz w:val="21"/>
                <w:szCs w:val="21"/>
                <w:lang w:val="en-US" w:eastAsia="zh-CN"/>
              </w:rPr>
            </w:pPr>
          </w:p>
        </w:tc>
        <w:tc>
          <w:tcPr>
            <w:tcW w:w="1036" w:type="dxa"/>
            <w:gridSpan w:val="2"/>
            <w:noWrap w:val="0"/>
            <w:tcMar>
              <w:left w:w="0" w:type="dxa"/>
              <w:right w:w="0" w:type="dxa"/>
            </w:tcMar>
            <w:vAlign w:val="center"/>
          </w:tcPr>
          <w:p w14:paraId="1D81E63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55" w:type="dxa"/>
            <w:noWrap w:val="0"/>
            <w:tcMar>
              <w:left w:w="0" w:type="dxa"/>
              <w:right w:w="0" w:type="dxa"/>
            </w:tcMar>
            <w:vAlign w:val="center"/>
          </w:tcPr>
          <w:p w14:paraId="4AC3C3A0">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下游含水层</w:t>
            </w:r>
          </w:p>
        </w:tc>
        <w:tc>
          <w:tcPr>
            <w:tcW w:w="1036" w:type="dxa"/>
            <w:gridSpan w:val="2"/>
            <w:noWrap w:val="0"/>
            <w:tcMar>
              <w:left w:w="0" w:type="dxa"/>
              <w:right w:w="0" w:type="dxa"/>
            </w:tcMar>
            <w:vAlign w:val="center"/>
          </w:tcPr>
          <w:p w14:paraId="006BE37F">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G3</w:t>
            </w:r>
          </w:p>
        </w:tc>
        <w:tc>
          <w:tcPr>
            <w:tcW w:w="1699" w:type="dxa"/>
            <w:gridSpan w:val="3"/>
            <w:noWrap w:val="0"/>
            <w:tcMar>
              <w:left w:w="0" w:type="dxa"/>
              <w:right w:w="0" w:type="dxa"/>
            </w:tcMar>
            <w:vAlign w:val="center"/>
          </w:tcPr>
          <w:p w14:paraId="062A0EAD">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Ⅲ</w:t>
            </w:r>
          </w:p>
        </w:tc>
        <w:tc>
          <w:tcPr>
            <w:tcW w:w="1692" w:type="dxa"/>
            <w:gridSpan w:val="3"/>
            <w:noWrap w:val="0"/>
            <w:tcMar>
              <w:left w:w="0" w:type="dxa"/>
              <w:right w:w="0" w:type="dxa"/>
            </w:tcMar>
            <w:vAlign w:val="center"/>
          </w:tcPr>
          <w:p w14:paraId="679537FA">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D</w:t>
            </w:r>
            <w:r>
              <w:rPr>
                <w:rFonts w:hint="eastAsia" w:ascii="Times New Roman" w:hAnsi="Times New Roman" w:eastAsia="宋体" w:cs="Times New Roman"/>
                <w:color w:val="000000"/>
                <w:sz w:val="21"/>
                <w:szCs w:val="21"/>
                <w:lang w:val="en-US" w:eastAsia="zh-CN"/>
              </w:rPr>
              <w:t>1</w:t>
            </w:r>
          </w:p>
        </w:tc>
        <w:tc>
          <w:tcPr>
            <w:tcW w:w="1244" w:type="dxa"/>
            <w:noWrap w:val="0"/>
            <w:tcMar>
              <w:left w:w="0" w:type="dxa"/>
              <w:right w:w="0" w:type="dxa"/>
            </w:tcMar>
            <w:vAlign w:val="center"/>
          </w:tcPr>
          <w:p w14:paraId="4A8400B6">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14:paraId="4828895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22" w:type="dxa"/>
            <w:vMerge w:val="continue"/>
            <w:noWrap w:val="0"/>
            <w:tcMar>
              <w:left w:w="0" w:type="dxa"/>
              <w:right w:w="0" w:type="dxa"/>
            </w:tcMar>
            <w:vAlign w:val="center"/>
          </w:tcPr>
          <w:p w14:paraId="6448C637">
            <w:pPr>
              <w:adjustRightInd w:val="0"/>
              <w:snapToGrid w:val="0"/>
              <w:jc w:val="center"/>
              <w:rPr>
                <w:rFonts w:hint="default" w:ascii="Times New Roman" w:hAnsi="Times New Roman" w:eastAsia="宋体" w:cs="Times New Roman"/>
                <w:color w:val="auto"/>
                <w:sz w:val="21"/>
                <w:szCs w:val="21"/>
                <w:lang w:val="en-US" w:eastAsia="zh-CN"/>
              </w:rPr>
            </w:pPr>
          </w:p>
        </w:tc>
        <w:tc>
          <w:tcPr>
            <w:tcW w:w="6918" w:type="dxa"/>
            <w:gridSpan w:val="11"/>
            <w:noWrap w:val="0"/>
            <w:tcMar>
              <w:left w:w="0" w:type="dxa"/>
              <w:right w:w="0" w:type="dxa"/>
            </w:tcMar>
            <w:vAlign w:val="center"/>
          </w:tcPr>
          <w:p w14:paraId="0BF40812">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地下水环境敏感程度E值</w:t>
            </w:r>
          </w:p>
        </w:tc>
        <w:tc>
          <w:tcPr>
            <w:tcW w:w="1244" w:type="dxa"/>
            <w:noWrap w:val="0"/>
            <w:tcMar>
              <w:left w:w="0" w:type="dxa"/>
              <w:right w:w="0" w:type="dxa"/>
            </w:tcMar>
            <w:vAlign w:val="center"/>
          </w:tcPr>
          <w:p w14:paraId="0BB5215F">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E2</w:t>
            </w:r>
          </w:p>
        </w:tc>
      </w:tr>
      <w:bookmarkEnd w:id="42"/>
    </w:tbl>
    <w:p w14:paraId="744AE908">
      <w:pPr>
        <w:pStyle w:val="3"/>
        <w:numPr>
          <w:ilvl w:val="1"/>
          <w:numId w:val="9"/>
        </w:numPr>
        <w:spacing w:before="210" w:after="210" w:line="500" w:lineRule="exact"/>
        <w:ind w:left="567" w:leftChars="0" w:hanging="567" w:firstLineChars="0"/>
        <w:rPr>
          <w:rFonts w:hint="default" w:ascii="Times New Roman" w:hAnsi="Times New Roman" w:eastAsia="宋体" w:cs="Times New Roman"/>
          <w:b/>
          <w:bCs w:val="0"/>
          <w:color w:val="000000"/>
          <w:sz w:val="28"/>
          <w:szCs w:val="22"/>
          <w:lang w:val="zh-CN" w:eastAsia="zh-CN"/>
        </w:rPr>
      </w:pPr>
      <w:bookmarkStart w:id="44" w:name="_Toc85"/>
      <w:bookmarkStart w:id="45" w:name="_Toc31034"/>
      <w:bookmarkStart w:id="46" w:name="_Toc457"/>
      <w:r>
        <w:rPr>
          <w:rFonts w:hint="default" w:ascii="Times New Roman" w:hAnsi="Times New Roman" w:eastAsia="宋体" w:cs="Times New Roman"/>
          <w:b/>
          <w:bCs w:val="0"/>
          <w:color w:val="000000"/>
          <w:sz w:val="28"/>
          <w:szCs w:val="22"/>
          <w:lang w:val="zh-CN" w:eastAsia="zh-CN"/>
        </w:rPr>
        <w:t>环境风险潜势初判</w:t>
      </w:r>
      <w:bookmarkEnd w:id="44"/>
      <w:bookmarkEnd w:id="45"/>
      <w:bookmarkEnd w:id="46"/>
    </w:p>
    <w:p w14:paraId="1BEF3C78">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zh-CN" w:eastAsia="zh-CN"/>
        </w:rPr>
      </w:pPr>
      <w:r>
        <w:rPr>
          <w:rFonts w:hint="default" w:ascii="Times New Roman" w:hAnsi="Times New Roman" w:eastAsia="宋体" w:cs="Times New Roman"/>
          <w:b/>
          <w:bCs/>
          <w:color w:val="000000"/>
          <w:kern w:val="0"/>
          <w:sz w:val="24"/>
          <w:szCs w:val="24"/>
          <w:lang w:val="en-US" w:eastAsia="zh-CN"/>
        </w:rPr>
        <w:t xml:space="preserve"> </w:t>
      </w:r>
      <w:r>
        <w:rPr>
          <w:rFonts w:hint="default" w:ascii="Times New Roman" w:hAnsi="Times New Roman" w:eastAsia="宋体" w:cs="Times New Roman"/>
          <w:b/>
          <w:bCs/>
          <w:color w:val="000000"/>
          <w:kern w:val="0"/>
          <w:sz w:val="24"/>
          <w:szCs w:val="24"/>
          <w:lang w:val="zh-CN" w:eastAsia="zh-CN"/>
        </w:rPr>
        <w:t>危险物质数量与临界量比值（Q）</w:t>
      </w:r>
    </w:p>
    <w:p w14:paraId="6FA5B806">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计算所涉及的每种危险物质在厂界内的最大存在总量与其在《建设项目环境风险评价技术导则》（HJ169-2018）附录B中对应临界量的比值Q。</w:t>
      </w:r>
    </w:p>
    <w:p w14:paraId="16DEEEB0">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当只涉及一种危险物质时，计算该物质的总量与其临界量比值，即为Q；</w:t>
      </w:r>
    </w:p>
    <w:p w14:paraId="1E9C8BBD">
      <w:pPr>
        <w:autoSpaceDE w:val="0"/>
        <w:autoSpaceDN w:val="0"/>
        <w:adjustRightInd w:val="0"/>
        <w:spacing w:line="500" w:lineRule="exact"/>
        <w:ind w:firstLine="49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pacing w:val="10"/>
          <w:sz w:val="24"/>
          <w:szCs w:val="32"/>
          <w:lang w:val="en-US" w:eastAsia="zh-CN"/>
        </w:rPr>
        <w:t>当存在多种危险物质时，则按下面公式计算物质总量与其临界量比值（Q）：</w:t>
      </w:r>
    </w:p>
    <w:p w14:paraId="3797D72B">
      <w:pPr>
        <w:pStyle w:val="6"/>
        <w:spacing w:line="500" w:lineRule="exact"/>
        <w:ind w:firstLine="450" w:firstLineChars="20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Q=q</w:t>
      </w:r>
      <w:r>
        <w:rPr>
          <w:rFonts w:hint="default" w:ascii="Times New Roman" w:hAnsi="Times New Roman" w:eastAsia="宋体" w:cs="Times New Roman"/>
          <w:color w:val="000000"/>
          <w:sz w:val="24"/>
          <w:szCs w:val="24"/>
          <w:vertAlign w:val="subscript"/>
          <w:lang w:val="en-US" w:eastAsia="zh-CN"/>
        </w:rPr>
        <w:t>1</w:t>
      </w:r>
      <w:r>
        <w:rPr>
          <w:rFonts w:hint="default" w:ascii="Times New Roman" w:hAnsi="Times New Roman" w:eastAsia="宋体" w:cs="Times New Roman"/>
          <w:color w:val="000000"/>
          <w:sz w:val="24"/>
          <w:szCs w:val="24"/>
          <w:lang w:val="en-US" w:eastAsia="zh-CN"/>
        </w:rPr>
        <w:t>/Q1+q</w:t>
      </w:r>
      <w:r>
        <w:rPr>
          <w:rFonts w:hint="default" w:ascii="Times New Roman" w:hAnsi="Times New Roman" w:eastAsia="宋体" w:cs="Times New Roman"/>
          <w:color w:val="000000"/>
          <w:sz w:val="24"/>
          <w:szCs w:val="24"/>
          <w:vertAlign w:val="subscript"/>
          <w:lang w:val="en-US" w:eastAsia="zh-CN"/>
        </w:rPr>
        <w:t>2</w:t>
      </w:r>
      <w:r>
        <w:rPr>
          <w:rFonts w:hint="default" w:ascii="Times New Roman" w:hAnsi="Times New Roman" w:eastAsia="宋体" w:cs="Times New Roman"/>
          <w:color w:val="000000"/>
          <w:sz w:val="24"/>
          <w:szCs w:val="24"/>
          <w:lang w:val="en-US" w:eastAsia="zh-CN"/>
        </w:rPr>
        <w:t>/Q</w:t>
      </w:r>
      <w:r>
        <w:rPr>
          <w:rFonts w:hint="default" w:ascii="Times New Roman" w:hAnsi="Times New Roman" w:eastAsia="宋体" w:cs="Times New Roman"/>
          <w:color w:val="000000"/>
          <w:sz w:val="24"/>
          <w:szCs w:val="24"/>
          <w:vertAlign w:val="subscript"/>
          <w:lang w:val="en-US" w:eastAsia="zh-CN"/>
        </w:rPr>
        <w:t>2</w:t>
      </w:r>
      <w:r>
        <w:rPr>
          <w:rFonts w:hint="default" w:ascii="Times New Roman" w:hAnsi="Times New Roman" w:eastAsia="宋体" w:cs="Times New Roman"/>
          <w:color w:val="000000"/>
          <w:sz w:val="24"/>
          <w:szCs w:val="24"/>
          <w:lang w:val="en-US" w:eastAsia="zh-CN"/>
        </w:rPr>
        <w:t>+…+qn/Qn</w:t>
      </w:r>
    </w:p>
    <w:p w14:paraId="5327813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式中：q</w:t>
      </w:r>
      <w:r>
        <w:rPr>
          <w:rFonts w:hint="default" w:ascii="Times New Roman" w:hAnsi="Times New Roman" w:eastAsia="宋体" w:cs="Times New Roman"/>
          <w:color w:val="000000"/>
          <w:spacing w:val="10"/>
          <w:sz w:val="24"/>
          <w:szCs w:val="32"/>
          <w:vertAlign w:val="subscript"/>
          <w:lang w:val="en-US" w:eastAsia="zh-CN"/>
        </w:rPr>
        <w:t>1</w:t>
      </w:r>
      <w:r>
        <w:rPr>
          <w:rFonts w:hint="default" w:ascii="Times New Roman" w:hAnsi="Times New Roman" w:eastAsia="宋体" w:cs="Times New Roman"/>
          <w:color w:val="000000"/>
          <w:spacing w:val="10"/>
          <w:sz w:val="24"/>
          <w:szCs w:val="32"/>
          <w:lang w:val="en-US" w:eastAsia="zh-CN"/>
        </w:rPr>
        <w:t>，q</w:t>
      </w:r>
      <w:r>
        <w:rPr>
          <w:rFonts w:hint="default" w:ascii="Times New Roman" w:hAnsi="Times New Roman" w:eastAsia="宋体" w:cs="Times New Roman"/>
          <w:color w:val="000000"/>
          <w:spacing w:val="10"/>
          <w:sz w:val="24"/>
          <w:szCs w:val="32"/>
          <w:vertAlign w:val="subscript"/>
          <w:lang w:val="en-US" w:eastAsia="zh-CN"/>
        </w:rPr>
        <w:t>2</w:t>
      </w:r>
      <w:r>
        <w:rPr>
          <w:rFonts w:hint="default" w:ascii="Times New Roman" w:hAnsi="Times New Roman" w:eastAsia="宋体" w:cs="Times New Roman"/>
          <w:color w:val="000000"/>
          <w:spacing w:val="10"/>
          <w:sz w:val="24"/>
          <w:szCs w:val="32"/>
          <w:lang w:val="en-US" w:eastAsia="zh-CN"/>
        </w:rPr>
        <w:t>……q</w:t>
      </w:r>
      <w:r>
        <w:rPr>
          <w:rFonts w:hint="default" w:ascii="Times New Roman" w:hAnsi="Times New Roman" w:eastAsia="宋体" w:cs="Times New Roman"/>
          <w:color w:val="000000"/>
          <w:spacing w:val="10"/>
          <w:sz w:val="24"/>
          <w:szCs w:val="32"/>
          <w:vertAlign w:val="subscript"/>
          <w:lang w:val="en-US" w:eastAsia="zh-CN"/>
        </w:rPr>
        <w:t>n</w:t>
      </w:r>
      <w:r>
        <w:rPr>
          <w:rFonts w:hint="default" w:ascii="Times New Roman" w:hAnsi="Times New Roman" w:eastAsia="宋体" w:cs="Times New Roman"/>
          <w:color w:val="000000"/>
          <w:spacing w:val="10"/>
          <w:sz w:val="24"/>
          <w:szCs w:val="32"/>
          <w:lang w:val="en-US" w:eastAsia="zh-CN"/>
        </w:rPr>
        <w:t>——每种危险物质的最大存在总量，t；</w:t>
      </w:r>
    </w:p>
    <w:p w14:paraId="331B1D6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Q</w:t>
      </w:r>
      <w:r>
        <w:rPr>
          <w:rFonts w:hint="default" w:ascii="Times New Roman" w:hAnsi="Times New Roman" w:eastAsia="宋体" w:cs="Times New Roman"/>
          <w:color w:val="000000"/>
          <w:spacing w:val="10"/>
          <w:sz w:val="24"/>
          <w:szCs w:val="32"/>
          <w:vertAlign w:val="subscript"/>
          <w:lang w:val="en-US" w:eastAsia="zh-CN"/>
        </w:rPr>
        <w:t>1</w:t>
      </w:r>
      <w:r>
        <w:rPr>
          <w:rFonts w:hint="default" w:ascii="Times New Roman" w:hAnsi="Times New Roman" w:eastAsia="宋体" w:cs="Times New Roman"/>
          <w:color w:val="000000"/>
          <w:spacing w:val="10"/>
          <w:sz w:val="24"/>
          <w:szCs w:val="32"/>
          <w:lang w:val="en-US" w:eastAsia="zh-CN"/>
        </w:rPr>
        <w:t>，Q</w:t>
      </w:r>
      <w:r>
        <w:rPr>
          <w:rFonts w:hint="default" w:ascii="Times New Roman" w:hAnsi="Times New Roman" w:eastAsia="宋体" w:cs="Times New Roman"/>
          <w:color w:val="000000"/>
          <w:spacing w:val="10"/>
          <w:sz w:val="24"/>
          <w:szCs w:val="32"/>
          <w:vertAlign w:val="subscript"/>
          <w:lang w:val="en-US" w:eastAsia="zh-CN"/>
        </w:rPr>
        <w:t>2</w:t>
      </w:r>
      <w:r>
        <w:rPr>
          <w:rFonts w:hint="default" w:ascii="Times New Roman" w:hAnsi="Times New Roman" w:eastAsia="宋体" w:cs="Times New Roman"/>
          <w:color w:val="000000"/>
          <w:spacing w:val="10"/>
          <w:sz w:val="24"/>
          <w:szCs w:val="32"/>
          <w:lang w:val="en-US" w:eastAsia="zh-CN"/>
        </w:rPr>
        <w:t>……Q</w:t>
      </w:r>
      <w:r>
        <w:rPr>
          <w:rFonts w:hint="default" w:ascii="Times New Roman" w:hAnsi="Times New Roman" w:eastAsia="宋体" w:cs="Times New Roman"/>
          <w:color w:val="000000"/>
          <w:spacing w:val="10"/>
          <w:sz w:val="24"/>
          <w:szCs w:val="32"/>
          <w:vertAlign w:val="subscript"/>
          <w:lang w:val="en-US" w:eastAsia="zh-CN"/>
        </w:rPr>
        <w:t>n</w:t>
      </w:r>
      <w:r>
        <w:rPr>
          <w:rFonts w:hint="default" w:ascii="Times New Roman" w:hAnsi="Times New Roman" w:eastAsia="宋体" w:cs="Times New Roman"/>
          <w:color w:val="000000"/>
          <w:spacing w:val="10"/>
          <w:sz w:val="24"/>
          <w:szCs w:val="32"/>
          <w:lang w:val="en-US" w:eastAsia="zh-CN"/>
        </w:rPr>
        <w:t>——每种危险物质的临界量，t。</w:t>
      </w:r>
    </w:p>
    <w:p w14:paraId="6D1D5D6B">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当Q＜1时，该项目环境风险潜势为Ⅰ。</w:t>
      </w:r>
    </w:p>
    <w:p w14:paraId="446ABBE1">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当Q≥1时，将Q值划分为：（1）1≤Q＜10；（2）10≤Q＜100；（3）Q≥100。</w:t>
      </w:r>
    </w:p>
    <w:p w14:paraId="11C3BED1">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p>
    <w:p w14:paraId="47481EDE">
      <w:pPr>
        <w:pStyle w:val="4"/>
        <w:numPr>
          <w:ilvl w:val="3"/>
          <w:numId w:val="10"/>
        </w:numPr>
        <w:tabs>
          <w:tab w:val="left" w:pos="1358"/>
          <w:tab w:val="left" w:pos="2153"/>
          <w:tab w:val="left" w:pos="2183"/>
        </w:tabs>
        <w:ind w:left="1358"/>
        <w:rPr>
          <w:rFonts w:hint="default" w:ascii="Times New Roman" w:hAnsi="Times New Roman" w:eastAsia="宋体" w:cs="Times New Roman"/>
          <w:color w:val="auto"/>
          <w:u w:val="none"/>
        </w:rPr>
      </w:pPr>
      <w:bookmarkStart w:id="47" w:name="_Toc13779"/>
      <w:r>
        <w:rPr>
          <w:rFonts w:hint="default" w:ascii="Times New Roman" w:hAnsi="Times New Roman" w:eastAsia="宋体" w:cs="Times New Roman"/>
          <w:color w:val="auto"/>
          <w:u w:val="none"/>
        </w:rPr>
        <w:t>危险物质</w:t>
      </w:r>
      <w:r>
        <w:rPr>
          <w:rFonts w:hint="default" w:ascii="Times New Roman" w:hAnsi="Times New Roman" w:eastAsia="宋体" w:cs="Times New Roman"/>
          <w:color w:val="auto"/>
          <w:u w:val="none"/>
          <w:lang w:val="en-US" w:eastAsia="zh-CN"/>
        </w:rPr>
        <w:t>Q值统计表</w:t>
      </w:r>
      <w:bookmarkEnd w:id="47"/>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992"/>
        <w:gridCol w:w="1081"/>
        <w:gridCol w:w="576"/>
        <w:gridCol w:w="879"/>
        <w:gridCol w:w="3008"/>
        <w:gridCol w:w="789"/>
        <w:gridCol w:w="1092"/>
      </w:tblGrid>
      <w:tr w14:paraId="482C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14:paraId="466E81D8">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序号</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0433B54">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物料名称</w:t>
            </w:r>
          </w:p>
        </w:tc>
        <w:tc>
          <w:tcPr>
            <w:tcW w:w="1081" w:type="dxa"/>
            <w:tcBorders>
              <w:top w:val="single" w:color="auto" w:sz="4" w:space="0"/>
              <w:left w:val="single" w:color="auto" w:sz="4" w:space="0"/>
              <w:bottom w:val="single" w:color="auto" w:sz="4" w:space="0"/>
              <w:right w:val="single" w:color="auto" w:sz="4" w:space="0"/>
            </w:tcBorders>
            <w:noWrap w:val="0"/>
            <w:vAlign w:val="center"/>
          </w:tcPr>
          <w:p w14:paraId="171EA0D3">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CAS号</w:t>
            </w:r>
          </w:p>
        </w:tc>
        <w:tc>
          <w:tcPr>
            <w:tcW w:w="576" w:type="dxa"/>
            <w:tcBorders>
              <w:top w:val="single" w:color="auto" w:sz="4" w:space="0"/>
              <w:left w:val="single" w:color="auto" w:sz="4" w:space="0"/>
              <w:bottom w:val="single" w:color="auto" w:sz="4" w:space="0"/>
              <w:right w:val="single" w:color="auto" w:sz="4" w:space="0"/>
            </w:tcBorders>
            <w:noWrap w:val="0"/>
            <w:vAlign w:val="center"/>
          </w:tcPr>
          <w:p w14:paraId="335072E8">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形态</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31406C8E">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最大贮</w:t>
            </w:r>
          </w:p>
          <w:p w14:paraId="43D34C81">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存量</w:t>
            </w:r>
            <w:r>
              <w:rPr>
                <w:rFonts w:hint="eastAsia" w:cs="Times New Roman"/>
                <w:color w:val="auto"/>
                <w:sz w:val="21"/>
                <w:szCs w:val="21"/>
                <w:u w:val="none"/>
                <w:lang w:val="en-US" w:eastAsia="zh-CN"/>
              </w:rPr>
              <w:t>（</w:t>
            </w:r>
            <w:r>
              <w:rPr>
                <w:rFonts w:hint="default" w:ascii="Times New Roman" w:hAnsi="Times New Roman" w:eastAsia="宋体" w:cs="Times New Roman"/>
                <w:color w:val="auto"/>
                <w:sz w:val="21"/>
                <w:szCs w:val="21"/>
                <w:u w:val="none"/>
                <w:lang w:val="en-US" w:eastAsia="zh-CN"/>
              </w:rPr>
              <w:t>t</w:t>
            </w:r>
            <w:r>
              <w:rPr>
                <w:rFonts w:hint="eastAsia" w:cs="Times New Roman"/>
                <w:color w:val="auto"/>
                <w:sz w:val="21"/>
                <w:szCs w:val="21"/>
                <w:u w:val="none"/>
                <w:lang w:val="en-US" w:eastAsia="zh-CN"/>
              </w:rPr>
              <w:t>）</w:t>
            </w:r>
          </w:p>
        </w:tc>
        <w:tc>
          <w:tcPr>
            <w:tcW w:w="3008" w:type="dxa"/>
            <w:tcBorders>
              <w:top w:val="single" w:color="auto" w:sz="4" w:space="0"/>
              <w:left w:val="single" w:color="auto" w:sz="4" w:space="0"/>
              <w:bottom w:val="single" w:color="auto" w:sz="4" w:space="0"/>
              <w:right w:val="single" w:color="auto" w:sz="4" w:space="0"/>
            </w:tcBorders>
            <w:noWrap w:val="0"/>
            <w:vAlign w:val="center"/>
          </w:tcPr>
          <w:p w14:paraId="4AC9B8D2">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储存位置</w:t>
            </w:r>
          </w:p>
        </w:tc>
        <w:tc>
          <w:tcPr>
            <w:tcW w:w="789" w:type="dxa"/>
            <w:tcBorders>
              <w:top w:val="single" w:color="auto" w:sz="4" w:space="0"/>
              <w:left w:val="single" w:color="auto" w:sz="4" w:space="0"/>
              <w:bottom w:val="single" w:color="auto" w:sz="4" w:space="0"/>
              <w:right w:val="single" w:color="auto" w:sz="4" w:space="0"/>
            </w:tcBorders>
            <w:noWrap w:val="0"/>
            <w:vAlign w:val="center"/>
          </w:tcPr>
          <w:p w14:paraId="02347589">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临界量</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3B117A9B">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该种危险物质Q值</w:t>
            </w:r>
          </w:p>
        </w:tc>
      </w:tr>
      <w:tr w14:paraId="5F61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right w:val="single" w:color="auto" w:sz="4" w:space="0"/>
            </w:tcBorders>
            <w:noWrap w:val="0"/>
            <w:vAlign w:val="center"/>
          </w:tcPr>
          <w:p w14:paraId="67B7EB1F">
            <w:pPr>
              <w:spacing w:line="240" w:lineRule="exact"/>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28"/>
                <w:szCs w:val="21"/>
                <w:u w:val="none"/>
                <w:lang w:val="en-US" w:eastAsia="zh-CN"/>
              </w:rPr>
              <w:t>1</w:t>
            </w:r>
          </w:p>
        </w:tc>
        <w:tc>
          <w:tcPr>
            <w:tcW w:w="992" w:type="dxa"/>
            <w:tcBorders>
              <w:top w:val="single" w:color="auto" w:sz="4" w:space="0"/>
              <w:left w:val="single" w:color="auto" w:sz="4" w:space="0"/>
              <w:right w:val="single" w:color="auto" w:sz="4" w:space="0"/>
            </w:tcBorders>
            <w:noWrap w:val="0"/>
            <w:vAlign w:val="center"/>
          </w:tcPr>
          <w:p w14:paraId="315BB87D">
            <w:pPr>
              <w:spacing w:line="240" w:lineRule="exact"/>
              <w:jc w:val="center"/>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磷酸</w:t>
            </w:r>
          </w:p>
        </w:tc>
        <w:tc>
          <w:tcPr>
            <w:tcW w:w="1081" w:type="dxa"/>
            <w:tcBorders>
              <w:top w:val="single" w:color="auto" w:sz="4" w:space="0"/>
              <w:left w:val="single" w:color="auto" w:sz="4" w:space="0"/>
              <w:right w:val="single" w:color="auto" w:sz="4" w:space="0"/>
            </w:tcBorders>
            <w:noWrap w:val="0"/>
            <w:vAlign w:val="center"/>
          </w:tcPr>
          <w:p w14:paraId="1E38828C">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28"/>
                <w:szCs w:val="21"/>
                <w:u w:val="none"/>
                <w:lang w:val="en-US" w:eastAsia="zh-CN"/>
              </w:rPr>
              <w:t>7664-38-2</w:t>
            </w:r>
          </w:p>
        </w:tc>
        <w:tc>
          <w:tcPr>
            <w:tcW w:w="576" w:type="dxa"/>
            <w:tcBorders>
              <w:top w:val="single" w:color="auto" w:sz="4" w:space="0"/>
              <w:left w:val="single" w:color="auto" w:sz="4" w:space="0"/>
              <w:right w:val="single" w:color="auto" w:sz="4" w:space="0"/>
            </w:tcBorders>
            <w:noWrap w:val="0"/>
            <w:vAlign w:val="center"/>
          </w:tcPr>
          <w:p w14:paraId="4E4323E4">
            <w:pPr>
              <w:spacing w:line="240" w:lineRule="exact"/>
              <w:jc w:val="center"/>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液</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2EBBD059">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28"/>
                <w:szCs w:val="21"/>
                <w:u w:val="none"/>
                <w:lang w:val="en-US" w:eastAsia="zh-CN"/>
              </w:rPr>
              <w:t>2300</w:t>
            </w:r>
          </w:p>
        </w:tc>
        <w:tc>
          <w:tcPr>
            <w:tcW w:w="3008" w:type="dxa"/>
            <w:tcBorders>
              <w:top w:val="single" w:color="auto" w:sz="4" w:space="0"/>
              <w:left w:val="single" w:color="auto" w:sz="4" w:space="0"/>
              <w:bottom w:val="single" w:color="auto" w:sz="4" w:space="0"/>
              <w:right w:val="single" w:color="auto" w:sz="4" w:space="0"/>
            </w:tcBorders>
            <w:noWrap w:val="0"/>
            <w:vAlign w:val="center"/>
          </w:tcPr>
          <w:p w14:paraId="5F4DEF04">
            <w:pPr>
              <w:spacing w:line="240" w:lineRule="exact"/>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0"/>
                <w:sz w:val="21"/>
                <w:szCs w:val="21"/>
                <w:u w:val="none"/>
                <w:vertAlign w:val="baseline"/>
                <w:lang w:val="en-US" w:eastAsia="zh-CN"/>
              </w:rPr>
              <w:t>2号仓库隔间A、B、C、D；4号仓库隔间B；5号仓库隔间B</w:t>
            </w:r>
          </w:p>
        </w:tc>
        <w:tc>
          <w:tcPr>
            <w:tcW w:w="789" w:type="dxa"/>
            <w:tcBorders>
              <w:top w:val="single" w:color="auto" w:sz="4" w:space="0"/>
              <w:left w:val="single" w:color="auto" w:sz="4" w:space="0"/>
              <w:right w:val="single" w:color="auto" w:sz="4" w:space="0"/>
            </w:tcBorders>
            <w:noWrap w:val="0"/>
            <w:vAlign w:val="center"/>
          </w:tcPr>
          <w:p w14:paraId="38E5DAD3">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10</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133182CD">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230</w:t>
            </w:r>
          </w:p>
        </w:tc>
      </w:tr>
      <w:tr w14:paraId="5F9E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14:paraId="0D6D2903">
            <w:pPr>
              <w:spacing w:line="240" w:lineRule="exact"/>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28"/>
                <w:szCs w:val="21"/>
                <w:u w:val="none"/>
                <w:lang w:val="en-US" w:eastAsia="zh-CN"/>
              </w:rPr>
              <w:t>2</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55468FB2">
            <w:pPr>
              <w:adjustRightInd w:val="0"/>
              <w:snapToGrid w:val="0"/>
              <w:jc w:val="center"/>
              <w:rPr>
                <w:rFonts w:hint="default" w:ascii="Times New Roman" w:hAnsi="Times New Roman" w:eastAsia="宋体" w:cs="Times New Roman"/>
                <w:kern w:val="28"/>
                <w:szCs w:val="21"/>
                <w:u w:val="none"/>
                <w:lang w:val="en-US" w:eastAsia="zh-CN"/>
              </w:rPr>
            </w:pPr>
            <w:r>
              <w:rPr>
                <w:rFonts w:hint="eastAsia" w:ascii="Times New Roman" w:hAnsi="Times New Roman" w:eastAsia="宋体" w:cs="Times New Roman"/>
                <w:color w:val="auto"/>
                <w:sz w:val="21"/>
                <w:szCs w:val="21"/>
                <w:u w:val="none"/>
                <w:lang w:val="en-US" w:eastAsia="zh-CN"/>
              </w:rPr>
              <w:t>盐酸</w:t>
            </w:r>
          </w:p>
        </w:tc>
        <w:tc>
          <w:tcPr>
            <w:tcW w:w="1081" w:type="dxa"/>
            <w:tcBorders>
              <w:left w:val="single" w:color="auto" w:sz="4" w:space="0"/>
              <w:right w:val="single" w:color="auto" w:sz="4" w:space="0"/>
            </w:tcBorders>
            <w:noWrap w:val="0"/>
            <w:vAlign w:val="center"/>
          </w:tcPr>
          <w:p w14:paraId="4423B315">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7647-01-0</w:t>
            </w:r>
          </w:p>
        </w:tc>
        <w:tc>
          <w:tcPr>
            <w:tcW w:w="576" w:type="dxa"/>
            <w:tcBorders>
              <w:top w:val="single" w:color="auto" w:sz="4" w:space="0"/>
              <w:left w:val="single" w:color="auto" w:sz="4" w:space="0"/>
              <w:bottom w:val="single" w:color="auto" w:sz="4" w:space="0"/>
              <w:right w:val="single" w:color="auto" w:sz="4" w:space="0"/>
            </w:tcBorders>
            <w:noWrap w:val="0"/>
            <w:vAlign w:val="center"/>
          </w:tcPr>
          <w:p w14:paraId="1F489BD1">
            <w:pPr>
              <w:spacing w:line="240" w:lineRule="exact"/>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液</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75556487">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Cs w:val="21"/>
                <w:u w:val="none"/>
                <w:lang w:val="en-US" w:eastAsia="zh-CN"/>
              </w:rPr>
              <w:t>2300</w:t>
            </w:r>
          </w:p>
        </w:tc>
        <w:tc>
          <w:tcPr>
            <w:tcW w:w="3008" w:type="dxa"/>
            <w:tcBorders>
              <w:top w:val="single" w:color="auto" w:sz="4" w:space="0"/>
              <w:left w:val="single" w:color="auto" w:sz="4" w:space="0"/>
              <w:right w:val="single" w:color="auto" w:sz="4" w:space="0"/>
            </w:tcBorders>
            <w:noWrap w:val="0"/>
            <w:vAlign w:val="center"/>
          </w:tcPr>
          <w:p w14:paraId="30EC0F81">
            <w:pPr>
              <w:spacing w:line="240" w:lineRule="exact"/>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0"/>
                <w:sz w:val="21"/>
                <w:szCs w:val="21"/>
                <w:u w:val="none"/>
                <w:vertAlign w:val="baseline"/>
                <w:lang w:val="en-US" w:eastAsia="zh-CN"/>
              </w:rPr>
              <w:t>2号仓库隔间A、B、C、D；4号仓库隔间B；5号仓库隔间B</w:t>
            </w:r>
          </w:p>
        </w:tc>
        <w:tc>
          <w:tcPr>
            <w:tcW w:w="789" w:type="dxa"/>
            <w:tcBorders>
              <w:left w:val="single" w:color="auto" w:sz="4" w:space="0"/>
              <w:right w:val="single" w:color="auto" w:sz="4" w:space="0"/>
            </w:tcBorders>
            <w:noWrap w:val="0"/>
            <w:vAlign w:val="center"/>
          </w:tcPr>
          <w:p w14:paraId="16050F4D">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7.5</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7970BC6F">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306.7</w:t>
            </w:r>
          </w:p>
        </w:tc>
      </w:tr>
      <w:tr w14:paraId="1712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14:paraId="7CF7B32A">
            <w:pPr>
              <w:spacing w:line="240" w:lineRule="exact"/>
              <w:jc w:val="center"/>
              <w:rPr>
                <w:rFonts w:hint="default" w:ascii="Times New Roman" w:hAnsi="Times New Roman" w:cs="Times New Roman"/>
                <w:kern w:val="28"/>
                <w:szCs w:val="21"/>
                <w:u w:val="none"/>
                <w:lang w:val="en-US" w:eastAsia="zh-CN"/>
              </w:rPr>
            </w:pPr>
            <w:r>
              <w:rPr>
                <w:rFonts w:hint="eastAsia" w:ascii="Times New Roman" w:hAnsi="Times New Roman" w:cs="Times New Roman"/>
                <w:color w:val="auto"/>
                <w:kern w:val="28"/>
                <w:szCs w:val="21"/>
                <w:u w:val="none"/>
                <w:lang w:val="en-US" w:eastAsia="zh-CN"/>
              </w:rPr>
              <w:t>3</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7DF0697">
            <w:pPr>
              <w:spacing w:line="240" w:lineRule="exact"/>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硫酸镍</w:t>
            </w:r>
          </w:p>
        </w:tc>
        <w:tc>
          <w:tcPr>
            <w:tcW w:w="1081" w:type="dxa"/>
            <w:tcBorders>
              <w:left w:val="single" w:color="auto" w:sz="4" w:space="0"/>
              <w:right w:val="single" w:color="auto" w:sz="4" w:space="0"/>
            </w:tcBorders>
            <w:noWrap w:val="0"/>
            <w:vAlign w:val="center"/>
          </w:tcPr>
          <w:p w14:paraId="029F279E">
            <w:pPr>
              <w:jc w:val="center"/>
              <w:rPr>
                <w:rFonts w:hint="default" w:ascii="Times New Roman" w:hAnsi="Times New Roman" w:cs="Times New Roman"/>
                <w:color w:val="auto"/>
                <w:kern w:val="28"/>
                <w:szCs w:val="21"/>
                <w:u w:val="none"/>
                <w:lang w:val="en-US" w:eastAsia="zh-CN"/>
              </w:rPr>
            </w:pPr>
            <w:r>
              <w:rPr>
                <w:rFonts w:hint="eastAsia" w:ascii="Times New Roman" w:hAnsi="Times New Roman" w:cs="Times New Roman"/>
                <w:color w:val="auto"/>
                <w:kern w:val="28"/>
                <w:szCs w:val="21"/>
                <w:u w:val="none"/>
                <w:lang w:val="en-US" w:eastAsia="zh-CN"/>
              </w:rPr>
              <w:t>7785-81-4</w:t>
            </w:r>
          </w:p>
        </w:tc>
        <w:tc>
          <w:tcPr>
            <w:tcW w:w="576" w:type="dxa"/>
            <w:tcBorders>
              <w:top w:val="single" w:color="auto" w:sz="4" w:space="0"/>
              <w:left w:val="single" w:color="auto" w:sz="4" w:space="0"/>
              <w:bottom w:val="single" w:color="auto" w:sz="4" w:space="0"/>
              <w:right w:val="single" w:color="auto" w:sz="4" w:space="0"/>
            </w:tcBorders>
            <w:noWrap w:val="0"/>
            <w:vAlign w:val="center"/>
          </w:tcPr>
          <w:p w14:paraId="472F08B4">
            <w:pPr>
              <w:spacing w:line="240" w:lineRule="exact"/>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固</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289FE7FA">
            <w:pPr>
              <w:adjustRightInd w:val="0"/>
              <w:snapToGrid w:val="0"/>
              <w:spacing w:line="240" w:lineRule="auto"/>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1450</w:t>
            </w:r>
          </w:p>
        </w:tc>
        <w:tc>
          <w:tcPr>
            <w:tcW w:w="3008" w:type="dxa"/>
            <w:tcBorders>
              <w:top w:val="single" w:color="auto" w:sz="4" w:space="0"/>
              <w:left w:val="single" w:color="auto" w:sz="4" w:space="0"/>
              <w:right w:val="single" w:color="auto" w:sz="4" w:space="0"/>
            </w:tcBorders>
            <w:noWrap w:val="0"/>
            <w:vAlign w:val="center"/>
          </w:tcPr>
          <w:p w14:paraId="5CA5558A">
            <w:pPr>
              <w:spacing w:line="240" w:lineRule="exact"/>
              <w:jc w:val="center"/>
              <w:rPr>
                <w:rFonts w:hint="default" w:ascii="Times New Roman" w:hAnsi="Times New Roman" w:cs="Times New Roman"/>
                <w:color w:val="auto"/>
                <w:kern w:val="28"/>
                <w:szCs w:val="21"/>
                <w:u w:val="none"/>
                <w:lang w:val="en-US" w:eastAsia="zh-CN"/>
              </w:rPr>
            </w:pPr>
            <w:r>
              <w:rPr>
                <w:rFonts w:hint="eastAsia" w:ascii="Times New Roman" w:hAnsi="Times New Roman" w:eastAsia="宋体" w:cs="Times New Roman"/>
                <w:color w:val="auto"/>
                <w:kern w:val="0"/>
                <w:sz w:val="21"/>
                <w:szCs w:val="21"/>
                <w:u w:val="none"/>
                <w:vertAlign w:val="baseline"/>
                <w:lang w:val="en-US" w:eastAsia="zh-CN"/>
              </w:rPr>
              <w:t>2号仓库隔间A、B、C、D；4号仓库隔间C；5号仓库隔间C</w:t>
            </w:r>
          </w:p>
        </w:tc>
        <w:tc>
          <w:tcPr>
            <w:tcW w:w="789" w:type="dxa"/>
            <w:tcBorders>
              <w:left w:val="single" w:color="auto" w:sz="4" w:space="0"/>
              <w:right w:val="single" w:color="auto" w:sz="4" w:space="0"/>
            </w:tcBorders>
            <w:noWrap w:val="0"/>
            <w:vAlign w:val="center"/>
          </w:tcPr>
          <w:p w14:paraId="377017BC">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0.25</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2DE668B5">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5800</w:t>
            </w:r>
          </w:p>
        </w:tc>
      </w:tr>
      <w:tr w14:paraId="795E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14:paraId="28A11606">
            <w:pPr>
              <w:spacing w:line="240" w:lineRule="exact"/>
              <w:jc w:val="center"/>
              <w:rPr>
                <w:rFonts w:hint="default" w:ascii="Times New Roman" w:hAnsi="Times New Roman" w:cs="Times New Roman"/>
                <w:color w:val="auto"/>
                <w:kern w:val="28"/>
                <w:szCs w:val="21"/>
                <w:u w:val="single"/>
                <w:lang w:val="en-US" w:eastAsia="zh-CN"/>
              </w:rPr>
            </w:pPr>
            <w:r>
              <w:rPr>
                <w:rFonts w:hint="eastAsia" w:cs="Times New Roman"/>
                <w:color w:val="auto"/>
                <w:kern w:val="28"/>
                <w:szCs w:val="21"/>
                <w:u w:val="single"/>
                <w:lang w:val="en-US" w:eastAsia="zh-CN"/>
              </w:rPr>
              <w:t>4</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72FF839B">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30%</w:t>
            </w:r>
            <w:r>
              <w:rPr>
                <w:rFonts w:hint="eastAsia" w:ascii="Times New Roman" w:hAnsi="Times New Roman" w:eastAsia="宋体" w:cs="Times New Roman"/>
                <w:color w:val="auto"/>
                <w:kern w:val="0"/>
                <w:sz w:val="21"/>
                <w:szCs w:val="21"/>
                <w:u w:val="single"/>
                <w:vertAlign w:val="baseline"/>
                <w:lang w:val="en-US" w:eastAsia="zh-CN"/>
              </w:rPr>
              <w:t>氢氧化锂溶液</w:t>
            </w:r>
          </w:p>
        </w:tc>
        <w:tc>
          <w:tcPr>
            <w:tcW w:w="1081" w:type="dxa"/>
            <w:vMerge w:val="restart"/>
            <w:tcBorders>
              <w:left w:val="single" w:color="auto" w:sz="4" w:space="0"/>
              <w:right w:val="single" w:color="auto" w:sz="4" w:space="0"/>
            </w:tcBorders>
            <w:noWrap w:val="0"/>
            <w:vAlign w:val="center"/>
          </w:tcPr>
          <w:p w14:paraId="1C780046">
            <w:pPr>
              <w:jc w:val="center"/>
              <w:rPr>
                <w:rFonts w:hint="eastAsia" w:ascii="Times New Roman" w:hAnsi="Times New Roman" w:cs="Times New Roman"/>
                <w:color w:val="auto"/>
                <w:kern w:val="28"/>
                <w:szCs w:val="21"/>
                <w:u w:val="single"/>
                <w:lang w:val="en-US" w:eastAsia="zh-CN"/>
              </w:rPr>
            </w:pPr>
            <w:r>
              <w:rPr>
                <w:rFonts w:hint="eastAsia" w:ascii="Times New Roman" w:hAnsi="Times New Roman" w:cs="Times New Roman"/>
                <w:color w:val="auto"/>
                <w:kern w:val="28"/>
                <w:szCs w:val="21"/>
                <w:u w:val="single"/>
                <w:lang w:val="en-US" w:eastAsia="zh-CN"/>
              </w:rPr>
              <w:t>1310-65-2</w:t>
            </w:r>
          </w:p>
        </w:tc>
        <w:tc>
          <w:tcPr>
            <w:tcW w:w="576" w:type="dxa"/>
            <w:tcBorders>
              <w:top w:val="single" w:color="auto" w:sz="4" w:space="0"/>
              <w:left w:val="single" w:color="auto" w:sz="4" w:space="0"/>
              <w:bottom w:val="single" w:color="auto" w:sz="4" w:space="0"/>
              <w:right w:val="single" w:color="auto" w:sz="4" w:space="0"/>
            </w:tcBorders>
            <w:noWrap w:val="0"/>
            <w:vAlign w:val="center"/>
          </w:tcPr>
          <w:p w14:paraId="6CD0588C">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液</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456D4525">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1500（纯450）</w:t>
            </w:r>
          </w:p>
        </w:tc>
        <w:tc>
          <w:tcPr>
            <w:tcW w:w="3008" w:type="dxa"/>
            <w:tcBorders>
              <w:top w:val="single" w:color="auto" w:sz="4" w:space="0"/>
              <w:left w:val="single" w:color="auto" w:sz="4" w:space="0"/>
              <w:right w:val="single" w:color="auto" w:sz="4" w:space="0"/>
            </w:tcBorders>
            <w:noWrap w:val="0"/>
            <w:vAlign w:val="center"/>
          </w:tcPr>
          <w:p w14:paraId="214DB760">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2号仓库隔间A、B；4号仓库隔间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A</w:t>
            </w:r>
          </w:p>
        </w:tc>
        <w:tc>
          <w:tcPr>
            <w:tcW w:w="789" w:type="dxa"/>
            <w:tcBorders>
              <w:left w:val="single" w:color="auto" w:sz="4" w:space="0"/>
              <w:right w:val="single" w:color="auto" w:sz="4" w:space="0"/>
            </w:tcBorders>
            <w:noWrap w:val="0"/>
            <w:vAlign w:val="center"/>
          </w:tcPr>
          <w:p w14:paraId="23A989D4">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4FB94F0C">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9</w:t>
            </w:r>
          </w:p>
        </w:tc>
      </w:tr>
      <w:tr w14:paraId="3F61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14:paraId="3BB45D6F">
            <w:pPr>
              <w:spacing w:line="240" w:lineRule="exact"/>
              <w:jc w:val="center"/>
              <w:rPr>
                <w:rFonts w:hint="default" w:ascii="Times New Roman" w:hAnsi="Times New Roman" w:cs="Times New Roman"/>
                <w:color w:val="auto"/>
                <w:kern w:val="28"/>
                <w:szCs w:val="21"/>
                <w:u w:val="single"/>
                <w:lang w:val="en-US" w:eastAsia="zh-CN"/>
              </w:rPr>
            </w:pPr>
            <w:r>
              <w:rPr>
                <w:rFonts w:hint="eastAsia" w:cs="Times New Roman"/>
                <w:color w:val="auto"/>
                <w:kern w:val="28"/>
                <w:szCs w:val="21"/>
                <w:u w:val="single"/>
                <w:lang w:val="en-US" w:eastAsia="zh-CN"/>
              </w:rPr>
              <w:t>5</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9BD7485">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氢氧化锂</w:t>
            </w:r>
          </w:p>
        </w:tc>
        <w:tc>
          <w:tcPr>
            <w:tcW w:w="1081" w:type="dxa"/>
            <w:vMerge w:val="continue"/>
            <w:tcBorders>
              <w:left w:val="single" w:color="auto" w:sz="4" w:space="0"/>
              <w:right w:val="single" w:color="auto" w:sz="4" w:space="0"/>
            </w:tcBorders>
            <w:noWrap w:val="0"/>
            <w:vAlign w:val="center"/>
          </w:tcPr>
          <w:p w14:paraId="0135BED4">
            <w:pPr>
              <w:jc w:val="center"/>
              <w:rPr>
                <w:rFonts w:hint="eastAsia" w:ascii="Times New Roman" w:hAnsi="Times New Roman" w:cs="Times New Roman"/>
                <w:color w:val="auto"/>
                <w:kern w:val="28"/>
                <w:szCs w:val="21"/>
                <w:u w:val="single"/>
                <w:lang w:val="en-US" w:eastAsia="zh-CN"/>
              </w:rPr>
            </w:pPr>
          </w:p>
        </w:tc>
        <w:tc>
          <w:tcPr>
            <w:tcW w:w="576" w:type="dxa"/>
            <w:tcBorders>
              <w:top w:val="single" w:color="auto" w:sz="4" w:space="0"/>
              <w:left w:val="single" w:color="auto" w:sz="4" w:space="0"/>
              <w:bottom w:val="single" w:color="auto" w:sz="4" w:space="0"/>
              <w:right w:val="single" w:color="auto" w:sz="4" w:space="0"/>
            </w:tcBorders>
            <w:noWrap w:val="0"/>
            <w:vAlign w:val="center"/>
          </w:tcPr>
          <w:p w14:paraId="548ED9CB">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固</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32A9EA96">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1700</w:t>
            </w:r>
          </w:p>
        </w:tc>
        <w:tc>
          <w:tcPr>
            <w:tcW w:w="3008" w:type="dxa"/>
            <w:tcBorders>
              <w:top w:val="single" w:color="auto" w:sz="4" w:space="0"/>
              <w:left w:val="single" w:color="auto" w:sz="4" w:space="0"/>
              <w:right w:val="single" w:color="auto" w:sz="4" w:space="0"/>
            </w:tcBorders>
            <w:noWrap w:val="0"/>
            <w:vAlign w:val="center"/>
          </w:tcPr>
          <w:p w14:paraId="1804AA0D">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2号仓库隔间B、C、D；4号仓库隔间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A</w:t>
            </w:r>
          </w:p>
        </w:tc>
        <w:tc>
          <w:tcPr>
            <w:tcW w:w="789" w:type="dxa"/>
            <w:tcBorders>
              <w:left w:val="single" w:color="auto" w:sz="4" w:space="0"/>
              <w:right w:val="single" w:color="auto" w:sz="4" w:space="0"/>
            </w:tcBorders>
            <w:noWrap w:val="0"/>
            <w:vAlign w:val="center"/>
          </w:tcPr>
          <w:p w14:paraId="7300637E">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5D6680EA">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34</w:t>
            </w:r>
          </w:p>
        </w:tc>
      </w:tr>
      <w:tr w14:paraId="5D82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14:paraId="42ADBD62">
            <w:pPr>
              <w:adjustRightInd w:val="0"/>
              <w:snapToGrid w:val="0"/>
              <w:spacing w:line="240" w:lineRule="auto"/>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6</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535F05E1">
            <w:pPr>
              <w:adjustRightInd w:val="0"/>
              <w:snapToGrid w:val="0"/>
              <w:spacing w:line="240" w:lineRule="auto"/>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氟硅酸钠</w:t>
            </w:r>
          </w:p>
        </w:tc>
        <w:tc>
          <w:tcPr>
            <w:tcW w:w="1081" w:type="dxa"/>
            <w:tcBorders>
              <w:left w:val="single" w:color="auto" w:sz="4" w:space="0"/>
              <w:right w:val="single" w:color="auto" w:sz="4" w:space="0"/>
            </w:tcBorders>
            <w:noWrap w:val="0"/>
            <w:vAlign w:val="center"/>
          </w:tcPr>
          <w:p w14:paraId="1037DA52">
            <w:pPr>
              <w:adjustRightInd w:val="0"/>
              <w:snapToGrid w:val="0"/>
              <w:spacing w:line="240" w:lineRule="auto"/>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16893-85-9</w:t>
            </w:r>
          </w:p>
        </w:tc>
        <w:tc>
          <w:tcPr>
            <w:tcW w:w="576" w:type="dxa"/>
            <w:tcBorders>
              <w:top w:val="single" w:color="auto" w:sz="4" w:space="0"/>
              <w:left w:val="single" w:color="auto" w:sz="4" w:space="0"/>
              <w:bottom w:val="single" w:color="auto" w:sz="4" w:space="0"/>
              <w:right w:val="single" w:color="auto" w:sz="4" w:space="0"/>
            </w:tcBorders>
            <w:noWrap w:val="0"/>
            <w:vAlign w:val="center"/>
          </w:tcPr>
          <w:p w14:paraId="7E45A532">
            <w:pPr>
              <w:adjustRightInd w:val="0"/>
              <w:snapToGrid w:val="0"/>
              <w:spacing w:line="240" w:lineRule="auto"/>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固</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530C3B9A">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1450</w:t>
            </w:r>
          </w:p>
        </w:tc>
        <w:tc>
          <w:tcPr>
            <w:tcW w:w="3008" w:type="dxa"/>
            <w:tcBorders>
              <w:top w:val="single" w:color="auto" w:sz="4" w:space="0"/>
              <w:left w:val="single" w:color="auto" w:sz="4" w:space="0"/>
              <w:right w:val="single" w:color="auto" w:sz="4" w:space="0"/>
            </w:tcBorders>
            <w:noWrap w:val="0"/>
            <w:vAlign w:val="center"/>
          </w:tcPr>
          <w:p w14:paraId="51BE3F67">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w:t>
            </w:r>
            <w:r>
              <w:rPr>
                <w:rFonts w:hint="eastAsia" w:cs="Times New Roman"/>
                <w:color w:val="auto"/>
                <w:kern w:val="0"/>
                <w:sz w:val="21"/>
                <w:szCs w:val="21"/>
                <w:u w:val="single"/>
                <w:vertAlign w:val="baseline"/>
                <w:lang w:val="en-US" w:eastAsia="zh-CN"/>
              </w:rPr>
              <w:t>E</w:t>
            </w:r>
            <w:r>
              <w:rPr>
                <w:rFonts w:hint="eastAsia" w:ascii="Times New Roman" w:hAnsi="Times New Roman" w:eastAsia="宋体" w:cs="Times New Roman"/>
                <w:color w:val="auto"/>
                <w:kern w:val="0"/>
                <w:sz w:val="21"/>
                <w:szCs w:val="21"/>
                <w:u w:val="single"/>
                <w:vertAlign w:val="baseline"/>
                <w:lang w:val="en-US" w:eastAsia="zh-CN"/>
              </w:rPr>
              <w:t>；4号仓库隔间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789" w:type="dxa"/>
            <w:tcBorders>
              <w:left w:val="single" w:color="auto" w:sz="4" w:space="0"/>
              <w:right w:val="single" w:color="auto" w:sz="4" w:space="0"/>
            </w:tcBorders>
            <w:noWrap w:val="0"/>
            <w:vAlign w:val="center"/>
          </w:tcPr>
          <w:p w14:paraId="6D8D4D3D">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5BBDF045">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29</w:t>
            </w:r>
          </w:p>
        </w:tc>
      </w:tr>
      <w:tr w14:paraId="3367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14:paraId="50C2D8E3">
            <w:pPr>
              <w:spacing w:line="240" w:lineRule="exact"/>
              <w:jc w:val="center"/>
              <w:rPr>
                <w:rFonts w:hint="eastAsia" w:ascii="Times New Roman" w:hAnsi="Times New Roman" w:cs="Times New Roman"/>
                <w:color w:val="auto"/>
                <w:kern w:val="28"/>
                <w:szCs w:val="21"/>
                <w:u w:val="single"/>
                <w:lang w:val="en-US" w:eastAsia="zh-CN"/>
              </w:rPr>
            </w:pPr>
            <w:r>
              <w:rPr>
                <w:rFonts w:hint="eastAsia" w:cs="Times New Roman"/>
                <w:color w:val="auto"/>
                <w:kern w:val="28"/>
                <w:szCs w:val="21"/>
                <w:u w:val="single"/>
                <w:lang w:val="en-US" w:eastAsia="zh-CN"/>
              </w:rPr>
              <w:t>7</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7157E64">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氟硅酸镁</w:t>
            </w:r>
          </w:p>
        </w:tc>
        <w:tc>
          <w:tcPr>
            <w:tcW w:w="1081" w:type="dxa"/>
            <w:tcBorders>
              <w:left w:val="single" w:color="auto" w:sz="4" w:space="0"/>
              <w:right w:val="single" w:color="auto" w:sz="4" w:space="0"/>
            </w:tcBorders>
            <w:noWrap w:val="0"/>
            <w:vAlign w:val="center"/>
          </w:tcPr>
          <w:p w14:paraId="6249B812">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16949-65-8</w:t>
            </w:r>
          </w:p>
        </w:tc>
        <w:tc>
          <w:tcPr>
            <w:tcW w:w="576" w:type="dxa"/>
            <w:tcBorders>
              <w:top w:val="single" w:color="auto" w:sz="4" w:space="0"/>
              <w:left w:val="single" w:color="auto" w:sz="4" w:space="0"/>
              <w:bottom w:val="single" w:color="auto" w:sz="4" w:space="0"/>
              <w:right w:val="single" w:color="auto" w:sz="4" w:space="0"/>
            </w:tcBorders>
            <w:noWrap w:val="0"/>
            <w:vAlign w:val="center"/>
          </w:tcPr>
          <w:p w14:paraId="360EE2FC">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固</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4758C79A">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200</w:t>
            </w:r>
          </w:p>
        </w:tc>
        <w:tc>
          <w:tcPr>
            <w:tcW w:w="3008" w:type="dxa"/>
            <w:tcBorders>
              <w:top w:val="single" w:color="auto" w:sz="4" w:space="0"/>
              <w:left w:val="single" w:color="auto" w:sz="4" w:space="0"/>
              <w:right w:val="single" w:color="auto" w:sz="4" w:space="0"/>
            </w:tcBorders>
            <w:noWrap w:val="0"/>
            <w:vAlign w:val="center"/>
          </w:tcPr>
          <w:p w14:paraId="3B4E1CD7">
            <w:pPr>
              <w:spacing w:line="240" w:lineRule="exact"/>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E</w:t>
            </w:r>
          </w:p>
        </w:tc>
        <w:tc>
          <w:tcPr>
            <w:tcW w:w="789" w:type="dxa"/>
            <w:tcBorders>
              <w:left w:val="single" w:color="auto" w:sz="4" w:space="0"/>
              <w:right w:val="single" w:color="auto" w:sz="4" w:space="0"/>
            </w:tcBorders>
            <w:noWrap w:val="0"/>
            <w:vAlign w:val="center"/>
          </w:tcPr>
          <w:p w14:paraId="1A052B7B">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5C4DD57C">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4</w:t>
            </w:r>
          </w:p>
        </w:tc>
      </w:tr>
      <w:tr w14:paraId="7EBE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14:paraId="4C335F32">
            <w:pPr>
              <w:spacing w:line="240" w:lineRule="exact"/>
              <w:jc w:val="center"/>
              <w:rPr>
                <w:rFonts w:hint="eastAsia" w:ascii="Times New Roman" w:hAnsi="Times New Roman" w:cs="Times New Roman"/>
                <w:color w:val="auto"/>
                <w:kern w:val="28"/>
                <w:szCs w:val="21"/>
                <w:u w:val="single"/>
                <w:lang w:val="en-US" w:eastAsia="zh-CN"/>
              </w:rPr>
            </w:pPr>
            <w:r>
              <w:rPr>
                <w:rFonts w:hint="eastAsia" w:cs="Times New Roman"/>
                <w:color w:val="auto"/>
                <w:kern w:val="28"/>
                <w:szCs w:val="21"/>
                <w:u w:val="single"/>
                <w:lang w:val="en-US" w:eastAsia="zh-CN"/>
              </w:rPr>
              <w:t>8</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9E19EA9">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氟化钠</w:t>
            </w:r>
          </w:p>
        </w:tc>
        <w:tc>
          <w:tcPr>
            <w:tcW w:w="1081" w:type="dxa"/>
            <w:tcBorders>
              <w:left w:val="single" w:color="auto" w:sz="4" w:space="0"/>
              <w:right w:val="single" w:color="auto" w:sz="4" w:space="0"/>
            </w:tcBorders>
            <w:noWrap w:val="0"/>
            <w:vAlign w:val="center"/>
          </w:tcPr>
          <w:p w14:paraId="4907FA71">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7681-49-4</w:t>
            </w:r>
          </w:p>
        </w:tc>
        <w:tc>
          <w:tcPr>
            <w:tcW w:w="576" w:type="dxa"/>
            <w:tcBorders>
              <w:top w:val="single" w:color="auto" w:sz="4" w:space="0"/>
              <w:left w:val="single" w:color="auto" w:sz="4" w:space="0"/>
              <w:bottom w:val="single" w:color="auto" w:sz="4" w:space="0"/>
              <w:right w:val="single" w:color="auto" w:sz="4" w:space="0"/>
            </w:tcBorders>
            <w:noWrap w:val="0"/>
            <w:vAlign w:val="center"/>
          </w:tcPr>
          <w:p w14:paraId="65301B7A">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固</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76AC3C52">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1250</w:t>
            </w:r>
          </w:p>
        </w:tc>
        <w:tc>
          <w:tcPr>
            <w:tcW w:w="3008" w:type="dxa"/>
            <w:tcBorders>
              <w:top w:val="single" w:color="auto" w:sz="4" w:space="0"/>
              <w:left w:val="single" w:color="auto" w:sz="4" w:space="0"/>
              <w:right w:val="single" w:color="auto" w:sz="4" w:space="0"/>
            </w:tcBorders>
            <w:noWrap w:val="0"/>
            <w:vAlign w:val="center"/>
          </w:tcPr>
          <w:p w14:paraId="416E6308">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789" w:type="dxa"/>
            <w:tcBorders>
              <w:left w:val="single" w:color="auto" w:sz="4" w:space="0"/>
              <w:right w:val="single" w:color="auto" w:sz="4" w:space="0"/>
            </w:tcBorders>
            <w:noWrap w:val="0"/>
            <w:vAlign w:val="center"/>
          </w:tcPr>
          <w:p w14:paraId="60623E20">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9F650EA">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w:t>
            </w:r>
          </w:p>
        </w:tc>
      </w:tr>
      <w:tr w14:paraId="61DB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14:paraId="42BEF7ED">
            <w:pPr>
              <w:spacing w:line="240" w:lineRule="exact"/>
              <w:jc w:val="center"/>
              <w:rPr>
                <w:rFonts w:hint="eastAsia" w:ascii="Times New Roman" w:hAnsi="Times New Roman" w:cs="Times New Roman"/>
                <w:color w:val="auto"/>
                <w:kern w:val="28"/>
                <w:szCs w:val="21"/>
                <w:u w:val="single"/>
                <w:lang w:val="en-US" w:eastAsia="zh-CN"/>
              </w:rPr>
            </w:pPr>
            <w:r>
              <w:rPr>
                <w:rFonts w:hint="eastAsia" w:cs="Times New Roman"/>
                <w:color w:val="auto"/>
                <w:kern w:val="28"/>
                <w:szCs w:val="21"/>
                <w:u w:val="single"/>
                <w:lang w:val="en-US" w:eastAsia="zh-CN"/>
              </w:rPr>
              <w:t>9</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2E072AF4">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氟化钡</w:t>
            </w:r>
          </w:p>
        </w:tc>
        <w:tc>
          <w:tcPr>
            <w:tcW w:w="1081" w:type="dxa"/>
            <w:tcBorders>
              <w:left w:val="single" w:color="auto" w:sz="4" w:space="0"/>
              <w:right w:val="single" w:color="auto" w:sz="4" w:space="0"/>
            </w:tcBorders>
            <w:noWrap w:val="0"/>
            <w:vAlign w:val="center"/>
          </w:tcPr>
          <w:p w14:paraId="1B2D6552">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7787-32-8</w:t>
            </w:r>
          </w:p>
        </w:tc>
        <w:tc>
          <w:tcPr>
            <w:tcW w:w="576" w:type="dxa"/>
            <w:tcBorders>
              <w:top w:val="single" w:color="auto" w:sz="4" w:space="0"/>
              <w:left w:val="single" w:color="auto" w:sz="4" w:space="0"/>
              <w:bottom w:val="single" w:color="auto" w:sz="4" w:space="0"/>
              <w:right w:val="single" w:color="auto" w:sz="4" w:space="0"/>
            </w:tcBorders>
            <w:noWrap w:val="0"/>
            <w:vAlign w:val="center"/>
          </w:tcPr>
          <w:p w14:paraId="1435EB1F">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固</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3F7D6B65">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1250</w:t>
            </w:r>
          </w:p>
        </w:tc>
        <w:tc>
          <w:tcPr>
            <w:tcW w:w="3008" w:type="dxa"/>
            <w:tcBorders>
              <w:top w:val="single" w:color="auto" w:sz="4" w:space="0"/>
              <w:left w:val="single" w:color="auto" w:sz="4" w:space="0"/>
              <w:right w:val="single" w:color="auto" w:sz="4" w:space="0"/>
            </w:tcBorders>
            <w:noWrap w:val="0"/>
            <w:vAlign w:val="center"/>
          </w:tcPr>
          <w:p w14:paraId="63B7A1E0">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789" w:type="dxa"/>
            <w:tcBorders>
              <w:left w:val="single" w:color="auto" w:sz="4" w:space="0"/>
              <w:right w:val="single" w:color="auto" w:sz="4" w:space="0"/>
            </w:tcBorders>
            <w:noWrap w:val="0"/>
            <w:vAlign w:val="center"/>
          </w:tcPr>
          <w:p w14:paraId="092AEF50">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14A3056C">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w:t>
            </w:r>
          </w:p>
        </w:tc>
      </w:tr>
      <w:tr w14:paraId="7214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14:paraId="2C4E75AC">
            <w:pPr>
              <w:spacing w:line="240" w:lineRule="exact"/>
              <w:jc w:val="center"/>
              <w:rPr>
                <w:rFonts w:hint="eastAsia" w:ascii="Times New Roman" w:hAnsi="Times New Roman" w:cs="Times New Roman"/>
                <w:color w:val="auto"/>
                <w:kern w:val="28"/>
                <w:szCs w:val="21"/>
                <w:u w:val="single"/>
                <w:lang w:val="en-US" w:eastAsia="zh-CN"/>
              </w:rPr>
            </w:pPr>
            <w:r>
              <w:rPr>
                <w:rFonts w:hint="eastAsia" w:cs="Times New Roman"/>
                <w:color w:val="auto"/>
                <w:kern w:val="28"/>
                <w:szCs w:val="21"/>
                <w:u w:val="single"/>
                <w:lang w:val="en-US" w:eastAsia="zh-CN"/>
              </w:rPr>
              <w:t>10</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08C4EF4">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氟硅酸锌</w:t>
            </w:r>
          </w:p>
        </w:tc>
        <w:tc>
          <w:tcPr>
            <w:tcW w:w="1081" w:type="dxa"/>
            <w:tcBorders>
              <w:left w:val="single" w:color="auto" w:sz="4" w:space="0"/>
              <w:right w:val="single" w:color="auto" w:sz="4" w:space="0"/>
            </w:tcBorders>
            <w:noWrap w:val="0"/>
            <w:vAlign w:val="center"/>
          </w:tcPr>
          <w:p w14:paraId="607B5CD1">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16871-71-9</w:t>
            </w:r>
          </w:p>
        </w:tc>
        <w:tc>
          <w:tcPr>
            <w:tcW w:w="576" w:type="dxa"/>
            <w:tcBorders>
              <w:top w:val="single" w:color="auto" w:sz="4" w:space="0"/>
              <w:left w:val="single" w:color="auto" w:sz="4" w:space="0"/>
              <w:bottom w:val="single" w:color="auto" w:sz="4" w:space="0"/>
              <w:right w:val="single" w:color="auto" w:sz="4" w:space="0"/>
            </w:tcBorders>
            <w:noWrap w:val="0"/>
            <w:vAlign w:val="center"/>
          </w:tcPr>
          <w:p w14:paraId="76B80AE0">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固</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6DB0853D">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1450</w:t>
            </w:r>
          </w:p>
        </w:tc>
        <w:tc>
          <w:tcPr>
            <w:tcW w:w="3008" w:type="dxa"/>
            <w:tcBorders>
              <w:top w:val="single" w:color="auto" w:sz="4" w:space="0"/>
              <w:left w:val="single" w:color="auto" w:sz="4" w:space="0"/>
              <w:right w:val="single" w:color="auto" w:sz="4" w:space="0"/>
            </w:tcBorders>
            <w:noWrap w:val="0"/>
            <w:vAlign w:val="center"/>
          </w:tcPr>
          <w:p w14:paraId="7195CA2D">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w:t>
            </w:r>
            <w:r>
              <w:rPr>
                <w:rFonts w:hint="eastAsia" w:cs="Times New Roman"/>
                <w:color w:val="auto"/>
                <w:kern w:val="0"/>
                <w:sz w:val="21"/>
                <w:szCs w:val="21"/>
                <w:u w:val="single"/>
                <w:vertAlign w:val="baseline"/>
                <w:lang w:val="en-US" w:eastAsia="zh-CN"/>
              </w:rPr>
              <w:t>、E</w:t>
            </w:r>
            <w:r>
              <w:rPr>
                <w:rFonts w:hint="eastAsia" w:ascii="Times New Roman" w:hAnsi="Times New Roman" w:eastAsia="宋体" w:cs="Times New Roman"/>
                <w:color w:val="auto"/>
                <w:kern w:val="0"/>
                <w:sz w:val="21"/>
                <w:szCs w:val="21"/>
                <w:u w:val="single"/>
                <w:vertAlign w:val="baseline"/>
                <w:lang w:val="en-US" w:eastAsia="zh-CN"/>
              </w:rPr>
              <w:t>；4号仓库隔间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789" w:type="dxa"/>
            <w:tcBorders>
              <w:left w:val="single" w:color="auto" w:sz="4" w:space="0"/>
              <w:right w:val="single" w:color="auto" w:sz="4" w:space="0"/>
            </w:tcBorders>
            <w:noWrap w:val="0"/>
            <w:vAlign w:val="center"/>
          </w:tcPr>
          <w:p w14:paraId="56F1E20D">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1F62A154">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29</w:t>
            </w:r>
          </w:p>
        </w:tc>
      </w:tr>
      <w:tr w14:paraId="68AC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14:paraId="0228BF82">
            <w:pPr>
              <w:spacing w:line="240" w:lineRule="exact"/>
              <w:jc w:val="center"/>
              <w:rPr>
                <w:rFonts w:hint="eastAsia" w:ascii="Times New Roman" w:hAnsi="Times New Roman" w:cs="Times New Roman"/>
                <w:color w:val="auto"/>
                <w:kern w:val="28"/>
                <w:szCs w:val="21"/>
                <w:u w:val="single"/>
                <w:lang w:val="en-US" w:eastAsia="zh-CN"/>
              </w:rPr>
            </w:pPr>
            <w:r>
              <w:rPr>
                <w:rFonts w:hint="eastAsia" w:cs="Times New Roman"/>
                <w:color w:val="auto"/>
                <w:kern w:val="28"/>
                <w:szCs w:val="21"/>
                <w:u w:val="single"/>
                <w:lang w:val="en-US" w:eastAsia="zh-CN"/>
              </w:rPr>
              <w:t>11</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1F273C8">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氟硅酸钾</w:t>
            </w:r>
          </w:p>
        </w:tc>
        <w:tc>
          <w:tcPr>
            <w:tcW w:w="1081" w:type="dxa"/>
            <w:tcBorders>
              <w:left w:val="single" w:color="auto" w:sz="4" w:space="0"/>
              <w:right w:val="single" w:color="auto" w:sz="4" w:space="0"/>
            </w:tcBorders>
            <w:noWrap w:val="0"/>
            <w:vAlign w:val="center"/>
          </w:tcPr>
          <w:p w14:paraId="2446BF62">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16871-90-2</w:t>
            </w:r>
          </w:p>
        </w:tc>
        <w:tc>
          <w:tcPr>
            <w:tcW w:w="576" w:type="dxa"/>
            <w:tcBorders>
              <w:top w:val="single" w:color="auto" w:sz="4" w:space="0"/>
              <w:left w:val="single" w:color="auto" w:sz="4" w:space="0"/>
              <w:bottom w:val="single" w:color="auto" w:sz="4" w:space="0"/>
              <w:right w:val="single" w:color="auto" w:sz="4" w:space="0"/>
            </w:tcBorders>
            <w:noWrap w:val="0"/>
            <w:vAlign w:val="center"/>
          </w:tcPr>
          <w:p w14:paraId="03AEAFA6">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固</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43C77B05">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1250</w:t>
            </w:r>
          </w:p>
        </w:tc>
        <w:tc>
          <w:tcPr>
            <w:tcW w:w="3008" w:type="dxa"/>
            <w:tcBorders>
              <w:top w:val="single" w:color="auto" w:sz="4" w:space="0"/>
              <w:left w:val="single" w:color="auto" w:sz="4" w:space="0"/>
              <w:right w:val="single" w:color="auto" w:sz="4" w:space="0"/>
            </w:tcBorders>
            <w:noWrap w:val="0"/>
            <w:vAlign w:val="center"/>
          </w:tcPr>
          <w:p w14:paraId="099AEB1C">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789" w:type="dxa"/>
            <w:tcBorders>
              <w:left w:val="single" w:color="auto" w:sz="4" w:space="0"/>
              <w:right w:val="single" w:color="auto" w:sz="4" w:space="0"/>
            </w:tcBorders>
            <w:noWrap w:val="0"/>
            <w:vAlign w:val="center"/>
          </w:tcPr>
          <w:p w14:paraId="59190EE9">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E48B376">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w:t>
            </w:r>
          </w:p>
        </w:tc>
      </w:tr>
      <w:tr w14:paraId="6000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14:paraId="234A69D4">
            <w:pPr>
              <w:spacing w:line="240" w:lineRule="exact"/>
              <w:jc w:val="center"/>
              <w:rPr>
                <w:rFonts w:hint="eastAsia" w:ascii="Times New Roman" w:hAnsi="Times New Roman" w:cs="Times New Roman"/>
                <w:color w:val="auto"/>
                <w:kern w:val="28"/>
                <w:szCs w:val="21"/>
                <w:u w:val="single"/>
                <w:lang w:val="en-US" w:eastAsia="zh-CN"/>
              </w:rPr>
            </w:pPr>
            <w:r>
              <w:rPr>
                <w:rFonts w:hint="eastAsia" w:cs="Times New Roman"/>
                <w:color w:val="auto"/>
                <w:kern w:val="28"/>
                <w:szCs w:val="21"/>
                <w:u w:val="single"/>
                <w:lang w:val="en-US" w:eastAsia="zh-CN"/>
              </w:rPr>
              <w:t>12</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5D967A2F">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氟化铵</w:t>
            </w:r>
          </w:p>
        </w:tc>
        <w:tc>
          <w:tcPr>
            <w:tcW w:w="1081" w:type="dxa"/>
            <w:tcBorders>
              <w:left w:val="single" w:color="auto" w:sz="4" w:space="0"/>
              <w:right w:val="single" w:color="auto" w:sz="4" w:space="0"/>
            </w:tcBorders>
            <w:noWrap w:val="0"/>
            <w:vAlign w:val="center"/>
          </w:tcPr>
          <w:p w14:paraId="2D73085B">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12125-01-8</w:t>
            </w:r>
          </w:p>
        </w:tc>
        <w:tc>
          <w:tcPr>
            <w:tcW w:w="576" w:type="dxa"/>
            <w:tcBorders>
              <w:top w:val="single" w:color="auto" w:sz="4" w:space="0"/>
              <w:left w:val="single" w:color="auto" w:sz="4" w:space="0"/>
              <w:bottom w:val="single" w:color="auto" w:sz="4" w:space="0"/>
              <w:right w:val="single" w:color="auto" w:sz="4" w:space="0"/>
            </w:tcBorders>
            <w:noWrap w:val="0"/>
            <w:vAlign w:val="center"/>
          </w:tcPr>
          <w:p w14:paraId="5BE23EF2">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固</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0922CB2B">
            <w:pPr>
              <w:adjustRightInd w:val="0"/>
              <w:snapToGrid w:val="0"/>
              <w:spacing w:line="240" w:lineRule="auto"/>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1250</w:t>
            </w:r>
          </w:p>
        </w:tc>
        <w:tc>
          <w:tcPr>
            <w:tcW w:w="3008" w:type="dxa"/>
            <w:tcBorders>
              <w:top w:val="single" w:color="auto" w:sz="4" w:space="0"/>
              <w:left w:val="single" w:color="auto" w:sz="4" w:space="0"/>
              <w:right w:val="single" w:color="auto" w:sz="4" w:space="0"/>
            </w:tcBorders>
            <w:noWrap w:val="0"/>
            <w:vAlign w:val="center"/>
          </w:tcPr>
          <w:p w14:paraId="5C6F334E">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789" w:type="dxa"/>
            <w:tcBorders>
              <w:left w:val="single" w:color="auto" w:sz="4" w:space="0"/>
              <w:right w:val="single" w:color="auto" w:sz="4" w:space="0"/>
            </w:tcBorders>
            <w:noWrap w:val="0"/>
            <w:vAlign w:val="center"/>
          </w:tcPr>
          <w:p w14:paraId="3DE1C4BA">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368124EB">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w:t>
            </w:r>
          </w:p>
        </w:tc>
      </w:tr>
      <w:tr w14:paraId="15FF9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14:paraId="5459F4B8">
            <w:pPr>
              <w:spacing w:line="240" w:lineRule="exact"/>
              <w:jc w:val="center"/>
              <w:rPr>
                <w:rFonts w:hint="eastAsia" w:ascii="Times New Roman" w:hAnsi="Times New Roman" w:cs="Times New Roman"/>
                <w:color w:val="auto"/>
                <w:kern w:val="28"/>
                <w:szCs w:val="21"/>
                <w:u w:val="single"/>
                <w:lang w:val="en-US" w:eastAsia="zh-CN"/>
              </w:rPr>
            </w:pPr>
            <w:r>
              <w:rPr>
                <w:rFonts w:hint="eastAsia" w:cs="Times New Roman"/>
                <w:color w:val="auto"/>
                <w:kern w:val="28"/>
                <w:szCs w:val="21"/>
                <w:u w:val="single"/>
                <w:lang w:val="en-US" w:eastAsia="zh-CN"/>
              </w:rPr>
              <w:t>13</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0D5FA5C0">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氟化钾</w:t>
            </w:r>
          </w:p>
        </w:tc>
        <w:tc>
          <w:tcPr>
            <w:tcW w:w="1081" w:type="dxa"/>
            <w:tcBorders>
              <w:left w:val="single" w:color="auto" w:sz="4" w:space="0"/>
              <w:right w:val="single" w:color="auto" w:sz="4" w:space="0"/>
            </w:tcBorders>
            <w:noWrap w:val="0"/>
            <w:vAlign w:val="center"/>
          </w:tcPr>
          <w:p w14:paraId="2467B283">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7789-23-3</w:t>
            </w:r>
          </w:p>
        </w:tc>
        <w:tc>
          <w:tcPr>
            <w:tcW w:w="576" w:type="dxa"/>
            <w:tcBorders>
              <w:top w:val="single" w:color="auto" w:sz="4" w:space="0"/>
              <w:left w:val="single" w:color="auto" w:sz="4" w:space="0"/>
              <w:bottom w:val="single" w:color="auto" w:sz="4" w:space="0"/>
              <w:right w:val="single" w:color="auto" w:sz="4" w:space="0"/>
            </w:tcBorders>
            <w:noWrap w:val="0"/>
            <w:vAlign w:val="center"/>
          </w:tcPr>
          <w:p w14:paraId="42140A3F">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固</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4C0D10A7">
            <w:pPr>
              <w:adjustRightInd w:val="0"/>
              <w:snapToGrid w:val="0"/>
              <w:spacing w:line="240" w:lineRule="auto"/>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1250</w:t>
            </w:r>
          </w:p>
        </w:tc>
        <w:tc>
          <w:tcPr>
            <w:tcW w:w="3008" w:type="dxa"/>
            <w:tcBorders>
              <w:top w:val="single" w:color="auto" w:sz="4" w:space="0"/>
              <w:left w:val="single" w:color="auto" w:sz="4" w:space="0"/>
              <w:right w:val="single" w:color="auto" w:sz="4" w:space="0"/>
            </w:tcBorders>
            <w:noWrap w:val="0"/>
            <w:vAlign w:val="center"/>
          </w:tcPr>
          <w:p w14:paraId="7295B115">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789" w:type="dxa"/>
            <w:tcBorders>
              <w:left w:val="single" w:color="auto" w:sz="4" w:space="0"/>
              <w:right w:val="single" w:color="auto" w:sz="4" w:space="0"/>
            </w:tcBorders>
            <w:noWrap w:val="0"/>
            <w:vAlign w:val="center"/>
          </w:tcPr>
          <w:p w14:paraId="322B9C68">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39D93398">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w:t>
            </w:r>
          </w:p>
        </w:tc>
      </w:tr>
      <w:tr w14:paraId="473C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14:paraId="5274E74F">
            <w:pPr>
              <w:spacing w:line="240" w:lineRule="exact"/>
              <w:jc w:val="center"/>
              <w:rPr>
                <w:rFonts w:hint="eastAsia" w:ascii="Times New Roman" w:hAnsi="Times New Roman" w:cs="Times New Roman"/>
                <w:color w:val="auto"/>
                <w:kern w:val="28"/>
                <w:szCs w:val="21"/>
                <w:u w:val="single"/>
                <w:lang w:val="en-US" w:eastAsia="zh-CN"/>
              </w:rPr>
            </w:pPr>
            <w:r>
              <w:rPr>
                <w:rFonts w:hint="eastAsia" w:cs="Times New Roman"/>
                <w:color w:val="auto"/>
                <w:kern w:val="28"/>
                <w:szCs w:val="21"/>
                <w:u w:val="single"/>
                <w:lang w:val="en-US" w:eastAsia="zh-CN"/>
              </w:rPr>
              <w:t>14</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2EEA25DD">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氟化锌</w:t>
            </w:r>
          </w:p>
        </w:tc>
        <w:tc>
          <w:tcPr>
            <w:tcW w:w="1081" w:type="dxa"/>
            <w:tcBorders>
              <w:left w:val="single" w:color="auto" w:sz="4" w:space="0"/>
              <w:right w:val="single" w:color="auto" w:sz="4" w:space="0"/>
            </w:tcBorders>
            <w:noWrap w:val="0"/>
            <w:vAlign w:val="center"/>
          </w:tcPr>
          <w:p w14:paraId="10AAC8B1">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7783-49-5</w:t>
            </w:r>
          </w:p>
        </w:tc>
        <w:tc>
          <w:tcPr>
            <w:tcW w:w="576" w:type="dxa"/>
            <w:tcBorders>
              <w:top w:val="single" w:color="auto" w:sz="4" w:space="0"/>
              <w:left w:val="single" w:color="auto" w:sz="4" w:space="0"/>
              <w:bottom w:val="single" w:color="auto" w:sz="4" w:space="0"/>
              <w:right w:val="single" w:color="auto" w:sz="4" w:space="0"/>
            </w:tcBorders>
            <w:noWrap w:val="0"/>
            <w:vAlign w:val="center"/>
          </w:tcPr>
          <w:p w14:paraId="3A360795">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固</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349F7D93">
            <w:pPr>
              <w:adjustRightInd w:val="0"/>
              <w:snapToGrid w:val="0"/>
              <w:spacing w:line="240" w:lineRule="auto"/>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1250</w:t>
            </w:r>
          </w:p>
        </w:tc>
        <w:tc>
          <w:tcPr>
            <w:tcW w:w="3008" w:type="dxa"/>
            <w:tcBorders>
              <w:top w:val="single" w:color="auto" w:sz="4" w:space="0"/>
              <w:left w:val="single" w:color="auto" w:sz="4" w:space="0"/>
              <w:right w:val="single" w:color="auto" w:sz="4" w:space="0"/>
            </w:tcBorders>
            <w:noWrap w:val="0"/>
            <w:vAlign w:val="center"/>
          </w:tcPr>
          <w:p w14:paraId="3BD6FC6F">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789" w:type="dxa"/>
            <w:tcBorders>
              <w:left w:val="single" w:color="auto" w:sz="4" w:space="0"/>
              <w:right w:val="single" w:color="auto" w:sz="4" w:space="0"/>
            </w:tcBorders>
            <w:noWrap w:val="0"/>
            <w:vAlign w:val="center"/>
          </w:tcPr>
          <w:p w14:paraId="785474CC">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100</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11C3F7FD">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w:t>
            </w:r>
          </w:p>
        </w:tc>
      </w:tr>
      <w:tr w14:paraId="0C95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01" w:type="dxa"/>
            <w:gridSpan w:val="7"/>
            <w:tcBorders>
              <w:top w:val="single" w:color="auto" w:sz="4" w:space="0"/>
              <w:left w:val="single" w:color="auto" w:sz="4" w:space="0"/>
              <w:bottom w:val="single" w:color="auto" w:sz="4" w:space="0"/>
              <w:right w:val="single" w:color="auto" w:sz="4" w:space="0"/>
            </w:tcBorders>
            <w:noWrap w:val="0"/>
            <w:vAlign w:val="center"/>
          </w:tcPr>
          <w:p w14:paraId="581C71AB">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总计</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4E9866C3">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6591.7</w:t>
            </w:r>
          </w:p>
        </w:tc>
      </w:tr>
    </w:tbl>
    <w:p w14:paraId="15EF49C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本项目装置区Q值为</w:t>
      </w:r>
      <w:r>
        <w:rPr>
          <w:rFonts w:hint="eastAsia" w:cs="Times New Roman"/>
          <w:color w:val="000000"/>
          <w:spacing w:val="10"/>
          <w:sz w:val="24"/>
          <w:szCs w:val="32"/>
          <w:lang w:val="en-US" w:eastAsia="zh-CN"/>
        </w:rPr>
        <w:t>6591.7</w:t>
      </w:r>
      <w:r>
        <w:rPr>
          <w:rFonts w:hint="default" w:ascii="Times New Roman" w:hAnsi="Times New Roman" w:eastAsia="宋体" w:cs="Times New Roman"/>
          <w:color w:val="000000"/>
          <w:spacing w:val="10"/>
          <w:sz w:val="24"/>
          <w:szCs w:val="32"/>
          <w:lang w:val="en-US" w:eastAsia="zh-CN"/>
        </w:rPr>
        <w:t>，属于Q≥100。</w:t>
      </w:r>
    </w:p>
    <w:p w14:paraId="20F80801">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行业及生产工艺M</w:t>
      </w:r>
    </w:p>
    <w:p w14:paraId="6329739E">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分析项目所属行业及生产工艺特点，按照表5-1评估生产工艺情况，具有多套工艺单元的项目，对每套生产工艺分别评分并求和。将M划分为（1）M＞20；（2）10＜M≤20；（3）5＜M≤10；（4）M=5，分别以M1、M2、M3和M4表示。</w:t>
      </w:r>
    </w:p>
    <w:p w14:paraId="0EAD151E">
      <w:pPr>
        <w:pStyle w:val="4"/>
        <w:numPr>
          <w:ilvl w:val="3"/>
          <w:numId w:val="10"/>
        </w:numPr>
        <w:tabs>
          <w:tab w:val="left" w:pos="1358"/>
          <w:tab w:val="left" w:pos="2153"/>
          <w:tab w:val="left" w:pos="2183"/>
        </w:tabs>
        <w:ind w:left="1358"/>
        <w:rPr>
          <w:rFonts w:hint="default" w:ascii="Times New Roman" w:hAnsi="Times New Roman" w:eastAsia="宋体" w:cs="Times New Roman"/>
          <w:color w:val="auto"/>
        </w:rPr>
      </w:pPr>
      <w:bookmarkStart w:id="48" w:name="_Toc27928"/>
      <w:r>
        <w:rPr>
          <w:rFonts w:hint="default" w:ascii="Times New Roman" w:hAnsi="Times New Roman" w:eastAsia="宋体" w:cs="Times New Roman"/>
          <w:color w:val="auto"/>
        </w:rPr>
        <w:t>行业及生产工艺M</w:t>
      </w:r>
      <w:bookmarkEnd w:id="48"/>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0"/>
        <w:gridCol w:w="4221"/>
        <w:gridCol w:w="610"/>
        <w:gridCol w:w="2047"/>
        <w:gridCol w:w="1206"/>
      </w:tblGrid>
      <w:tr w14:paraId="5D2AF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40" w:type="dxa"/>
            <w:noWrap w:val="0"/>
            <w:vAlign w:val="center"/>
          </w:tcPr>
          <w:p w14:paraId="5C4A087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w:t>
            </w:r>
          </w:p>
        </w:tc>
        <w:tc>
          <w:tcPr>
            <w:tcW w:w="4221" w:type="dxa"/>
            <w:noWrap w:val="0"/>
            <w:vAlign w:val="center"/>
          </w:tcPr>
          <w:p w14:paraId="5A6B973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评估依据</w:t>
            </w:r>
          </w:p>
        </w:tc>
        <w:tc>
          <w:tcPr>
            <w:tcW w:w="610" w:type="dxa"/>
            <w:noWrap w:val="0"/>
            <w:vAlign w:val="center"/>
          </w:tcPr>
          <w:p w14:paraId="6457ABA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分值</w:t>
            </w:r>
          </w:p>
        </w:tc>
        <w:tc>
          <w:tcPr>
            <w:tcW w:w="2047" w:type="dxa"/>
            <w:noWrap w:val="0"/>
            <w:vAlign w:val="center"/>
          </w:tcPr>
          <w:p w14:paraId="11C3EB1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项目情况</w:t>
            </w:r>
          </w:p>
        </w:tc>
        <w:tc>
          <w:tcPr>
            <w:tcW w:w="1206" w:type="dxa"/>
            <w:noWrap w:val="0"/>
            <w:vAlign w:val="center"/>
          </w:tcPr>
          <w:p w14:paraId="075E670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评分</w:t>
            </w:r>
          </w:p>
        </w:tc>
      </w:tr>
      <w:tr w14:paraId="5D466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940" w:type="dxa"/>
            <w:vMerge w:val="restart"/>
            <w:noWrap w:val="0"/>
            <w:vAlign w:val="center"/>
          </w:tcPr>
          <w:p w14:paraId="6FF0927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石化、化 工、医药、轻工、化 纤、有色冶炼等</w:t>
            </w:r>
          </w:p>
        </w:tc>
        <w:tc>
          <w:tcPr>
            <w:tcW w:w="4221" w:type="dxa"/>
            <w:noWrap w:val="0"/>
            <w:vAlign w:val="center"/>
          </w:tcPr>
          <w:p w14:paraId="453FFBE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涉及光气及光气化工艺、电解工艺（氯碱）、氯化工艺、硝化工艺、合成氨工艺、裂解（裂化）工艺、氟化工艺、加氢工艺、重氮化工 艺、氧化工艺、过氧化工艺、烷基化工艺、磺化工艺、聚合工艺、烷基化工艺、新型煤化工工艺、电石生产工艺、偶氮化工艺</w:t>
            </w:r>
          </w:p>
        </w:tc>
        <w:tc>
          <w:tcPr>
            <w:tcW w:w="610" w:type="dxa"/>
            <w:noWrap w:val="0"/>
            <w:vAlign w:val="center"/>
          </w:tcPr>
          <w:p w14:paraId="79C5C71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10/套</w:t>
            </w:r>
          </w:p>
        </w:tc>
        <w:tc>
          <w:tcPr>
            <w:tcW w:w="2047" w:type="dxa"/>
            <w:noWrap w:val="0"/>
            <w:vAlign w:val="center"/>
          </w:tcPr>
          <w:p w14:paraId="5D6FA92E">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rPr>
              <w:t>项目不涉及相关行业</w:t>
            </w:r>
          </w:p>
        </w:tc>
        <w:tc>
          <w:tcPr>
            <w:tcW w:w="1206" w:type="dxa"/>
            <w:noWrap w:val="0"/>
            <w:vAlign w:val="center"/>
          </w:tcPr>
          <w:p w14:paraId="070F9D82">
            <w:pPr>
              <w:autoSpaceDE w:val="0"/>
              <w:autoSpaceDN w:val="0"/>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r>
      <w:tr w14:paraId="50669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40" w:type="dxa"/>
            <w:vMerge w:val="continue"/>
            <w:tcBorders>
              <w:top w:val="nil"/>
            </w:tcBorders>
            <w:noWrap w:val="0"/>
            <w:vAlign w:val="center"/>
          </w:tcPr>
          <w:p w14:paraId="009704AD">
            <w:pPr>
              <w:adjustRightInd w:val="0"/>
              <w:snapToGrid w:val="0"/>
              <w:jc w:val="center"/>
              <w:rPr>
                <w:rFonts w:hint="default" w:ascii="Times New Roman" w:hAnsi="Times New Roman" w:eastAsia="宋体" w:cs="Times New Roman"/>
                <w:color w:val="auto"/>
                <w:sz w:val="21"/>
                <w:szCs w:val="21"/>
              </w:rPr>
            </w:pPr>
          </w:p>
        </w:tc>
        <w:tc>
          <w:tcPr>
            <w:tcW w:w="4221" w:type="dxa"/>
            <w:noWrap w:val="0"/>
            <w:vAlign w:val="center"/>
          </w:tcPr>
          <w:p w14:paraId="6D2033B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无机酸制酸工艺、焦化工艺</w:t>
            </w:r>
          </w:p>
        </w:tc>
        <w:tc>
          <w:tcPr>
            <w:tcW w:w="610" w:type="dxa"/>
            <w:noWrap w:val="0"/>
            <w:vAlign w:val="center"/>
          </w:tcPr>
          <w:p w14:paraId="11960C4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5/套</w:t>
            </w:r>
          </w:p>
        </w:tc>
        <w:tc>
          <w:tcPr>
            <w:tcW w:w="2047" w:type="dxa"/>
            <w:noWrap w:val="0"/>
            <w:vAlign w:val="center"/>
          </w:tcPr>
          <w:p w14:paraId="0F95183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项目不涉及相关行业</w:t>
            </w:r>
          </w:p>
        </w:tc>
        <w:tc>
          <w:tcPr>
            <w:tcW w:w="1206" w:type="dxa"/>
            <w:noWrap w:val="0"/>
            <w:vAlign w:val="center"/>
          </w:tcPr>
          <w:p w14:paraId="2FB13BD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11CCC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40" w:type="dxa"/>
            <w:vMerge w:val="continue"/>
            <w:tcBorders>
              <w:top w:val="nil"/>
            </w:tcBorders>
            <w:noWrap w:val="0"/>
            <w:vAlign w:val="center"/>
          </w:tcPr>
          <w:p w14:paraId="35D205E2">
            <w:pPr>
              <w:adjustRightInd w:val="0"/>
              <w:snapToGrid w:val="0"/>
              <w:jc w:val="center"/>
              <w:rPr>
                <w:rFonts w:hint="default" w:ascii="Times New Roman" w:hAnsi="Times New Roman" w:eastAsia="宋体" w:cs="Times New Roman"/>
                <w:color w:val="auto"/>
                <w:sz w:val="21"/>
                <w:szCs w:val="21"/>
              </w:rPr>
            </w:pPr>
          </w:p>
        </w:tc>
        <w:tc>
          <w:tcPr>
            <w:tcW w:w="4221" w:type="dxa"/>
            <w:noWrap w:val="0"/>
            <w:vAlign w:val="center"/>
          </w:tcPr>
          <w:p w14:paraId="335AB62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其他高温或高压，且涉及危险物质的工艺过程</w:t>
            </w:r>
          </w:p>
          <w:p w14:paraId="2C91833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危险物质</w:t>
            </w:r>
            <w:r>
              <w:rPr>
                <w:rFonts w:hint="default" w:ascii="Times New Roman" w:hAnsi="Times New Roman" w:eastAsia="宋体" w:cs="Times New Roman"/>
                <w:color w:val="auto"/>
                <w:sz w:val="21"/>
                <w:szCs w:val="21"/>
                <w:lang w:eastAsia="zh-CN"/>
              </w:rPr>
              <w:t>储存</w:t>
            </w:r>
            <w:r>
              <w:rPr>
                <w:rFonts w:hint="default" w:ascii="Times New Roman" w:hAnsi="Times New Roman" w:eastAsia="宋体" w:cs="Times New Roman"/>
                <w:color w:val="auto"/>
                <w:sz w:val="21"/>
                <w:szCs w:val="21"/>
              </w:rPr>
              <w:t>罐区</w:t>
            </w:r>
          </w:p>
        </w:tc>
        <w:tc>
          <w:tcPr>
            <w:tcW w:w="610" w:type="dxa"/>
            <w:noWrap w:val="0"/>
            <w:vAlign w:val="center"/>
          </w:tcPr>
          <w:p w14:paraId="7ED7F4C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5/套（罐区）</w:t>
            </w:r>
          </w:p>
        </w:tc>
        <w:tc>
          <w:tcPr>
            <w:tcW w:w="2047" w:type="dxa"/>
            <w:noWrap w:val="0"/>
            <w:vAlign w:val="center"/>
          </w:tcPr>
          <w:p w14:paraId="668A53CC">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rPr>
              <w:t>项目不涉及相关行业</w:t>
            </w:r>
          </w:p>
        </w:tc>
        <w:tc>
          <w:tcPr>
            <w:tcW w:w="1206" w:type="dxa"/>
            <w:noWrap w:val="0"/>
            <w:vAlign w:val="center"/>
          </w:tcPr>
          <w:p w14:paraId="577AD70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2278C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40" w:type="dxa"/>
            <w:noWrap w:val="0"/>
            <w:vAlign w:val="center"/>
          </w:tcPr>
          <w:p w14:paraId="2890C1D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管道、港口/码头等</w:t>
            </w:r>
          </w:p>
        </w:tc>
        <w:tc>
          <w:tcPr>
            <w:tcW w:w="4221" w:type="dxa"/>
            <w:noWrap w:val="0"/>
            <w:vAlign w:val="center"/>
          </w:tcPr>
          <w:p w14:paraId="26A73BD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涉及危险物质管道运输项目、港口/码头等</w:t>
            </w:r>
          </w:p>
        </w:tc>
        <w:tc>
          <w:tcPr>
            <w:tcW w:w="610" w:type="dxa"/>
            <w:noWrap w:val="0"/>
            <w:vAlign w:val="center"/>
          </w:tcPr>
          <w:p w14:paraId="0CA88A9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047" w:type="dxa"/>
            <w:noWrap w:val="0"/>
            <w:vAlign w:val="center"/>
          </w:tcPr>
          <w:p w14:paraId="07358CEF">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rPr>
              <w:t>项目不涉及相关行业</w:t>
            </w:r>
          </w:p>
        </w:tc>
        <w:tc>
          <w:tcPr>
            <w:tcW w:w="1206" w:type="dxa"/>
            <w:noWrap w:val="0"/>
            <w:vAlign w:val="center"/>
          </w:tcPr>
          <w:p w14:paraId="7583A795">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r>
      <w:tr w14:paraId="1470F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940" w:type="dxa"/>
            <w:noWrap w:val="0"/>
            <w:vAlign w:val="center"/>
          </w:tcPr>
          <w:p w14:paraId="5B21441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石油天然气</w:t>
            </w:r>
          </w:p>
        </w:tc>
        <w:tc>
          <w:tcPr>
            <w:tcW w:w="4221" w:type="dxa"/>
            <w:noWrap w:val="0"/>
            <w:vAlign w:val="center"/>
          </w:tcPr>
          <w:p w14:paraId="49F79A9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石油、天然气、页岩气开采（含净化），气库（不含加气站的气库），油库（不含加气站的油库）、油气管线 b（不含城镇燃气管线）</w:t>
            </w:r>
          </w:p>
        </w:tc>
        <w:tc>
          <w:tcPr>
            <w:tcW w:w="610" w:type="dxa"/>
            <w:noWrap w:val="0"/>
            <w:vAlign w:val="center"/>
          </w:tcPr>
          <w:p w14:paraId="2FFBC34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047" w:type="dxa"/>
            <w:noWrap w:val="0"/>
            <w:vAlign w:val="center"/>
          </w:tcPr>
          <w:p w14:paraId="02F0B32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项目不涉及相关行业</w:t>
            </w:r>
          </w:p>
        </w:tc>
        <w:tc>
          <w:tcPr>
            <w:tcW w:w="1206" w:type="dxa"/>
            <w:noWrap w:val="0"/>
            <w:vAlign w:val="center"/>
          </w:tcPr>
          <w:p w14:paraId="78F856A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35FFF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40" w:type="dxa"/>
            <w:noWrap w:val="0"/>
            <w:vAlign w:val="center"/>
          </w:tcPr>
          <w:p w14:paraId="1F893FB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c>
          <w:tcPr>
            <w:tcW w:w="4221" w:type="dxa"/>
            <w:noWrap w:val="0"/>
            <w:vAlign w:val="center"/>
          </w:tcPr>
          <w:p w14:paraId="13719E0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涉及危险物质使用、</w:t>
            </w:r>
            <w:r>
              <w:rPr>
                <w:rFonts w:hint="default" w:ascii="Times New Roman" w:hAnsi="Times New Roman" w:eastAsia="宋体" w:cs="Times New Roman"/>
                <w:color w:val="auto"/>
                <w:sz w:val="21"/>
                <w:szCs w:val="21"/>
                <w:lang w:eastAsia="zh-CN"/>
              </w:rPr>
              <w:t>储存</w:t>
            </w:r>
            <w:r>
              <w:rPr>
                <w:rFonts w:hint="default" w:ascii="Times New Roman" w:hAnsi="Times New Roman" w:eastAsia="宋体" w:cs="Times New Roman"/>
                <w:color w:val="auto"/>
                <w:sz w:val="21"/>
                <w:szCs w:val="21"/>
              </w:rPr>
              <w:t>的项目</w:t>
            </w:r>
          </w:p>
        </w:tc>
        <w:tc>
          <w:tcPr>
            <w:tcW w:w="610" w:type="dxa"/>
            <w:noWrap w:val="0"/>
            <w:vAlign w:val="center"/>
          </w:tcPr>
          <w:p w14:paraId="7FD7FF7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047" w:type="dxa"/>
            <w:noWrap w:val="0"/>
            <w:vAlign w:val="center"/>
          </w:tcPr>
          <w:p w14:paraId="6369DA4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项目涉及</w:t>
            </w:r>
            <w:r>
              <w:rPr>
                <w:rFonts w:hint="default" w:ascii="Times New Roman" w:hAnsi="Times New Roman" w:eastAsia="宋体" w:cs="Times New Roman"/>
                <w:color w:val="auto"/>
                <w:sz w:val="21"/>
                <w:szCs w:val="21"/>
                <w:highlight w:val="none"/>
                <w:lang w:val="en-US" w:eastAsia="zh-CN"/>
              </w:rPr>
              <w:t>危险物质</w:t>
            </w:r>
            <w:r>
              <w:rPr>
                <w:rFonts w:hint="default" w:ascii="Times New Roman" w:hAnsi="Times New Roman" w:eastAsia="宋体" w:cs="Times New Roman"/>
                <w:color w:val="auto"/>
                <w:sz w:val="21"/>
                <w:szCs w:val="21"/>
                <w:lang w:val="en-US" w:eastAsia="zh-CN"/>
              </w:rPr>
              <w:t>储存</w:t>
            </w:r>
          </w:p>
        </w:tc>
        <w:tc>
          <w:tcPr>
            <w:tcW w:w="1206" w:type="dxa"/>
            <w:noWrap w:val="0"/>
            <w:vAlign w:val="center"/>
          </w:tcPr>
          <w:p w14:paraId="3B2736B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14:paraId="75D27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818" w:type="dxa"/>
            <w:gridSpan w:val="4"/>
            <w:noWrap w:val="0"/>
            <w:vAlign w:val="center"/>
          </w:tcPr>
          <w:p w14:paraId="6019E01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206" w:type="dxa"/>
            <w:noWrap w:val="0"/>
            <w:vAlign w:val="center"/>
          </w:tcPr>
          <w:p w14:paraId="3845571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14:paraId="2B260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024" w:type="dxa"/>
            <w:gridSpan w:val="5"/>
            <w:noWrap w:val="0"/>
            <w:vAlign w:val="center"/>
          </w:tcPr>
          <w:p w14:paraId="4F7B1D7A">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a：高温指工艺温度≥300℃，高压指压力容器的设计压力（p）≥10.0MPa；</w:t>
            </w:r>
          </w:p>
          <w:p w14:paraId="0ED3C4DB">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b：长输管道运输项目应按站场、管线分段进行评价。</w:t>
            </w:r>
          </w:p>
        </w:tc>
      </w:tr>
    </w:tbl>
    <w:p w14:paraId="265F1504">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通过分析项目所属行业及生产工艺特点，根据表1-</w:t>
      </w:r>
      <w:r>
        <w:rPr>
          <w:rFonts w:hint="eastAsia" w:cs="Times New Roman"/>
          <w:color w:val="000000"/>
          <w:spacing w:val="10"/>
          <w:sz w:val="24"/>
          <w:szCs w:val="32"/>
          <w:lang w:val="en-US" w:eastAsia="zh-CN"/>
        </w:rPr>
        <w:t>5</w:t>
      </w:r>
      <w:r>
        <w:rPr>
          <w:rFonts w:hint="default" w:ascii="Times New Roman" w:hAnsi="Times New Roman" w:eastAsia="宋体" w:cs="Times New Roman"/>
          <w:color w:val="000000"/>
          <w:spacing w:val="10"/>
          <w:sz w:val="24"/>
          <w:szCs w:val="32"/>
          <w:lang w:val="en-US" w:eastAsia="zh-CN"/>
        </w:rPr>
        <w:t>。项目涉及危险物质储存，M=5，为M4。</w:t>
      </w:r>
    </w:p>
    <w:p w14:paraId="2C2368FF">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危险物质及工艺系统危险性（P）分级</w:t>
      </w:r>
    </w:p>
    <w:p w14:paraId="71D03AA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据危险物质数量与临界量比值（Q）和行业及生产工艺（M），按照表1-5确定危险物质及工艺系统危险性等级（P），分别以P1、P2、P3、P4表示。</w:t>
      </w:r>
    </w:p>
    <w:p w14:paraId="1485828E">
      <w:pPr>
        <w:pStyle w:val="4"/>
        <w:numPr>
          <w:ilvl w:val="3"/>
          <w:numId w:val="10"/>
        </w:numPr>
        <w:tabs>
          <w:tab w:val="left" w:pos="1358"/>
          <w:tab w:val="left" w:pos="2153"/>
          <w:tab w:val="left" w:pos="2183"/>
        </w:tabs>
        <w:ind w:left="1358"/>
        <w:rPr>
          <w:rFonts w:hint="default" w:ascii="Times New Roman" w:hAnsi="Times New Roman" w:eastAsia="宋体" w:cs="Times New Roman"/>
          <w:color w:val="auto"/>
        </w:rPr>
      </w:pPr>
      <w:bookmarkStart w:id="49" w:name="_Toc10874"/>
      <w:r>
        <w:rPr>
          <w:rFonts w:hint="default" w:ascii="Times New Roman" w:hAnsi="Times New Roman" w:eastAsia="宋体" w:cs="Times New Roman"/>
          <w:color w:val="auto"/>
        </w:rPr>
        <w:t>危险物质及工艺系统危险性等级判断（P）</w:t>
      </w:r>
      <w:bookmarkEnd w:id="49"/>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7"/>
        <w:gridCol w:w="1670"/>
        <w:gridCol w:w="1757"/>
        <w:gridCol w:w="1757"/>
        <w:gridCol w:w="1756"/>
      </w:tblGrid>
      <w:tr w14:paraId="1576D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7" w:type="dxa"/>
            <w:vMerge w:val="restart"/>
            <w:noWrap w:val="0"/>
            <w:vAlign w:val="center"/>
          </w:tcPr>
          <w:p w14:paraId="7459B2F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危险物质数量与临界量比值（Q）</w:t>
            </w:r>
          </w:p>
        </w:tc>
        <w:tc>
          <w:tcPr>
            <w:tcW w:w="6940" w:type="dxa"/>
            <w:gridSpan w:val="4"/>
            <w:noWrap w:val="0"/>
            <w:vAlign w:val="center"/>
          </w:tcPr>
          <w:p w14:paraId="0AF0524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行业及生产工艺（M）</w:t>
            </w:r>
          </w:p>
        </w:tc>
      </w:tr>
      <w:tr w14:paraId="3B6B4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7" w:type="dxa"/>
            <w:vMerge w:val="continue"/>
            <w:tcBorders>
              <w:top w:val="nil"/>
            </w:tcBorders>
            <w:noWrap w:val="0"/>
            <w:vAlign w:val="center"/>
          </w:tcPr>
          <w:p w14:paraId="001E920D">
            <w:pPr>
              <w:adjustRightInd w:val="0"/>
              <w:snapToGrid w:val="0"/>
              <w:jc w:val="center"/>
              <w:rPr>
                <w:rFonts w:hint="default" w:ascii="Times New Roman" w:hAnsi="Times New Roman" w:eastAsia="宋体" w:cs="Times New Roman"/>
                <w:color w:val="auto"/>
                <w:sz w:val="21"/>
                <w:szCs w:val="21"/>
              </w:rPr>
            </w:pPr>
          </w:p>
        </w:tc>
        <w:tc>
          <w:tcPr>
            <w:tcW w:w="1670" w:type="dxa"/>
            <w:noWrap w:val="0"/>
            <w:vAlign w:val="center"/>
          </w:tcPr>
          <w:p w14:paraId="4CBB665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M1</w:t>
            </w:r>
          </w:p>
        </w:tc>
        <w:tc>
          <w:tcPr>
            <w:tcW w:w="1757" w:type="dxa"/>
            <w:noWrap w:val="0"/>
            <w:vAlign w:val="center"/>
          </w:tcPr>
          <w:p w14:paraId="171C9D9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M2</w:t>
            </w:r>
          </w:p>
        </w:tc>
        <w:tc>
          <w:tcPr>
            <w:tcW w:w="1757" w:type="dxa"/>
            <w:noWrap w:val="0"/>
            <w:vAlign w:val="center"/>
          </w:tcPr>
          <w:p w14:paraId="24A7F2B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M3</w:t>
            </w:r>
          </w:p>
        </w:tc>
        <w:tc>
          <w:tcPr>
            <w:tcW w:w="1756" w:type="dxa"/>
            <w:noWrap w:val="0"/>
            <w:vAlign w:val="center"/>
          </w:tcPr>
          <w:p w14:paraId="02CF43D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M4</w:t>
            </w:r>
          </w:p>
        </w:tc>
      </w:tr>
      <w:tr w14:paraId="2ED60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7" w:type="dxa"/>
            <w:noWrap w:val="0"/>
            <w:vAlign w:val="center"/>
          </w:tcPr>
          <w:p w14:paraId="388C4E6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Q≥100</w:t>
            </w:r>
          </w:p>
        </w:tc>
        <w:tc>
          <w:tcPr>
            <w:tcW w:w="1670" w:type="dxa"/>
            <w:noWrap w:val="0"/>
            <w:vAlign w:val="center"/>
          </w:tcPr>
          <w:p w14:paraId="5EB93BB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P1</w:t>
            </w:r>
          </w:p>
        </w:tc>
        <w:tc>
          <w:tcPr>
            <w:tcW w:w="1757" w:type="dxa"/>
            <w:noWrap w:val="0"/>
            <w:vAlign w:val="center"/>
          </w:tcPr>
          <w:p w14:paraId="7B0E877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P1</w:t>
            </w:r>
          </w:p>
        </w:tc>
        <w:tc>
          <w:tcPr>
            <w:tcW w:w="1757" w:type="dxa"/>
            <w:noWrap w:val="0"/>
            <w:vAlign w:val="center"/>
          </w:tcPr>
          <w:p w14:paraId="1529544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P2</w:t>
            </w:r>
          </w:p>
        </w:tc>
        <w:tc>
          <w:tcPr>
            <w:tcW w:w="1756" w:type="dxa"/>
            <w:noWrap w:val="0"/>
            <w:vAlign w:val="center"/>
          </w:tcPr>
          <w:p w14:paraId="27420C4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P3</w:t>
            </w:r>
          </w:p>
        </w:tc>
      </w:tr>
      <w:tr w14:paraId="2F2FC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7" w:type="dxa"/>
            <w:noWrap w:val="0"/>
            <w:vAlign w:val="center"/>
          </w:tcPr>
          <w:p w14:paraId="14F2A40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10≤Q</w:t>
            </w: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100</w:t>
            </w:r>
          </w:p>
        </w:tc>
        <w:tc>
          <w:tcPr>
            <w:tcW w:w="1670" w:type="dxa"/>
            <w:noWrap w:val="0"/>
            <w:vAlign w:val="center"/>
          </w:tcPr>
          <w:p w14:paraId="12D8DA5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P1</w:t>
            </w:r>
          </w:p>
        </w:tc>
        <w:tc>
          <w:tcPr>
            <w:tcW w:w="1757" w:type="dxa"/>
            <w:noWrap w:val="0"/>
            <w:vAlign w:val="center"/>
          </w:tcPr>
          <w:p w14:paraId="0929184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P2</w:t>
            </w:r>
          </w:p>
        </w:tc>
        <w:tc>
          <w:tcPr>
            <w:tcW w:w="1757" w:type="dxa"/>
            <w:noWrap w:val="0"/>
            <w:vAlign w:val="center"/>
          </w:tcPr>
          <w:p w14:paraId="4DEACC4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P3</w:t>
            </w:r>
          </w:p>
        </w:tc>
        <w:tc>
          <w:tcPr>
            <w:tcW w:w="1756" w:type="dxa"/>
            <w:noWrap w:val="0"/>
            <w:vAlign w:val="center"/>
          </w:tcPr>
          <w:p w14:paraId="36D70DF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P4</w:t>
            </w:r>
          </w:p>
        </w:tc>
      </w:tr>
      <w:tr w14:paraId="5A2F8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7" w:type="dxa"/>
            <w:noWrap w:val="0"/>
            <w:vAlign w:val="center"/>
          </w:tcPr>
          <w:p w14:paraId="69A5C2F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1≤Q</w:t>
            </w: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1670" w:type="dxa"/>
            <w:noWrap w:val="0"/>
            <w:vAlign w:val="center"/>
          </w:tcPr>
          <w:p w14:paraId="1E697C5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P2</w:t>
            </w:r>
          </w:p>
        </w:tc>
        <w:tc>
          <w:tcPr>
            <w:tcW w:w="1757" w:type="dxa"/>
            <w:noWrap w:val="0"/>
            <w:vAlign w:val="center"/>
          </w:tcPr>
          <w:p w14:paraId="476622B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P3</w:t>
            </w:r>
          </w:p>
        </w:tc>
        <w:tc>
          <w:tcPr>
            <w:tcW w:w="1757" w:type="dxa"/>
            <w:noWrap w:val="0"/>
            <w:vAlign w:val="center"/>
          </w:tcPr>
          <w:p w14:paraId="448A1B5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P4</w:t>
            </w:r>
          </w:p>
        </w:tc>
        <w:tc>
          <w:tcPr>
            <w:tcW w:w="1756" w:type="dxa"/>
            <w:noWrap w:val="0"/>
            <w:vAlign w:val="center"/>
          </w:tcPr>
          <w:p w14:paraId="1768A82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P4</w:t>
            </w:r>
          </w:p>
        </w:tc>
      </w:tr>
    </w:tbl>
    <w:p w14:paraId="018DC8EB">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根据前文内容，本项目为M4且Q≥100，属于P3。</w:t>
      </w:r>
    </w:p>
    <w:p w14:paraId="50FD5220">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环境敏感程度E的分级确定</w:t>
      </w:r>
    </w:p>
    <w:p w14:paraId="57A55FEC">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1、大气环境</w:t>
      </w:r>
    </w:p>
    <w:p w14:paraId="3100E44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依据环境敏感目标环境敏感性及人口密度划分环境风险受体的敏感性，共分为三种类型，E1为环境高度敏感区，E2为环境中度敏感区，E3为环境低度敏感区，分级原则见表1-</w:t>
      </w:r>
      <w:r>
        <w:rPr>
          <w:rFonts w:hint="eastAsia" w:cs="Times New Roman"/>
          <w:color w:val="000000"/>
          <w:spacing w:val="10"/>
          <w:sz w:val="24"/>
          <w:szCs w:val="32"/>
          <w:lang w:val="en-US" w:eastAsia="zh-CN"/>
        </w:rPr>
        <w:t>7</w:t>
      </w:r>
      <w:r>
        <w:rPr>
          <w:rFonts w:hint="default" w:ascii="Times New Roman" w:hAnsi="Times New Roman" w:eastAsia="宋体" w:cs="Times New Roman"/>
          <w:color w:val="000000"/>
          <w:spacing w:val="10"/>
          <w:sz w:val="24"/>
          <w:szCs w:val="32"/>
          <w:lang w:val="en-US" w:eastAsia="zh-CN"/>
        </w:rPr>
        <w:t>。</w:t>
      </w:r>
    </w:p>
    <w:p w14:paraId="1FC82CBB">
      <w:pPr>
        <w:pStyle w:val="4"/>
        <w:numPr>
          <w:ilvl w:val="3"/>
          <w:numId w:val="10"/>
        </w:numPr>
        <w:tabs>
          <w:tab w:val="left" w:pos="1358"/>
          <w:tab w:val="left" w:pos="2153"/>
          <w:tab w:val="left" w:pos="2183"/>
        </w:tabs>
        <w:ind w:left="1358"/>
        <w:rPr>
          <w:rFonts w:hint="default" w:ascii="Times New Roman" w:hAnsi="Times New Roman" w:eastAsia="宋体" w:cs="Times New Roman"/>
          <w:color w:val="auto"/>
        </w:rPr>
      </w:pPr>
      <w:bookmarkStart w:id="50" w:name="_Toc31023"/>
      <w:r>
        <w:rPr>
          <w:rFonts w:hint="default" w:ascii="Times New Roman" w:hAnsi="Times New Roman" w:eastAsia="宋体" w:cs="Times New Roman"/>
          <w:color w:val="auto"/>
          <w:lang w:val="en-US" w:eastAsia="zh-CN"/>
        </w:rPr>
        <w:t>大气环境</w:t>
      </w:r>
      <w:r>
        <w:rPr>
          <w:rFonts w:hint="default" w:ascii="Times New Roman" w:hAnsi="Times New Roman" w:eastAsia="宋体" w:cs="Times New Roman"/>
          <w:color w:val="auto"/>
        </w:rPr>
        <w:t>敏感</w:t>
      </w:r>
      <w:r>
        <w:rPr>
          <w:rFonts w:hint="default" w:ascii="Times New Roman" w:hAnsi="Times New Roman" w:eastAsia="宋体" w:cs="Times New Roman"/>
          <w:color w:val="auto"/>
          <w:lang w:val="en-US" w:eastAsia="zh-CN"/>
        </w:rPr>
        <w:t>程度分级</w:t>
      </w:r>
      <w:bookmarkEnd w:id="50"/>
    </w:p>
    <w:tbl>
      <w:tblPr>
        <w:tblStyle w:val="1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7506"/>
      </w:tblGrid>
      <w:tr w14:paraId="2099D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81" w:type="dxa"/>
            <w:noWrap w:val="0"/>
            <w:vAlign w:val="center"/>
          </w:tcPr>
          <w:p w14:paraId="324630B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敏感性</w:t>
            </w:r>
          </w:p>
        </w:tc>
        <w:tc>
          <w:tcPr>
            <w:tcW w:w="7506" w:type="dxa"/>
            <w:noWrap w:val="0"/>
            <w:vAlign w:val="center"/>
          </w:tcPr>
          <w:p w14:paraId="50EFFF9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大气</w:t>
            </w:r>
            <w:r>
              <w:rPr>
                <w:rFonts w:hint="default" w:ascii="Times New Roman" w:hAnsi="Times New Roman" w:eastAsia="宋体" w:cs="Times New Roman"/>
                <w:color w:val="auto"/>
                <w:sz w:val="21"/>
                <w:szCs w:val="21"/>
              </w:rPr>
              <w:t>环境敏感特征</w:t>
            </w:r>
          </w:p>
        </w:tc>
      </w:tr>
      <w:tr w14:paraId="7314E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81" w:type="dxa"/>
            <w:noWrap w:val="0"/>
            <w:vAlign w:val="center"/>
          </w:tcPr>
          <w:p w14:paraId="240F4BB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w:t>
            </w:r>
          </w:p>
        </w:tc>
        <w:tc>
          <w:tcPr>
            <w:tcW w:w="7506" w:type="dxa"/>
            <w:noWrap w:val="0"/>
            <w:vAlign w:val="center"/>
          </w:tcPr>
          <w:p w14:paraId="35AC0723">
            <w:pPr>
              <w:adjustRightInd w:val="0"/>
              <w:snapToGrid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周边5km范围内居住区、医疗卫生、文化教育、科研、行政办公等机构人口总数大于5万人，或其他需要特殊保护区域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或周边500 m范围内人口总数大于1000人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油气、化学品输送管线管段周边200m范围内，每千米管段人口数大于200人</w:t>
            </w:r>
            <w:r>
              <w:rPr>
                <w:rFonts w:hint="default" w:ascii="Times New Roman" w:hAnsi="Times New Roman" w:eastAsia="宋体" w:cs="Times New Roman"/>
                <w:color w:val="auto"/>
                <w:sz w:val="21"/>
                <w:szCs w:val="21"/>
                <w:lang w:eastAsia="zh-CN"/>
              </w:rPr>
              <w:t>。</w:t>
            </w:r>
          </w:p>
        </w:tc>
      </w:tr>
      <w:tr w14:paraId="4F866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81" w:type="dxa"/>
            <w:noWrap w:val="0"/>
            <w:vAlign w:val="center"/>
          </w:tcPr>
          <w:p w14:paraId="3306CAE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E2</w:t>
            </w:r>
          </w:p>
        </w:tc>
        <w:tc>
          <w:tcPr>
            <w:tcW w:w="7506" w:type="dxa"/>
            <w:noWrap w:val="0"/>
            <w:vAlign w:val="center"/>
          </w:tcPr>
          <w:p w14:paraId="0D7AFBEB">
            <w:pPr>
              <w:adjustRightInd w:val="0"/>
              <w:snapToGrid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周边5km范围内居住区、医疗卫生、文化教育、科研、行政办公等机构人口总数大于1万人，小于5万人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或周边500 m范围内人口总数大于500人，小于1000人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油气、化学品输送管线管段周边200m范围内，每千米管段人口数大于100人，小于200人</w:t>
            </w:r>
            <w:r>
              <w:rPr>
                <w:rFonts w:hint="default" w:ascii="Times New Roman" w:hAnsi="Times New Roman" w:eastAsia="宋体" w:cs="Times New Roman"/>
                <w:color w:val="auto"/>
                <w:sz w:val="21"/>
                <w:szCs w:val="21"/>
                <w:lang w:eastAsia="zh-CN"/>
              </w:rPr>
              <w:t>。</w:t>
            </w:r>
          </w:p>
        </w:tc>
      </w:tr>
      <w:tr w14:paraId="79947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81" w:type="dxa"/>
            <w:noWrap w:val="0"/>
            <w:vAlign w:val="center"/>
          </w:tcPr>
          <w:p w14:paraId="311F2BE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E3</w:t>
            </w:r>
          </w:p>
        </w:tc>
        <w:tc>
          <w:tcPr>
            <w:tcW w:w="7506" w:type="dxa"/>
            <w:noWrap w:val="0"/>
            <w:vAlign w:val="center"/>
          </w:tcPr>
          <w:p w14:paraId="1E7E6BD7">
            <w:pPr>
              <w:adjustRightInd w:val="0"/>
              <w:snapToGrid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周边5km范围内居住区、医疗卫生、文化教育、科研、行政办公等机构人口总数小于1万人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或周边500 m范围内人口总数小于500人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油气、化学品输送管线管段周边200 m范围内，每千米管段人口数小于100人</w:t>
            </w:r>
            <w:r>
              <w:rPr>
                <w:rFonts w:hint="default" w:ascii="Times New Roman" w:hAnsi="Times New Roman" w:eastAsia="宋体" w:cs="Times New Roman"/>
                <w:color w:val="auto"/>
                <w:sz w:val="21"/>
                <w:szCs w:val="21"/>
                <w:lang w:eastAsia="zh-CN"/>
              </w:rPr>
              <w:t>。</w:t>
            </w:r>
          </w:p>
        </w:tc>
      </w:tr>
    </w:tbl>
    <w:p w14:paraId="3FAE3C51">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本项目周边5km范围内居住区、医疗卫生、文化教育、科研、行政办公等人口</w:t>
      </w:r>
      <w:r>
        <w:rPr>
          <w:rFonts w:hint="eastAsia" w:cs="Times New Roman"/>
          <w:color w:val="000000"/>
          <w:spacing w:val="10"/>
          <w:sz w:val="24"/>
          <w:szCs w:val="32"/>
          <w:lang w:val="en-US" w:eastAsia="zh-CN"/>
        </w:rPr>
        <w:t>48246</w:t>
      </w:r>
      <w:r>
        <w:rPr>
          <w:rFonts w:hint="default" w:ascii="Times New Roman" w:hAnsi="Times New Roman" w:eastAsia="宋体" w:cs="Times New Roman"/>
          <w:color w:val="000000"/>
          <w:spacing w:val="10"/>
          <w:sz w:val="24"/>
          <w:szCs w:val="32"/>
          <w:lang w:val="en-US" w:eastAsia="zh-CN"/>
        </w:rPr>
        <w:t>人。500m范围内人口为</w:t>
      </w:r>
      <w:r>
        <w:rPr>
          <w:rFonts w:hint="eastAsia" w:ascii="Times New Roman" w:hAnsi="Times New Roman" w:eastAsia="宋体" w:cs="Times New Roman"/>
          <w:color w:val="000000"/>
          <w:spacing w:val="10"/>
          <w:sz w:val="24"/>
          <w:szCs w:val="32"/>
          <w:lang w:val="en-US" w:eastAsia="zh-CN"/>
        </w:rPr>
        <w:t>550</w:t>
      </w:r>
      <w:r>
        <w:rPr>
          <w:rFonts w:hint="default" w:ascii="Times New Roman" w:hAnsi="Times New Roman" w:eastAsia="宋体" w:cs="Times New Roman"/>
          <w:color w:val="000000"/>
          <w:spacing w:val="10"/>
          <w:sz w:val="24"/>
          <w:szCs w:val="32"/>
          <w:lang w:val="en-US" w:eastAsia="zh-CN"/>
        </w:rPr>
        <w:t>，本项目大气环境敏感度为E</w:t>
      </w:r>
      <w:r>
        <w:rPr>
          <w:rFonts w:hint="eastAsia" w:ascii="Times New Roman" w:hAnsi="Times New Roman" w:eastAsia="宋体" w:cs="Times New Roman"/>
          <w:color w:val="000000"/>
          <w:spacing w:val="10"/>
          <w:sz w:val="24"/>
          <w:szCs w:val="32"/>
          <w:lang w:val="en-US" w:eastAsia="zh-CN"/>
        </w:rPr>
        <w:t>2</w:t>
      </w:r>
      <w:r>
        <w:rPr>
          <w:rFonts w:hint="default" w:ascii="Times New Roman" w:hAnsi="Times New Roman" w:eastAsia="宋体" w:cs="Times New Roman"/>
          <w:color w:val="000000"/>
          <w:spacing w:val="10"/>
          <w:sz w:val="24"/>
          <w:szCs w:val="32"/>
          <w:lang w:val="en-US" w:eastAsia="zh-CN"/>
        </w:rPr>
        <w:t>。</w:t>
      </w:r>
    </w:p>
    <w:p w14:paraId="6FB8555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2、地表水环境</w:t>
      </w:r>
    </w:p>
    <w:p w14:paraId="0B48146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依据事故情况下危险物质泄漏到水体的排放点</w:t>
      </w:r>
      <w:r>
        <w:rPr>
          <w:rFonts w:hint="eastAsia" w:cs="Times New Roman"/>
          <w:color w:val="000000"/>
          <w:spacing w:val="10"/>
          <w:sz w:val="24"/>
          <w:szCs w:val="32"/>
          <w:lang w:val="en-US" w:eastAsia="zh-CN"/>
        </w:rPr>
        <w:t>受纳</w:t>
      </w:r>
      <w:r>
        <w:rPr>
          <w:rFonts w:hint="default" w:ascii="Times New Roman" w:hAnsi="Times New Roman" w:eastAsia="宋体" w:cs="Times New Roman"/>
          <w:color w:val="000000"/>
          <w:spacing w:val="10"/>
          <w:sz w:val="24"/>
          <w:szCs w:val="32"/>
          <w:lang w:val="en-US" w:eastAsia="zh-CN"/>
        </w:rPr>
        <w:t>地表水体功能敏感性，与下游环境敏感目标情况，共分为三种类型，E1为环境高度敏感区，E2为环境中度敏感区，E3为环境低度敏感区。其中地表水功能敏感性分区和环境敏感目标分级见表1-8。</w:t>
      </w:r>
    </w:p>
    <w:p w14:paraId="662B6232">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本项目事故废水设</w:t>
      </w:r>
      <w:r>
        <w:rPr>
          <w:rFonts w:hint="eastAsia" w:ascii="Times New Roman" w:hAnsi="Times New Roman" w:eastAsia="宋体" w:cs="Times New Roman"/>
          <w:color w:val="000000"/>
          <w:spacing w:val="10"/>
          <w:sz w:val="24"/>
          <w:szCs w:val="32"/>
          <w:lang w:val="en-US" w:eastAsia="zh-CN"/>
        </w:rPr>
        <w:t>二</w:t>
      </w:r>
      <w:r>
        <w:rPr>
          <w:rFonts w:hint="default" w:ascii="Times New Roman" w:hAnsi="Times New Roman" w:eastAsia="宋体" w:cs="Times New Roman"/>
          <w:color w:val="000000"/>
          <w:spacing w:val="10"/>
          <w:sz w:val="24"/>
          <w:szCs w:val="32"/>
          <w:lang w:val="en-US" w:eastAsia="zh-CN"/>
        </w:rPr>
        <w:t>级防控体系，事故状态下，消防废水进入事故应急池、事故应急池。项目属于污水间接排放项目，废水排入</w:t>
      </w:r>
      <w:r>
        <w:rPr>
          <w:rFonts w:hint="eastAsia" w:cs="Times New Roman"/>
          <w:color w:val="000000"/>
          <w:spacing w:val="10"/>
          <w:sz w:val="24"/>
          <w:szCs w:val="32"/>
          <w:lang w:val="en-US" w:eastAsia="zh-CN"/>
        </w:rPr>
        <w:t>钦州港工业污水集中处理厂</w:t>
      </w:r>
      <w:r>
        <w:rPr>
          <w:rFonts w:hint="default" w:ascii="Times New Roman" w:hAnsi="Times New Roman" w:eastAsia="宋体" w:cs="Times New Roman"/>
          <w:color w:val="000000"/>
          <w:spacing w:val="10"/>
          <w:sz w:val="24"/>
          <w:szCs w:val="32"/>
          <w:lang w:val="en-US" w:eastAsia="zh-CN"/>
        </w:rPr>
        <w:t>，后排往钦州港金鼓江排污混合区（GX056DⅣ</w:t>
      </w:r>
      <w:r>
        <w:rPr>
          <w:rFonts w:hint="default" w:ascii="Times New Roman" w:hAnsi="Times New Roman" w:eastAsia="宋体" w:cs="Times New Roman"/>
          <w:color w:val="auto"/>
          <w:spacing w:val="10"/>
          <w:sz w:val="24"/>
          <w:szCs w:val="32"/>
          <w:lang w:val="en-US" w:eastAsia="zh-CN"/>
        </w:rPr>
        <w:t>），主导功能为港口、工业、生活排污用海，属四</w:t>
      </w:r>
      <w:r>
        <w:rPr>
          <w:rFonts w:hint="default" w:ascii="Times New Roman" w:hAnsi="Times New Roman" w:eastAsia="宋体" w:cs="Times New Roman"/>
          <w:color w:val="000000"/>
          <w:spacing w:val="10"/>
          <w:sz w:val="24"/>
          <w:szCs w:val="32"/>
          <w:lang w:val="en-US" w:eastAsia="zh-CN"/>
        </w:rPr>
        <w:t>类环境功能区，水质保护目标为四类海水水质标准</w:t>
      </w:r>
      <w:r>
        <w:rPr>
          <w:rFonts w:hint="eastAsia" w:ascii="Times New Roman" w:hAnsi="Times New Roman" w:eastAsia="宋体"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属于低敏感F3。最坏事故状态下（厂内</w:t>
      </w:r>
      <w:r>
        <w:rPr>
          <w:rFonts w:hint="eastAsia" w:ascii="Times New Roman" w:hAnsi="Times New Roman" w:eastAsia="宋体" w:cs="Times New Roman"/>
          <w:color w:val="000000"/>
          <w:spacing w:val="10"/>
          <w:sz w:val="24"/>
          <w:szCs w:val="32"/>
          <w:lang w:val="en-US" w:eastAsia="zh-CN"/>
        </w:rPr>
        <w:t>二</w:t>
      </w:r>
      <w:r>
        <w:rPr>
          <w:rFonts w:hint="default" w:ascii="Times New Roman" w:hAnsi="Times New Roman" w:eastAsia="宋体" w:cs="Times New Roman"/>
          <w:color w:val="000000"/>
          <w:spacing w:val="10"/>
          <w:sz w:val="24"/>
          <w:szCs w:val="32"/>
          <w:lang w:val="en-US" w:eastAsia="zh-CN"/>
        </w:rPr>
        <w:t>级防控措施均失效），事故废水通过厂内雨水总排口排放，进入园区雨水</w:t>
      </w:r>
      <w:r>
        <w:rPr>
          <w:rFonts w:hint="default" w:ascii="Times New Roman" w:hAnsi="Times New Roman" w:eastAsia="宋体" w:cs="Times New Roman"/>
          <w:color w:val="auto"/>
          <w:spacing w:val="10"/>
          <w:sz w:val="24"/>
          <w:szCs w:val="32"/>
          <w:lang w:val="en-US" w:eastAsia="zh-CN"/>
        </w:rPr>
        <w:t>管线流向</w:t>
      </w:r>
      <w:r>
        <w:rPr>
          <w:rFonts w:hint="eastAsia" w:ascii="Times New Roman" w:hAnsi="Times New Roman" w:eastAsia="宋体" w:cs="Times New Roman"/>
          <w:color w:val="auto"/>
          <w:spacing w:val="10"/>
          <w:sz w:val="24"/>
          <w:szCs w:val="32"/>
          <w:lang w:val="en-US" w:eastAsia="zh-CN"/>
        </w:rPr>
        <w:t>临海大道</w:t>
      </w:r>
      <w:r>
        <w:rPr>
          <w:rFonts w:hint="default" w:ascii="Times New Roman" w:hAnsi="Times New Roman" w:eastAsia="宋体" w:cs="Times New Roman"/>
          <w:color w:val="auto"/>
          <w:spacing w:val="10"/>
          <w:sz w:val="24"/>
          <w:szCs w:val="32"/>
          <w:lang w:val="en-US" w:eastAsia="zh-CN"/>
        </w:rPr>
        <w:t>最终进入</w:t>
      </w:r>
      <w:r>
        <w:rPr>
          <w:rFonts w:hint="eastAsia" w:ascii="Times New Roman" w:hAnsi="Times New Roman" w:eastAsia="宋体" w:cs="Times New Roman"/>
          <w:color w:val="auto"/>
          <w:spacing w:val="10"/>
          <w:sz w:val="24"/>
          <w:szCs w:val="32"/>
          <w:lang w:val="en-US" w:eastAsia="zh-CN"/>
        </w:rPr>
        <w:t>金鼓江</w:t>
      </w:r>
      <w:r>
        <w:rPr>
          <w:rFonts w:hint="default" w:ascii="Times New Roman" w:hAnsi="Times New Roman" w:eastAsia="宋体" w:cs="Times New Roman"/>
          <w:color w:val="auto"/>
          <w:spacing w:val="10"/>
          <w:sz w:val="24"/>
          <w:szCs w:val="32"/>
          <w:lang w:val="en-US" w:eastAsia="zh-CN"/>
        </w:rPr>
        <w:t>，</w:t>
      </w:r>
      <w:r>
        <w:rPr>
          <w:rFonts w:hint="eastAsia" w:ascii="Times New Roman" w:hAnsi="Times New Roman" w:eastAsia="宋体" w:cs="Times New Roman"/>
          <w:color w:val="auto"/>
          <w:spacing w:val="10"/>
          <w:sz w:val="24"/>
          <w:szCs w:val="32"/>
          <w:lang w:val="en-US" w:eastAsia="zh-CN"/>
        </w:rPr>
        <w:t>进入金鼓江断面属于</w:t>
      </w:r>
      <w:r>
        <w:rPr>
          <w:rFonts w:hint="default" w:ascii="Times New Roman" w:hAnsi="Times New Roman" w:eastAsia="宋体" w:cs="Times New Roman"/>
          <w:color w:val="auto"/>
          <w:spacing w:val="10"/>
          <w:sz w:val="24"/>
          <w:szCs w:val="32"/>
          <w:lang w:val="en-US" w:eastAsia="zh-CN"/>
        </w:rPr>
        <w:t>钦州港大榄坪港口、工业区（GX055DⅣ）</w:t>
      </w:r>
      <w:r>
        <w:rPr>
          <w:rFonts w:hint="eastAsia" w:ascii="Times New Roman" w:hAnsi="Times New Roman" w:eastAsia="宋体" w:cs="Times New Roman"/>
          <w:color w:val="auto"/>
          <w:spacing w:val="10"/>
          <w:sz w:val="24"/>
          <w:szCs w:val="32"/>
          <w:lang w:val="en-US" w:eastAsia="zh-CN"/>
        </w:rPr>
        <w:t>，</w:t>
      </w:r>
      <w:r>
        <w:rPr>
          <w:rFonts w:hint="default" w:ascii="Times New Roman" w:hAnsi="Times New Roman" w:eastAsia="宋体" w:cs="Times New Roman"/>
          <w:color w:val="auto"/>
          <w:spacing w:val="10"/>
          <w:sz w:val="24"/>
          <w:szCs w:val="32"/>
          <w:lang w:val="en-US" w:eastAsia="zh-CN"/>
        </w:rPr>
        <w:t>主导功能为港口、工业用海，属四类环境功能区</w:t>
      </w:r>
      <w:r>
        <w:rPr>
          <w:rFonts w:hint="eastAsia" w:ascii="Times New Roman" w:hAnsi="Times New Roman" w:eastAsia="宋体" w:cs="Times New Roman"/>
          <w:color w:val="auto"/>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属于低敏感F3</w:t>
      </w:r>
      <w:r>
        <w:rPr>
          <w:rFonts w:hint="eastAsia" w:ascii="Times New Roman" w:hAnsi="Times New Roman" w:eastAsia="宋体" w:cs="Times New Roman"/>
          <w:color w:val="auto"/>
          <w:spacing w:val="10"/>
          <w:sz w:val="24"/>
          <w:szCs w:val="32"/>
          <w:u w:val="none"/>
          <w:lang w:val="en-US" w:eastAsia="zh-CN"/>
        </w:rPr>
        <w:t>。</w:t>
      </w:r>
      <w:r>
        <w:rPr>
          <w:rFonts w:hint="default" w:ascii="Times New Roman" w:hAnsi="Times New Roman" w:eastAsia="宋体" w:cs="Times New Roman"/>
          <w:color w:val="auto"/>
          <w:spacing w:val="10"/>
          <w:sz w:val="24"/>
          <w:szCs w:val="32"/>
          <w:u w:val="none"/>
          <w:lang w:val="en-US" w:eastAsia="zh-CN"/>
        </w:rPr>
        <w:t>因此拟建</w:t>
      </w:r>
      <w:r>
        <w:rPr>
          <w:rFonts w:hint="eastAsia" w:cs="Times New Roman"/>
          <w:color w:val="auto"/>
          <w:spacing w:val="10"/>
          <w:sz w:val="24"/>
          <w:szCs w:val="32"/>
          <w:u w:val="none"/>
          <w:lang w:val="en-US" w:eastAsia="zh-CN"/>
        </w:rPr>
        <w:t>项目的</w:t>
      </w:r>
      <w:r>
        <w:rPr>
          <w:rFonts w:hint="default" w:ascii="Times New Roman" w:hAnsi="Times New Roman" w:eastAsia="宋体" w:cs="Times New Roman"/>
          <w:color w:val="auto"/>
          <w:spacing w:val="10"/>
          <w:sz w:val="24"/>
          <w:szCs w:val="32"/>
          <w:u w:val="none"/>
          <w:lang w:val="en-US" w:eastAsia="zh-CN"/>
        </w:rPr>
        <w:t>地表水环境敏感</w:t>
      </w:r>
      <w:r>
        <w:rPr>
          <w:rFonts w:hint="eastAsia" w:cs="Times New Roman"/>
          <w:color w:val="auto"/>
          <w:spacing w:val="10"/>
          <w:sz w:val="24"/>
          <w:szCs w:val="32"/>
          <w:u w:val="none"/>
          <w:lang w:val="en-US" w:eastAsia="zh-CN"/>
        </w:rPr>
        <w:t>程度</w:t>
      </w:r>
      <w:r>
        <w:rPr>
          <w:rFonts w:hint="eastAsia" w:ascii="Times New Roman" w:hAnsi="Times New Roman" w:eastAsia="宋体" w:cs="Times New Roman"/>
          <w:color w:val="auto"/>
          <w:spacing w:val="10"/>
          <w:sz w:val="24"/>
          <w:szCs w:val="32"/>
          <w:u w:val="none"/>
          <w:lang w:val="en-US" w:eastAsia="zh-CN"/>
        </w:rPr>
        <w:t>为</w:t>
      </w:r>
      <w:r>
        <w:rPr>
          <w:rFonts w:hint="default" w:ascii="Times New Roman" w:hAnsi="Times New Roman" w:eastAsia="宋体" w:cs="Times New Roman"/>
          <w:color w:val="auto"/>
          <w:spacing w:val="10"/>
          <w:sz w:val="24"/>
          <w:szCs w:val="32"/>
          <w:u w:val="none"/>
          <w:lang w:val="en-US" w:eastAsia="zh-CN"/>
        </w:rPr>
        <w:t>E</w:t>
      </w:r>
      <w:r>
        <w:rPr>
          <w:rFonts w:hint="eastAsia" w:ascii="Times New Roman" w:hAnsi="Times New Roman" w:eastAsia="宋体" w:cs="Times New Roman"/>
          <w:color w:val="auto"/>
          <w:spacing w:val="10"/>
          <w:sz w:val="24"/>
          <w:szCs w:val="32"/>
          <w:u w:val="none"/>
          <w:lang w:val="en-US" w:eastAsia="zh-CN"/>
        </w:rPr>
        <w:t>2</w:t>
      </w:r>
      <w:r>
        <w:rPr>
          <w:rFonts w:hint="default" w:ascii="Times New Roman" w:hAnsi="Times New Roman" w:eastAsia="宋体" w:cs="Times New Roman"/>
          <w:color w:val="auto"/>
          <w:spacing w:val="10"/>
          <w:sz w:val="24"/>
          <w:szCs w:val="32"/>
          <w:u w:val="none"/>
          <w:lang w:val="en-US" w:eastAsia="zh-CN"/>
        </w:rPr>
        <w:t>。</w:t>
      </w:r>
    </w:p>
    <w:p w14:paraId="42752ABF">
      <w:pPr>
        <w:pStyle w:val="4"/>
        <w:numPr>
          <w:ilvl w:val="3"/>
          <w:numId w:val="10"/>
        </w:numPr>
        <w:tabs>
          <w:tab w:val="left" w:pos="1358"/>
          <w:tab w:val="left" w:pos="2153"/>
          <w:tab w:val="left" w:pos="2183"/>
        </w:tabs>
        <w:ind w:left="1358"/>
        <w:rPr>
          <w:rFonts w:hint="default" w:ascii="Times New Roman" w:hAnsi="Times New Roman" w:eastAsia="宋体" w:cs="Times New Roman"/>
          <w:color w:val="auto"/>
        </w:rPr>
      </w:pPr>
      <w:bookmarkStart w:id="51" w:name="_Toc10029"/>
      <w:r>
        <w:rPr>
          <w:rFonts w:hint="default" w:ascii="Times New Roman" w:hAnsi="Times New Roman" w:eastAsia="宋体" w:cs="Times New Roman"/>
          <w:color w:val="auto"/>
        </w:rPr>
        <w:t>地表水功能敏感性分区</w:t>
      </w:r>
      <w:bookmarkEnd w:id="51"/>
    </w:p>
    <w:tbl>
      <w:tblPr>
        <w:tblStyle w:val="1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7506"/>
      </w:tblGrid>
      <w:tr w14:paraId="0BA13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81" w:type="dxa"/>
            <w:noWrap w:val="0"/>
            <w:vAlign w:val="center"/>
          </w:tcPr>
          <w:p w14:paraId="7F98565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敏感性</w:t>
            </w:r>
          </w:p>
        </w:tc>
        <w:tc>
          <w:tcPr>
            <w:tcW w:w="7506" w:type="dxa"/>
            <w:noWrap w:val="0"/>
            <w:vAlign w:val="center"/>
          </w:tcPr>
          <w:p w14:paraId="274B694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地表水环境敏感特征</w:t>
            </w:r>
          </w:p>
        </w:tc>
      </w:tr>
      <w:tr w14:paraId="043E7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81" w:type="dxa"/>
            <w:noWrap w:val="0"/>
            <w:vAlign w:val="center"/>
          </w:tcPr>
          <w:p w14:paraId="7E3B491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 F1</w:t>
            </w:r>
          </w:p>
        </w:tc>
        <w:tc>
          <w:tcPr>
            <w:tcW w:w="7506" w:type="dxa"/>
            <w:noWrap w:val="0"/>
            <w:vAlign w:val="center"/>
          </w:tcPr>
          <w:p w14:paraId="379BC896">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排放点进入地表水水域环境功能为Ⅱ类及以上，或海水水质分类第一类；</w:t>
            </w:r>
            <w:r>
              <w:rPr>
                <w:rFonts w:hint="eastAsia" w:cs="Times New Roman"/>
                <w:color w:val="auto"/>
                <w:sz w:val="21"/>
                <w:szCs w:val="21"/>
                <w:lang w:eastAsia="zh-CN"/>
              </w:rPr>
              <w:t>或已发生</w:t>
            </w:r>
            <w:r>
              <w:rPr>
                <w:rFonts w:hint="default" w:ascii="Times New Roman" w:hAnsi="Times New Roman" w:eastAsia="宋体" w:cs="Times New Roman"/>
                <w:color w:val="auto"/>
                <w:sz w:val="21"/>
                <w:szCs w:val="21"/>
                <w:highlight w:val="none"/>
              </w:rPr>
              <w:t>事</w:t>
            </w:r>
            <w:r>
              <w:rPr>
                <w:rFonts w:hint="default" w:ascii="Times New Roman" w:hAnsi="Times New Roman" w:eastAsia="宋体" w:cs="Times New Roman"/>
                <w:color w:val="auto"/>
                <w:sz w:val="21"/>
                <w:szCs w:val="21"/>
              </w:rPr>
              <w:t>故时，危险物质泄漏到水体的排放点算起，排放进入受纳河流最大流速时，24h 流经范围内涉跨国界的</w:t>
            </w:r>
          </w:p>
        </w:tc>
      </w:tr>
      <w:tr w14:paraId="5267B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81" w:type="dxa"/>
            <w:noWrap w:val="0"/>
            <w:vAlign w:val="center"/>
          </w:tcPr>
          <w:p w14:paraId="76B0ED9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较敏感F2</w:t>
            </w:r>
          </w:p>
        </w:tc>
        <w:tc>
          <w:tcPr>
            <w:tcW w:w="7506" w:type="dxa"/>
            <w:noWrap w:val="0"/>
            <w:vAlign w:val="center"/>
          </w:tcPr>
          <w:p w14:paraId="1371234E">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排放点进入地表水水域环境功能为Ⅲ类</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或海水水质分类第二类；</w:t>
            </w:r>
            <w:r>
              <w:rPr>
                <w:rFonts w:hint="eastAsia" w:cs="Times New Roman"/>
                <w:color w:val="auto"/>
                <w:sz w:val="21"/>
                <w:szCs w:val="21"/>
                <w:lang w:eastAsia="zh-CN"/>
              </w:rPr>
              <w:t>或已发生</w:t>
            </w:r>
            <w:r>
              <w:rPr>
                <w:rFonts w:hint="default" w:ascii="Times New Roman" w:hAnsi="Times New Roman" w:eastAsia="宋体" w:cs="Times New Roman"/>
                <w:color w:val="auto"/>
                <w:sz w:val="21"/>
                <w:szCs w:val="21"/>
              </w:rPr>
              <w:t>事故时，危险物质泄漏到水体的排放点算起，排放进入受纳河流最大流速时，24h 流经范围内涉跨省界的</w:t>
            </w:r>
          </w:p>
        </w:tc>
      </w:tr>
      <w:tr w14:paraId="11442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81" w:type="dxa"/>
            <w:noWrap w:val="0"/>
            <w:vAlign w:val="center"/>
          </w:tcPr>
          <w:p w14:paraId="3E1A6F1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低敏感F3</w:t>
            </w:r>
          </w:p>
        </w:tc>
        <w:tc>
          <w:tcPr>
            <w:tcW w:w="7506" w:type="dxa"/>
            <w:noWrap w:val="0"/>
            <w:vAlign w:val="center"/>
          </w:tcPr>
          <w:p w14:paraId="240D1B56">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上述地区之外的其他地区</w:t>
            </w:r>
          </w:p>
        </w:tc>
      </w:tr>
    </w:tbl>
    <w:p w14:paraId="626BBFC7">
      <w:pPr>
        <w:pStyle w:val="4"/>
        <w:numPr>
          <w:ilvl w:val="3"/>
          <w:numId w:val="10"/>
        </w:numPr>
        <w:tabs>
          <w:tab w:val="left" w:pos="1358"/>
          <w:tab w:val="left" w:pos="2153"/>
          <w:tab w:val="left" w:pos="2183"/>
        </w:tabs>
        <w:spacing w:before="13"/>
        <w:ind w:left="1358"/>
        <w:rPr>
          <w:rFonts w:hint="default" w:ascii="Times New Roman" w:hAnsi="Times New Roman" w:cs="Times New Roman"/>
          <w:color w:val="auto"/>
          <w:sz w:val="4"/>
          <w:szCs w:val="24"/>
        </w:rPr>
      </w:pPr>
      <w:bookmarkStart w:id="52" w:name="_Toc720"/>
      <w:r>
        <w:rPr>
          <w:rFonts w:hint="default" w:ascii="Times New Roman" w:hAnsi="Times New Roman" w:eastAsia="宋体" w:cs="Times New Roman"/>
          <w:color w:val="auto"/>
        </w:rPr>
        <w:t>环境敏感目标分级</w:t>
      </w:r>
      <w:bookmarkEnd w:id="52"/>
    </w:p>
    <w:tbl>
      <w:tblPr>
        <w:tblStyle w:val="1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7"/>
        <w:gridCol w:w="7620"/>
      </w:tblGrid>
      <w:tr w14:paraId="1BC67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7" w:type="dxa"/>
            <w:noWrap w:val="0"/>
            <w:vAlign w:val="center"/>
          </w:tcPr>
          <w:p w14:paraId="548CB45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分级</w:t>
            </w:r>
          </w:p>
        </w:tc>
        <w:tc>
          <w:tcPr>
            <w:tcW w:w="7620" w:type="dxa"/>
            <w:noWrap w:val="0"/>
            <w:vAlign w:val="center"/>
          </w:tcPr>
          <w:p w14:paraId="575DE35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环境敏感点目标</w:t>
            </w:r>
          </w:p>
        </w:tc>
      </w:tr>
      <w:tr w14:paraId="17F77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7" w:type="dxa"/>
            <w:noWrap w:val="0"/>
            <w:vAlign w:val="center"/>
          </w:tcPr>
          <w:p w14:paraId="0FFF9F4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S1</w:t>
            </w:r>
          </w:p>
        </w:tc>
        <w:tc>
          <w:tcPr>
            <w:tcW w:w="7620" w:type="dxa"/>
            <w:noWrap w:val="0"/>
            <w:vAlign w:val="center"/>
          </w:tcPr>
          <w:p w14:paraId="0EDB3696">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发生事故时，危险物质泄漏到内陆水体的排放点下游</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顺水流向</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10km 范围内、近岸海域一个潮周期水质点可能达到的最大水平距离的两倍范围内，有如下一类或多类环境风险受体：集中式地表水饮用水水源保护区</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包括一级保护区、二级保护区及准保护区</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农村及分散式饮用水水源保护区；自然保护区；重要湿地；珍稀濒危野生动植物天然集中分布区；重要水生生物的自然产卵场及索饵场、越冬场和洄游通道；世界文化和自然遗产地；红树林、珊瑚礁等滨海湿地生态系统；珍稀、</w:t>
            </w:r>
            <w:r>
              <w:rPr>
                <w:rFonts w:hint="eastAsia" w:cs="Times New Roman"/>
                <w:color w:val="auto"/>
                <w:sz w:val="21"/>
                <w:szCs w:val="21"/>
                <w:lang w:eastAsia="zh-CN"/>
              </w:rPr>
              <w:t>濒</w:t>
            </w:r>
            <w:r>
              <w:rPr>
                <w:rFonts w:hint="default" w:ascii="Times New Roman" w:hAnsi="Times New Roman" w:eastAsia="宋体" w:cs="Times New Roman"/>
                <w:color w:val="auto"/>
                <w:sz w:val="21"/>
                <w:szCs w:val="21"/>
              </w:rPr>
              <w:t>危海洋生物的天然集中分布区；海洋特别保护区；海上自然保护区；盐场保护区；海水浴场</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海洋自然历史遗迹；风景名胜区</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其他特殊重要保护区域</w:t>
            </w:r>
          </w:p>
        </w:tc>
      </w:tr>
      <w:tr w14:paraId="19166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7" w:type="dxa"/>
            <w:noWrap w:val="0"/>
            <w:vAlign w:val="center"/>
          </w:tcPr>
          <w:p w14:paraId="087A543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S2</w:t>
            </w:r>
          </w:p>
        </w:tc>
        <w:tc>
          <w:tcPr>
            <w:tcW w:w="7620" w:type="dxa"/>
            <w:noWrap w:val="0"/>
            <w:vAlign w:val="center"/>
          </w:tcPr>
          <w:p w14:paraId="3C7B2118">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发生事故时，危险物质泄漏到内陆水体的排放点下游</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顺水流向</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10km 范围内、近岸海域一个潮周期水质点可能达到的最大水平距离的两倍范围内，有如下一类或多类环境风险受体的：水产养殖区；天然渔场；森林公园；地质公园；海滨风景游览区；具有重要经济价值的海洋生物生存</w:t>
            </w:r>
            <w:r>
              <w:rPr>
                <w:rFonts w:hint="default" w:ascii="Times New Roman" w:hAnsi="Times New Roman" w:eastAsia="宋体" w:cs="Times New Roman"/>
                <w:color w:val="auto"/>
                <w:sz w:val="21"/>
                <w:szCs w:val="21"/>
                <w:highlight w:val="none"/>
                <w:lang w:val="en-US" w:eastAsia="zh-CN"/>
              </w:rPr>
              <w:t>区域</w:t>
            </w:r>
          </w:p>
        </w:tc>
      </w:tr>
      <w:tr w14:paraId="47601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7" w:type="dxa"/>
            <w:noWrap w:val="0"/>
            <w:vAlign w:val="center"/>
          </w:tcPr>
          <w:p w14:paraId="5C4C9CE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S3</w:t>
            </w:r>
          </w:p>
        </w:tc>
        <w:tc>
          <w:tcPr>
            <w:tcW w:w="7620" w:type="dxa"/>
            <w:noWrap w:val="0"/>
            <w:vAlign w:val="center"/>
          </w:tcPr>
          <w:p w14:paraId="2E56BBE8">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排放点下游</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顺水流向</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10km范围、近岸海域一个潮周期水质点可能达到的最大水平距离的两倍范围内无上述类型1和类型2包括的敏感保护目标</w:t>
            </w:r>
          </w:p>
        </w:tc>
      </w:tr>
    </w:tbl>
    <w:p w14:paraId="4DC7D950">
      <w:pPr>
        <w:pStyle w:val="4"/>
        <w:numPr>
          <w:ilvl w:val="3"/>
          <w:numId w:val="10"/>
        </w:numPr>
        <w:tabs>
          <w:tab w:val="left" w:pos="1358"/>
          <w:tab w:val="left" w:pos="2153"/>
          <w:tab w:val="left" w:pos="2183"/>
        </w:tabs>
        <w:spacing w:before="13"/>
        <w:ind w:left="1358"/>
        <w:rPr>
          <w:rFonts w:hint="default" w:ascii="Times New Roman" w:hAnsi="Times New Roman" w:eastAsia="宋体" w:cs="Times New Roman"/>
          <w:color w:val="auto"/>
        </w:rPr>
      </w:pPr>
      <w:bookmarkStart w:id="53" w:name="_Toc25411"/>
      <w:r>
        <w:rPr>
          <w:rFonts w:hint="default" w:ascii="Times New Roman" w:hAnsi="Times New Roman" w:eastAsia="宋体" w:cs="Times New Roman"/>
          <w:color w:val="auto"/>
        </w:rPr>
        <w:t>地表水环境敏感程度分级</w:t>
      </w:r>
      <w:bookmarkEnd w:id="53"/>
    </w:p>
    <w:tbl>
      <w:tblPr>
        <w:tblStyle w:val="1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6"/>
        <w:gridCol w:w="2197"/>
        <w:gridCol w:w="2197"/>
        <w:gridCol w:w="2197"/>
      </w:tblGrid>
      <w:tr w14:paraId="6FD0B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96" w:type="dxa"/>
            <w:vMerge w:val="restart"/>
            <w:noWrap w:val="0"/>
            <w:vAlign w:val="center"/>
          </w:tcPr>
          <w:p w14:paraId="1ACBAF2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环境敏感目标</w:t>
            </w:r>
          </w:p>
        </w:tc>
        <w:tc>
          <w:tcPr>
            <w:tcW w:w="6591" w:type="dxa"/>
            <w:gridSpan w:val="3"/>
            <w:noWrap w:val="0"/>
            <w:vAlign w:val="center"/>
          </w:tcPr>
          <w:p w14:paraId="062753A7">
            <w:pPr>
              <w:adjustRightInd w:val="0"/>
              <w:snapToGrid w:val="0"/>
              <w:spacing w:line="349" w:lineRule="exact"/>
              <w:ind w:right="229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地表水功能敏感性</w:t>
            </w:r>
          </w:p>
        </w:tc>
      </w:tr>
      <w:tr w14:paraId="25FA6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96" w:type="dxa"/>
            <w:vMerge w:val="continue"/>
            <w:tcBorders>
              <w:top w:val="nil"/>
            </w:tcBorders>
            <w:noWrap w:val="0"/>
            <w:vAlign w:val="center"/>
          </w:tcPr>
          <w:p w14:paraId="2D6E63EC">
            <w:pPr>
              <w:adjustRightInd w:val="0"/>
              <w:snapToGrid w:val="0"/>
              <w:jc w:val="center"/>
              <w:rPr>
                <w:rFonts w:hint="default" w:ascii="Times New Roman" w:hAnsi="Times New Roman" w:eastAsia="宋体" w:cs="Times New Roman"/>
                <w:color w:val="auto"/>
                <w:sz w:val="21"/>
                <w:szCs w:val="21"/>
              </w:rPr>
            </w:pPr>
          </w:p>
        </w:tc>
        <w:tc>
          <w:tcPr>
            <w:tcW w:w="2197" w:type="dxa"/>
            <w:noWrap w:val="0"/>
            <w:vAlign w:val="center"/>
          </w:tcPr>
          <w:p w14:paraId="044EFB3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F1</w:t>
            </w:r>
          </w:p>
        </w:tc>
        <w:tc>
          <w:tcPr>
            <w:tcW w:w="2197" w:type="dxa"/>
            <w:noWrap w:val="0"/>
            <w:vAlign w:val="center"/>
          </w:tcPr>
          <w:p w14:paraId="553EA67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F2</w:t>
            </w:r>
          </w:p>
        </w:tc>
        <w:tc>
          <w:tcPr>
            <w:tcW w:w="2197" w:type="dxa"/>
            <w:noWrap w:val="0"/>
            <w:vAlign w:val="center"/>
          </w:tcPr>
          <w:p w14:paraId="5B11F3A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F3</w:t>
            </w:r>
          </w:p>
        </w:tc>
      </w:tr>
      <w:tr w14:paraId="20345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96" w:type="dxa"/>
            <w:noWrap w:val="0"/>
            <w:vAlign w:val="center"/>
          </w:tcPr>
          <w:p w14:paraId="31EC950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S1</w:t>
            </w:r>
          </w:p>
        </w:tc>
        <w:tc>
          <w:tcPr>
            <w:tcW w:w="2197" w:type="dxa"/>
            <w:noWrap w:val="0"/>
            <w:vAlign w:val="center"/>
          </w:tcPr>
          <w:p w14:paraId="6D7D559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197" w:type="dxa"/>
            <w:noWrap w:val="0"/>
            <w:vAlign w:val="center"/>
          </w:tcPr>
          <w:p w14:paraId="5F4ADB9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197" w:type="dxa"/>
            <w:noWrap w:val="0"/>
            <w:vAlign w:val="center"/>
          </w:tcPr>
          <w:p w14:paraId="1B09EE4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r>
      <w:tr w14:paraId="4DD13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96" w:type="dxa"/>
            <w:noWrap w:val="0"/>
            <w:vAlign w:val="center"/>
          </w:tcPr>
          <w:p w14:paraId="2E9595A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S2</w:t>
            </w:r>
          </w:p>
        </w:tc>
        <w:tc>
          <w:tcPr>
            <w:tcW w:w="2197" w:type="dxa"/>
            <w:noWrap w:val="0"/>
            <w:vAlign w:val="center"/>
          </w:tcPr>
          <w:p w14:paraId="04120C2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197" w:type="dxa"/>
            <w:noWrap w:val="0"/>
            <w:vAlign w:val="center"/>
          </w:tcPr>
          <w:p w14:paraId="1F8933F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c>
          <w:tcPr>
            <w:tcW w:w="2197" w:type="dxa"/>
            <w:noWrap w:val="0"/>
            <w:vAlign w:val="center"/>
          </w:tcPr>
          <w:p w14:paraId="23C3500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r>
      <w:tr w14:paraId="7043E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96" w:type="dxa"/>
            <w:noWrap w:val="0"/>
            <w:vAlign w:val="center"/>
          </w:tcPr>
          <w:p w14:paraId="4BF941D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S3</w:t>
            </w:r>
          </w:p>
        </w:tc>
        <w:tc>
          <w:tcPr>
            <w:tcW w:w="2197" w:type="dxa"/>
            <w:noWrap w:val="0"/>
            <w:vAlign w:val="center"/>
          </w:tcPr>
          <w:p w14:paraId="770F7CD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197" w:type="dxa"/>
            <w:noWrap w:val="0"/>
            <w:vAlign w:val="center"/>
          </w:tcPr>
          <w:p w14:paraId="3A90D19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c>
          <w:tcPr>
            <w:tcW w:w="2197" w:type="dxa"/>
            <w:noWrap w:val="0"/>
            <w:vAlign w:val="center"/>
          </w:tcPr>
          <w:p w14:paraId="1B82E08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r>
    </w:tbl>
    <w:p w14:paraId="5381C20E">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3、地下水环境</w:t>
      </w:r>
    </w:p>
    <w:p w14:paraId="7BC2B46B">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依据地下水功能敏感性与包气带防污性能，共分为三种类型，E1为环境高度敏感区，E2为环境中度敏感区，E3为环境低度敏感区。其中地下水功能敏感性分区和包气带防污性能分级分别见下表。当同一建设项目涉及两个G分区或D分级及以上时，取相对高值。</w:t>
      </w:r>
    </w:p>
    <w:p w14:paraId="31C65B0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p>
    <w:p w14:paraId="74D89ED4">
      <w:pPr>
        <w:pStyle w:val="4"/>
        <w:numPr>
          <w:ilvl w:val="3"/>
          <w:numId w:val="10"/>
        </w:numPr>
        <w:tabs>
          <w:tab w:val="left" w:pos="1358"/>
          <w:tab w:val="left" w:pos="2153"/>
          <w:tab w:val="left" w:pos="2183"/>
        </w:tabs>
        <w:spacing w:before="13"/>
        <w:ind w:left="1358"/>
        <w:rPr>
          <w:rFonts w:hint="default" w:ascii="Times New Roman" w:hAnsi="Times New Roman" w:eastAsia="宋体" w:cs="Times New Roman"/>
          <w:color w:val="auto"/>
        </w:rPr>
      </w:pPr>
      <w:bookmarkStart w:id="54" w:name="_Toc15168"/>
      <w:r>
        <w:rPr>
          <w:rFonts w:hint="default" w:ascii="Times New Roman" w:hAnsi="Times New Roman" w:eastAsia="宋体" w:cs="Times New Roman"/>
          <w:color w:val="auto"/>
        </w:rPr>
        <w:t>地下水环境敏感程度分级</w:t>
      </w:r>
      <w:bookmarkEnd w:id="54"/>
    </w:p>
    <w:tbl>
      <w:tblPr>
        <w:tblStyle w:val="1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6"/>
        <w:gridCol w:w="2197"/>
        <w:gridCol w:w="2197"/>
        <w:gridCol w:w="2197"/>
      </w:tblGrid>
      <w:tr w14:paraId="1EB9D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96" w:type="dxa"/>
            <w:vMerge w:val="restart"/>
            <w:tcBorders>
              <w:bottom w:val="single" w:color="000000" w:sz="4" w:space="0"/>
            </w:tcBorders>
            <w:noWrap w:val="0"/>
            <w:vAlign w:val="center"/>
          </w:tcPr>
          <w:p w14:paraId="002DC8A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环境敏感目标</w:t>
            </w:r>
          </w:p>
        </w:tc>
        <w:tc>
          <w:tcPr>
            <w:tcW w:w="6591" w:type="dxa"/>
            <w:gridSpan w:val="3"/>
            <w:tcBorders>
              <w:bottom w:val="single" w:color="000000" w:sz="4" w:space="0"/>
            </w:tcBorders>
            <w:noWrap w:val="0"/>
            <w:vAlign w:val="center"/>
          </w:tcPr>
          <w:p w14:paraId="25D8DB54">
            <w:pPr>
              <w:adjustRightInd w:val="0"/>
              <w:snapToGrid w:val="0"/>
              <w:spacing w:line="349" w:lineRule="exact"/>
              <w:ind w:right="204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地下水功能敏感性</w:t>
            </w:r>
          </w:p>
        </w:tc>
      </w:tr>
      <w:tr w14:paraId="709FF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96" w:type="dxa"/>
            <w:vMerge w:val="continue"/>
            <w:tcBorders>
              <w:top w:val="single" w:color="000000" w:sz="4" w:space="0"/>
              <w:bottom w:val="single" w:color="000000" w:sz="4" w:space="0"/>
            </w:tcBorders>
            <w:noWrap w:val="0"/>
            <w:vAlign w:val="center"/>
          </w:tcPr>
          <w:p w14:paraId="6BF8D0D5">
            <w:pPr>
              <w:adjustRightInd w:val="0"/>
              <w:snapToGrid w:val="0"/>
              <w:jc w:val="center"/>
              <w:rPr>
                <w:rFonts w:hint="default" w:ascii="Times New Roman" w:hAnsi="Times New Roman" w:eastAsia="宋体" w:cs="Times New Roman"/>
                <w:color w:val="auto"/>
                <w:sz w:val="21"/>
                <w:szCs w:val="21"/>
              </w:rPr>
            </w:pPr>
          </w:p>
        </w:tc>
        <w:tc>
          <w:tcPr>
            <w:tcW w:w="2197" w:type="dxa"/>
            <w:tcBorders>
              <w:top w:val="single" w:color="000000" w:sz="4" w:space="0"/>
              <w:bottom w:val="single" w:color="000000" w:sz="4" w:space="0"/>
            </w:tcBorders>
            <w:noWrap w:val="0"/>
            <w:vAlign w:val="center"/>
          </w:tcPr>
          <w:p w14:paraId="43DF6FA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w:t>
            </w:r>
          </w:p>
        </w:tc>
        <w:tc>
          <w:tcPr>
            <w:tcW w:w="2197" w:type="dxa"/>
            <w:tcBorders>
              <w:top w:val="single" w:color="000000" w:sz="4" w:space="0"/>
              <w:bottom w:val="single" w:color="000000" w:sz="4" w:space="0"/>
            </w:tcBorders>
            <w:noWrap w:val="0"/>
            <w:vAlign w:val="center"/>
          </w:tcPr>
          <w:p w14:paraId="7E115F5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G2</w:t>
            </w:r>
          </w:p>
        </w:tc>
        <w:tc>
          <w:tcPr>
            <w:tcW w:w="2197" w:type="dxa"/>
            <w:tcBorders>
              <w:top w:val="single" w:color="000000" w:sz="4" w:space="0"/>
              <w:bottom w:val="single" w:color="000000" w:sz="4" w:space="0"/>
            </w:tcBorders>
            <w:noWrap w:val="0"/>
            <w:vAlign w:val="center"/>
          </w:tcPr>
          <w:p w14:paraId="7A6926F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G3</w:t>
            </w:r>
          </w:p>
        </w:tc>
      </w:tr>
      <w:tr w14:paraId="2BDE8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96" w:type="dxa"/>
            <w:tcBorders>
              <w:top w:val="single" w:color="000000" w:sz="4" w:space="0"/>
              <w:bottom w:val="single" w:color="000000" w:sz="4" w:space="0"/>
            </w:tcBorders>
            <w:noWrap w:val="0"/>
            <w:vAlign w:val="center"/>
          </w:tcPr>
          <w:p w14:paraId="60B5681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D1</w:t>
            </w:r>
          </w:p>
        </w:tc>
        <w:tc>
          <w:tcPr>
            <w:tcW w:w="2197" w:type="dxa"/>
            <w:tcBorders>
              <w:top w:val="single" w:color="000000" w:sz="4" w:space="0"/>
              <w:bottom w:val="single" w:color="000000" w:sz="4" w:space="0"/>
            </w:tcBorders>
            <w:noWrap w:val="0"/>
            <w:vAlign w:val="center"/>
          </w:tcPr>
          <w:p w14:paraId="536E8EE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197" w:type="dxa"/>
            <w:tcBorders>
              <w:top w:val="single" w:color="000000" w:sz="4" w:space="0"/>
              <w:bottom w:val="single" w:color="000000" w:sz="4" w:space="0"/>
            </w:tcBorders>
            <w:noWrap w:val="0"/>
            <w:vAlign w:val="center"/>
          </w:tcPr>
          <w:p w14:paraId="1761EC4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197" w:type="dxa"/>
            <w:tcBorders>
              <w:top w:val="single" w:color="000000" w:sz="4" w:space="0"/>
              <w:bottom w:val="single" w:color="000000" w:sz="4" w:space="0"/>
            </w:tcBorders>
            <w:noWrap w:val="0"/>
            <w:vAlign w:val="center"/>
          </w:tcPr>
          <w:p w14:paraId="7434E00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r>
      <w:tr w14:paraId="6FD06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96" w:type="dxa"/>
            <w:tcBorders>
              <w:top w:val="single" w:color="000000" w:sz="4" w:space="0"/>
              <w:bottom w:val="single" w:color="000000" w:sz="4" w:space="0"/>
            </w:tcBorders>
            <w:noWrap w:val="0"/>
            <w:vAlign w:val="center"/>
          </w:tcPr>
          <w:p w14:paraId="6C610E2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D2</w:t>
            </w:r>
          </w:p>
        </w:tc>
        <w:tc>
          <w:tcPr>
            <w:tcW w:w="2197" w:type="dxa"/>
            <w:tcBorders>
              <w:top w:val="single" w:color="000000" w:sz="4" w:space="0"/>
              <w:bottom w:val="single" w:color="000000" w:sz="4" w:space="0"/>
            </w:tcBorders>
            <w:noWrap w:val="0"/>
            <w:vAlign w:val="center"/>
          </w:tcPr>
          <w:p w14:paraId="0053F03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2197" w:type="dxa"/>
            <w:tcBorders>
              <w:top w:val="single" w:color="000000" w:sz="4" w:space="0"/>
              <w:bottom w:val="single" w:color="000000" w:sz="4" w:space="0"/>
            </w:tcBorders>
            <w:noWrap w:val="0"/>
            <w:vAlign w:val="center"/>
          </w:tcPr>
          <w:p w14:paraId="5507D36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c>
          <w:tcPr>
            <w:tcW w:w="2197" w:type="dxa"/>
            <w:tcBorders>
              <w:top w:val="single" w:color="000000" w:sz="4" w:space="0"/>
              <w:bottom w:val="single" w:color="000000" w:sz="4" w:space="0"/>
            </w:tcBorders>
            <w:noWrap w:val="0"/>
            <w:vAlign w:val="center"/>
          </w:tcPr>
          <w:p w14:paraId="1B03FE2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r>
      <w:tr w14:paraId="6FFC8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96" w:type="dxa"/>
            <w:tcBorders>
              <w:top w:val="single" w:color="000000" w:sz="4" w:space="0"/>
            </w:tcBorders>
            <w:noWrap w:val="0"/>
            <w:vAlign w:val="center"/>
          </w:tcPr>
          <w:p w14:paraId="7EC8F3A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D3</w:t>
            </w:r>
          </w:p>
        </w:tc>
        <w:tc>
          <w:tcPr>
            <w:tcW w:w="2197" w:type="dxa"/>
            <w:tcBorders>
              <w:top w:val="single" w:color="000000" w:sz="4" w:space="0"/>
            </w:tcBorders>
            <w:noWrap w:val="0"/>
            <w:vAlign w:val="center"/>
          </w:tcPr>
          <w:p w14:paraId="54ECB30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c>
          <w:tcPr>
            <w:tcW w:w="2197" w:type="dxa"/>
            <w:tcBorders>
              <w:top w:val="single" w:color="000000" w:sz="4" w:space="0"/>
            </w:tcBorders>
            <w:noWrap w:val="0"/>
            <w:vAlign w:val="center"/>
          </w:tcPr>
          <w:p w14:paraId="7F7E7A1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c>
          <w:tcPr>
            <w:tcW w:w="2197" w:type="dxa"/>
            <w:tcBorders>
              <w:top w:val="single" w:color="000000" w:sz="4" w:space="0"/>
            </w:tcBorders>
            <w:noWrap w:val="0"/>
            <w:vAlign w:val="center"/>
          </w:tcPr>
          <w:p w14:paraId="7233C26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r>
    </w:tbl>
    <w:p w14:paraId="758C162F">
      <w:pPr>
        <w:pStyle w:val="4"/>
        <w:numPr>
          <w:ilvl w:val="3"/>
          <w:numId w:val="10"/>
        </w:numPr>
        <w:tabs>
          <w:tab w:val="left" w:pos="1358"/>
          <w:tab w:val="left" w:pos="2153"/>
          <w:tab w:val="left" w:pos="2183"/>
        </w:tabs>
        <w:spacing w:before="13"/>
        <w:ind w:left="1358"/>
        <w:rPr>
          <w:rFonts w:hint="default" w:ascii="Times New Roman" w:hAnsi="Times New Roman" w:eastAsia="宋体" w:cs="Times New Roman"/>
          <w:color w:val="auto"/>
        </w:rPr>
      </w:pPr>
      <w:bookmarkStart w:id="55" w:name="_Toc3322"/>
      <w:r>
        <w:rPr>
          <w:rFonts w:hint="default" w:ascii="Times New Roman" w:hAnsi="Times New Roman" w:eastAsia="宋体" w:cs="Times New Roman"/>
          <w:color w:val="auto"/>
        </w:rPr>
        <w:t>地下水功能敏感性分区</w:t>
      </w:r>
      <w:bookmarkEnd w:id="55"/>
    </w:p>
    <w:tbl>
      <w:tblPr>
        <w:tblStyle w:val="1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7"/>
        <w:gridCol w:w="7070"/>
      </w:tblGrid>
      <w:tr w14:paraId="18D9A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17" w:type="dxa"/>
            <w:noWrap w:val="0"/>
            <w:vAlign w:val="center"/>
          </w:tcPr>
          <w:p w14:paraId="0C24D79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敏感性</w:t>
            </w:r>
          </w:p>
        </w:tc>
        <w:tc>
          <w:tcPr>
            <w:tcW w:w="7070" w:type="dxa"/>
            <w:noWrap w:val="0"/>
            <w:vAlign w:val="center"/>
          </w:tcPr>
          <w:p w14:paraId="51CEF14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地下水环境敏感特征</w:t>
            </w:r>
          </w:p>
        </w:tc>
      </w:tr>
      <w:tr w14:paraId="1B5AD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17" w:type="dxa"/>
            <w:noWrap w:val="0"/>
            <w:vAlign w:val="center"/>
          </w:tcPr>
          <w:p w14:paraId="37D1BDE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敏感G1</w:t>
            </w:r>
          </w:p>
        </w:tc>
        <w:tc>
          <w:tcPr>
            <w:tcW w:w="7070" w:type="dxa"/>
            <w:noWrap w:val="0"/>
            <w:vAlign w:val="center"/>
          </w:tcPr>
          <w:p w14:paraId="22B45A47">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集中式饮用水水源（包括已建成的在用、备用、应急水源，在建和规划的饮用 水水源）准保护区；除集中式饮用水水源以外的国家或地方政府设定的与地 下水环境相关的其他保护区，如热水、矿泉水、温泉等特殊地下水资源保护区</w:t>
            </w:r>
          </w:p>
        </w:tc>
      </w:tr>
      <w:tr w14:paraId="53E3E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717" w:type="dxa"/>
            <w:noWrap w:val="0"/>
            <w:vAlign w:val="center"/>
          </w:tcPr>
          <w:p w14:paraId="76FA894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 G2</w:t>
            </w:r>
          </w:p>
        </w:tc>
        <w:tc>
          <w:tcPr>
            <w:tcW w:w="7070" w:type="dxa"/>
            <w:noWrap w:val="0"/>
            <w:vAlign w:val="center"/>
          </w:tcPr>
          <w:p w14:paraId="26AC0E81">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集中式饮用水水源（包括已建成的在用、备用、应急水源，在建和规划的饮用水水源）准保护区以外的补给径流区；未划定准保护区的集中式饮用水水源 ，其保护区以外的补给径流区；分散式饮用水水源地；特殊地下水资源（如热水、矿泉水、温泉等）保护区以外的分布区等其他未列入上述敏感分级的环境敏感区a</w:t>
            </w:r>
          </w:p>
        </w:tc>
      </w:tr>
      <w:tr w14:paraId="5655A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17" w:type="dxa"/>
            <w:noWrap w:val="0"/>
            <w:vAlign w:val="center"/>
          </w:tcPr>
          <w:p w14:paraId="13C60C2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不敏感G3</w:t>
            </w:r>
          </w:p>
        </w:tc>
        <w:tc>
          <w:tcPr>
            <w:tcW w:w="7070" w:type="dxa"/>
            <w:noWrap w:val="0"/>
            <w:vAlign w:val="center"/>
          </w:tcPr>
          <w:p w14:paraId="07350DFD">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上述地区之外的其他地区。</w:t>
            </w:r>
          </w:p>
        </w:tc>
      </w:tr>
      <w:tr w14:paraId="56E30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787" w:type="dxa"/>
            <w:gridSpan w:val="2"/>
            <w:noWrap w:val="0"/>
            <w:vAlign w:val="center"/>
          </w:tcPr>
          <w:p w14:paraId="398A01F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a“环境敏感区”是指《建设项目环境影响评价分类管理名录》中所界定的涉及地下水的环境敏感区</w:t>
            </w:r>
          </w:p>
        </w:tc>
      </w:tr>
    </w:tbl>
    <w:p w14:paraId="717A5D32">
      <w:pPr>
        <w:pStyle w:val="4"/>
        <w:numPr>
          <w:ilvl w:val="3"/>
          <w:numId w:val="10"/>
        </w:numPr>
        <w:tabs>
          <w:tab w:val="left" w:pos="1358"/>
          <w:tab w:val="left" w:pos="2153"/>
          <w:tab w:val="left" w:pos="2183"/>
        </w:tabs>
        <w:spacing w:before="13"/>
        <w:ind w:left="1358"/>
        <w:rPr>
          <w:rFonts w:hint="default" w:ascii="Times New Roman" w:hAnsi="Times New Roman" w:eastAsia="宋体" w:cs="Times New Roman"/>
          <w:color w:val="auto"/>
        </w:rPr>
      </w:pPr>
      <w:bookmarkStart w:id="56" w:name="_Toc31150"/>
      <w:r>
        <w:rPr>
          <w:rFonts w:hint="default" w:ascii="Times New Roman" w:hAnsi="Times New Roman" w:eastAsia="宋体" w:cs="Times New Roman"/>
          <w:color w:val="auto"/>
        </w:rPr>
        <w:t>包气带防污性能分级</w:t>
      </w:r>
      <w:bookmarkEnd w:id="56"/>
    </w:p>
    <w:tbl>
      <w:tblPr>
        <w:tblStyle w:val="1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7"/>
        <w:gridCol w:w="7070"/>
      </w:tblGrid>
      <w:tr w14:paraId="6CE3D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17" w:type="dxa"/>
            <w:noWrap w:val="0"/>
            <w:vAlign w:val="center"/>
          </w:tcPr>
          <w:p w14:paraId="314F1EC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分级</w:t>
            </w:r>
          </w:p>
        </w:tc>
        <w:tc>
          <w:tcPr>
            <w:tcW w:w="7070" w:type="dxa"/>
            <w:noWrap w:val="0"/>
            <w:vAlign w:val="center"/>
          </w:tcPr>
          <w:p w14:paraId="06DA98C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包气带岩土的渗透性能</w:t>
            </w:r>
          </w:p>
        </w:tc>
      </w:tr>
      <w:tr w14:paraId="74C34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17" w:type="dxa"/>
            <w:noWrap w:val="0"/>
            <w:vAlign w:val="center"/>
          </w:tcPr>
          <w:p w14:paraId="36671EF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D3</w:t>
            </w:r>
          </w:p>
        </w:tc>
        <w:tc>
          <w:tcPr>
            <w:tcW w:w="7070" w:type="dxa"/>
            <w:noWrap w:val="0"/>
            <w:vAlign w:val="center"/>
          </w:tcPr>
          <w:p w14:paraId="1ABAB5E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Mb≥1.0m，K≤1.0×10</w:t>
            </w:r>
            <w:r>
              <w:rPr>
                <w:rFonts w:hint="eastAsia" w:cs="Times New Roman"/>
                <w:color w:val="auto"/>
                <w:sz w:val="21"/>
                <w:szCs w:val="21"/>
                <w:lang w:eastAsia="zh-CN"/>
              </w:rPr>
              <w:t>—</w:t>
            </w:r>
            <w:r>
              <w:rPr>
                <w:rFonts w:hint="default" w:ascii="Times New Roman" w:hAnsi="Times New Roman" w:eastAsia="宋体" w:cs="Times New Roman"/>
                <w:color w:val="auto"/>
                <w:sz w:val="21"/>
                <w:szCs w:val="21"/>
                <w:vertAlign w:val="superscript"/>
              </w:rPr>
              <w:t>6</w:t>
            </w:r>
            <w:r>
              <w:rPr>
                <w:rFonts w:hint="default" w:ascii="Times New Roman" w:hAnsi="Times New Roman" w:eastAsia="宋体" w:cs="Times New Roman"/>
                <w:color w:val="auto"/>
                <w:sz w:val="21"/>
                <w:szCs w:val="21"/>
              </w:rPr>
              <w:t>cm/s，且分布连续、稳定</w:t>
            </w:r>
          </w:p>
        </w:tc>
      </w:tr>
      <w:tr w14:paraId="40CA8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17" w:type="dxa"/>
            <w:noWrap w:val="0"/>
            <w:vAlign w:val="center"/>
          </w:tcPr>
          <w:p w14:paraId="107E124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D2</w:t>
            </w:r>
          </w:p>
        </w:tc>
        <w:tc>
          <w:tcPr>
            <w:tcW w:w="7070" w:type="dxa"/>
            <w:noWrap w:val="0"/>
            <w:vAlign w:val="center"/>
          </w:tcPr>
          <w:p w14:paraId="7307B13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0.5m≤Mb＜1.0m，K≤1.0×10</w:t>
            </w:r>
            <w:r>
              <w:rPr>
                <w:rFonts w:hint="eastAsia" w:cs="Times New Roman"/>
                <w:color w:val="auto"/>
                <w:sz w:val="21"/>
                <w:szCs w:val="21"/>
                <w:lang w:eastAsia="zh-CN"/>
              </w:rPr>
              <w:t>—</w:t>
            </w:r>
            <w:r>
              <w:rPr>
                <w:rFonts w:hint="default" w:ascii="Times New Roman" w:hAnsi="Times New Roman" w:eastAsia="宋体" w:cs="Times New Roman"/>
                <w:color w:val="auto"/>
                <w:sz w:val="21"/>
                <w:szCs w:val="21"/>
                <w:vertAlign w:val="superscript"/>
              </w:rPr>
              <w:t>6</w:t>
            </w:r>
            <w:r>
              <w:rPr>
                <w:rFonts w:hint="default" w:ascii="Times New Roman" w:hAnsi="Times New Roman" w:eastAsia="宋体" w:cs="Times New Roman"/>
                <w:color w:val="auto"/>
                <w:sz w:val="21"/>
                <w:szCs w:val="21"/>
              </w:rPr>
              <w:t>cm/s，且分布连续、稳定Mb≥1.0m，1.0×10</w:t>
            </w:r>
            <w:r>
              <w:rPr>
                <w:rFonts w:hint="eastAsia" w:cs="Times New Roman"/>
                <w:color w:val="auto"/>
                <w:sz w:val="21"/>
                <w:szCs w:val="21"/>
                <w:lang w:eastAsia="zh-CN"/>
              </w:rPr>
              <w:t>—</w:t>
            </w:r>
            <w:r>
              <w:rPr>
                <w:rFonts w:hint="default" w:ascii="Times New Roman" w:hAnsi="Times New Roman" w:eastAsia="宋体" w:cs="Times New Roman"/>
                <w:color w:val="auto"/>
                <w:sz w:val="21"/>
                <w:szCs w:val="21"/>
                <w:vertAlign w:val="superscript"/>
              </w:rPr>
              <w:t>6</w:t>
            </w:r>
            <w:r>
              <w:rPr>
                <w:rFonts w:hint="default" w:ascii="Times New Roman" w:hAnsi="Times New Roman" w:eastAsia="宋体" w:cs="Times New Roman"/>
                <w:color w:val="auto"/>
                <w:sz w:val="21"/>
                <w:szCs w:val="21"/>
              </w:rPr>
              <w:t>cm/s＜K≤1.0×10</w:t>
            </w:r>
            <w:r>
              <w:rPr>
                <w:rFonts w:hint="eastAsia" w:cs="Times New Roman"/>
                <w:color w:val="auto"/>
                <w:sz w:val="21"/>
                <w:szCs w:val="21"/>
                <w:lang w:eastAsia="zh-CN"/>
              </w:rPr>
              <w:t>—</w:t>
            </w:r>
            <w:r>
              <w:rPr>
                <w:rFonts w:hint="default" w:ascii="Times New Roman" w:hAnsi="Times New Roman" w:eastAsia="宋体" w:cs="Times New Roman"/>
                <w:color w:val="auto"/>
                <w:sz w:val="21"/>
                <w:szCs w:val="21"/>
                <w:vertAlign w:val="superscript"/>
              </w:rPr>
              <w:t>4</w:t>
            </w:r>
            <w:r>
              <w:rPr>
                <w:rFonts w:hint="default" w:ascii="Times New Roman" w:hAnsi="Times New Roman" w:eastAsia="宋体" w:cs="Times New Roman"/>
                <w:color w:val="auto"/>
                <w:sz w:val="21"/>
                <w:szCs w:val="21"/>
              </w:rPr>
              <w:t>cm/s，且分布连续、稳定</w:t>
            </w:r>
          </w:p>
        </w:tc>
      </w:tr>
      <w:tr w14:paraId="362F1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17" w:type="dxa"/>
            <w:noWrap w:val="0"/>
            <w:vAlign w:val="center"/>
          </w:tcPr>
          <w:p w14:paraId="38B45AA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D1</w:t>
            </w:r>
          </w:p>
        </w:tc>
        <w:tc>
          <w:tcPr>
            <w:tcW w:w="7070" w:type="dxa"/>
            <w:noWrap w:val="0"/>
            <w:vAlign w:val="center"/>
          </w:tcPr>
          <w:p w14:paraId="65CD136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岩（土）层不满足上述“D2”和“D3”条件</w:t>
            </w:r>
          </w:p>
        </w:tc>
      </w:tr>
      <w:tr w14:paraId="4F114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787" w:type="dxa"/>
            <w:gridSpan w:val="2"/>
            <w:noWrap w:val="0"/>
            <w:vAlign w:val="center"/>
          </w:tcPr>
          <w:p w14:paraId="40CF950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Mb：岩土层单层厚度。K：渗透系数。</w:t>
            </w:r>
          </w:p>
        </w:tc>
      </w:tr>
    </w:tbl>
    <w:p w14:paraId="55E2397B">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项目地下水敏感性属于G3，包气带防污性属D1，则地下水环境敏感程度为E2。</w:t>
      </w:r>
    </w:p>
    <w:p w14:paraId="7DDD9C4A">
      <w:pPr>
        <w:pStyle w:val="4"/>
        <w:numPr>
          <w:ilvl w:val="3"/>
          <w:numId w:val="10"/>
        </w:numPr>
        <w:tabs>
          <w:tab w:val="left" w:pos="1358"/>
          <w:tab w:val="left" w:pos="2153"/>
          <w:tab w:val="left" w:pos="2183"/>
        </w:tabs>
        <w:spacing w:before="13"/>
        <w:ind w:left="1358"/>
        <w:rPr>
          <w:rFonts w:hint="default" w:ascii="Times New Roman" w:hAnsi="Times New Roman" w:eastAsia="宋体" w:cs="Times New Roman"/>
          <w:color w:val="auto"/>
        </w:rPr>
      </w:pPr>
      <w:bookmarkStart w:id="57" w:name="_Toc280"/>
      <w:r>
        <w:rPr>
          <w:rFonts w:hint="default" w:ascii="Times New Roman" w:hAnsi="Times New Roman" w:eastAsia="宋体" w:cs="Times New Roman"/>
          <w:color w:val="auto"/>
        </w:rPr>
        <w:t>各环境要素敏感程度E分级表</w:t>
      </w:r>
      <w:bookmarkEnd w:id="57"/>
    </w:p>
    <w:tbl>
      <w:tblPr>
        <w:tblStyle w:val="1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3"/>
        <w:gridCol w:w="2504"/>
        <w:gridCol w:w="3172"/>
        <w:gridCol w:w="1667"/>
      </w:tblGrid>
      <w:tr w14:paraId="2060F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53" w:type="dxa"/>
            <w:noWrap w:val="0"/>
            <w:vAlign w:val="center"/>
          </w:tcPr>
          <w:p w14:paraId="1A4179A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2504" w:type="dxa"/>
            <w:noWrap w:val="0"/>
            <w:vAlign w:val="center"/>
          </w:tcPr>
          <w:p w14:paraId="03024EB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分级依据</w:t>
            </w:r>
          </w:p>
        </w:tc>
        <w:tc>
          <w:tcPr>
            <w:tcW w:w="3172" w:type="dxa"/>
            <w:noWrap w:val="0"/>
            <w:vAlign w:val="center"/>
          </w:tcPr>
          <w:p w14:paraId="1E39E15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项目情况</w:t>
            </w:r>
          </w:p>
        </w:tc>
        <w:tc>
          <w:tcPr>
            <w:tcW w:w="1667" w:type="dxa"/>
            <w:noWrap w:val="0"/>
            <w:vAlign w:val="center"/>
          </w:tcPr>
          <w:p w14:paraId="14EB1C8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敏感程度E分级</w:t>
            </w:r>
          </w:p>
        </w:tc>
      </w:tr>
      <w:tr w14:paraId="138E1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53" w:type="dxa"/>
            <w:noWrap w:val="0"/>
            <w:vAlign w:val="center"/>
          </w:tcPr>
          <w:p w14:paraId="632299A9">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大气环境</w:t>
            </w:r>
          </w:p>
        </w:tc>
        <w:tc>
          <w:tcPr>
            <w:tcW w:w="2504" w:type="dxa"/>
            <w:noWrap w:val="0"/>
            <w:vAlign w:val="center"/>
          </w:tcPr>
          <w:p w14:paraId="7ED6DEE7">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周边5km范围内居住区、医疗卫生、文化教育、科研、行政办公等机构人口总数大于1万人，小于5万人；</w:t>
            </w:r>
          </w:p>
        </w:tc>
        <w:tc>
          <w:tcPr>
            <w:tcW w:w="3172" w:type="dxa"/>
            <w:noWrap w:val="0"/>
            <w:vAlign w:val="center"/>
          </w:tcPr>
          <w:p w14:paraId="5E3E9A00">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风险评价范围内</w:t>
            </w:r>
            <w:r>
              <w:rPr>
                <w:rFonts w:hint="default" w:ascii="Times New Roman" w:hAnsi="Times New Roman" w:eastAsia="宋体" w:cs="Times New Roman"/>
                <w:color w:val="auto"/>
                <w:sz w:val="21"/>
                <w:szCs w:val="21"/>
                <w:u w:val="none"/>
                <w:lang w:val="en-US" w:eastAsia="zh-CN"/>
              </w:rPr>
              <w:t>无</w:t>
            </w:r>
            <w:r>
              <w:rPr>
                <w:rFonts w:hint="default" w:ascii="Times New Roman" w:hAnsi="Times New Roman" w:eastAsia="宋体" w:cs="Times New Roman"/>
                <w:color w:val="auto"/>
                <w:sz w:val="21"/>
                <w:szCs w:val="21"/>
                <w:u w:val="none"/>
              </w:rPr>
              <w:t>以人为主的特殊保护区域；项目周边5km范围内总人口数为</w:t>
            </w:r>
            <w:r>
              <w:rPr>
                <w:rFonts w:hint="eastAsia" w:cs="Times New Roman"/>
                <w:color w:val="auto"/>
                <w:sz w:val="21"/>
                <w:szCs w:val="21"/>
                <w:u w:val="none"/>
                <w:lang w:val="en-US" w:eastAsia="zh-CN"/>
              </w:rPr>
              <w:t>48246</w:t>
            </w:r>
            <w:r>
              <w:rPr>
                <w:rFonts w:hint="default" w:ascii="Times New Roman" w:hAnsi="Times New Roman" w:eastAsia="宋体" w:cs="Times New Roman"/>
                <w:color w:val="auto"/>
                <w:sz w:val="21"/>
                <w:szCs w:val="21"/>
                <w:u w:val="none"/>
              </w:rPr>
              <w:t>人，周边500m范围内总人口数为</w:t>
            </w:r>
            <w:r>
              <w:rPr>
                <w:rFonts w:hint="eastAsia" w:ascii="Times New Roman" w:hAnsi="Times New Roman" w:eastAsia="宋体" w:cs="Times New Roman"/>
                <w:color w:val="auto"/>
                <w:sz w:val="21"/>
                <w:szCs w:val="21"/>
                <w:u w:val="none"/>
                <w:lang w:val="en-US" w:eastAsia="zh-CN"/>
              </w:rPr>
              <w:t>550</w:t>
            </w:r>
            <w:r>
              <w:rPr>
                <w:rFonts w:hint="default" w:ascii="Times New Roman" w:hAnsi="Times New Roman" w:eastAsia="宋体" w:cs="Times New Roman"/>
                <w:color w:val="auto"/>
                <w:sz w:val="21"/>
                <w:szCs w:val="21"/>
                <w:u w:val="none"/>
              </w:rPr>
              <w:t>人。</w:t>
            </w:r>
          </w:p>
        </w:tc>
        <w:tc>
          <w:tcPr>
            <w:tcW w:w="1667" w:type="dxa"/>
            <w:noWrap w:val="0"/>
            <w:vAlign w:val="center"/>
          </w:tcPr>
          <w:p w14:paraId="6932E1E4">
            <w:pPr>
              <w:adjustRightInd w:val="0"/>
              <w:snapToGrid w:val="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E</w:t>
            </w:r>
            <w:r>
              <w:rPr>
                <w:rFonts w:hint="eastAsia" w:ascii="Times New Roman" w:hAnsi="Times New Roman" w:eastAsia="宋体" w:cs="Times New Roman"/>
                <w:color w:val="auto"/>
                <w:sz w:val="21"/>
                <w:szCs w:val="21"/>
                <w:u w:val="none"/>
                <w:lang w:val="en-US" w:eastAsia="zh-CN"/>
              </w:rPr>
              <w:t>2</w:t>
            </w:r>
          </w:p>
        </w:tc>
      </w:tr>
      <w:tr w14:paraId="5E627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53" w:type="dxa"/>
            <w:noWrap w:val="0"/>
            <w:vAlign w:val="center"/>
          </w:tcPr>
          <w:p w14:paraId="6586D5DA">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地表水环境</w:t>
            </w:r>
          </w:p>
        </w:tc>
        <w:tc>
          <w:tcPr>
            <w:tcW w:w="2504" w:type="dxa"/>
            <w:noWrap w:val="0"/>
            <w:vAlign w:val="center"/>
          </w:tcPr>
          <w:p w14:paraId="16BC274B">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发生事故时，危险物质泄漏到内陆水体排放点下游（顺水流向）10km范围内无敏感保护目标</w:t>
            </w:r>
          </w:p>
        </w:tc>
        <w:tc>
          <w:tcPr>
            <w:tcW w:w="3172" w:type="dxa"/>
            <w:noWrap w:val="0"/>
            <w:vAlign w:val="center"/>
          </w:tcPr>
          <w:p w14:paraId="008A0D9D">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事故废水设置</w:t>
            </w:r>
            <w:r>
              <w:rPr>
                <w:rFonts w:hint="eastAsia" w:ascii="Times New Roman" w:hAnsi="Times New Roman" w:eastAsia="宋体" w:cs="Times New Roman"/>
                <w:color w:val="auto"/>
                <w:sz w:val="21"/>
                <w:szCs w:val="21"/>
                <w:u w:val="none"/>
                <w:lang w:val="en-US" w:eastAsia="zh-CN"/>
              </w:rPr>
              <w:t>二</w:t>
            </w:r>
            <w:r>
              <w:rPr>
                <w:rFonts w:hint="default" w:ascii="Times New Roman" w:hAnsi="Times New Roman" w:eastAsia="宋体" w:cs="Times New Roman"/>
                <w:color w:val="auto"/>
                <w:sz w:val="21"/>
                <w:szCs w:val="21"/>
                <w:u w:val="none"/>
              </w:rPr>
              <w:t>级防控体系；事故雨水排放口下游10km内有七十二泾片红树林保护区、三娘湾风景旅游区及部分零散水产养殖点等</w:t>
            </w:r>
          </w:p>
        </w:tc>
        <w:tc>
          <w:tcPr>
            <w:tcW w:w="1667" w:type="dxa"/>
            <w:noWrap w:val="0"/>
            <w:vAlign w:val="center"/>
          </w:tcPr>
          <w:p w14:paraId="0FD269A5">
            <w:pPr>
              <w:adjustRightInd w:val="0"/>
              <w:snapToGrid w:val="0"/>
              <w:jc w:val="center"/>
              <w:rPr>
                <w:rFonts w:hint="eastAsia"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E</w:t>
            </w:r>
            <w:r>
              <w:rPr>
                <w:rFonts w:hint="eastAsia" w:ascii="Times New Roman" w:hAnsi="Times New Roman" w:eastAsia="宋体" w:cs="Times New Roman"/>
                <w:color w:val="auto"/>
                <w:sz w:val="21"/>
                <w:szCs w:val="21"/>
                <w:u w:val="none"/>
                <w:lang w:val="en-US" w:eastAsia="zh-CN"/>
              </w:rPr>
              <w:t>2</w:t>
            </w:r>
          </w:p>
        </w:tc>
      </w:tr>
      <w:tr w14:paraId="7AB24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53" w:type="dxa"/>
            <w:noWrap w:val="0"/>
            <w:vAlign w:val="center"/>
          </w:tcPr>
          <w:p w14:paraId="436CD5CD">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地下水环境</w:t>
            </w:r>
          </w:p>
        </w:tc>
        <w:tc>
          <w:tcPr>
            <w:tcW w:w="2504" w:type="dxa"/>
            <w:noWrap w:val="0"/>
            <w:vAlign w:val="center"/>
          </w:tcPr>
          <w:p w14:paraId="4AA08122">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不属于“G1”和“G2”区域</w:t>
            </w:r>
          </w:p>
          <w:p w14:paraId="11B4DE79">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岩（土）层满足“D2”防污性能的条件</w:t>
            </w:r>
          </w:p>
        </w:tc>
        <w:tc>
          <w:tcPr>
            <w:tcW w:w="3172" w:type="dxa"/>
            <w:noWrap w:val="0"/>
            <w:vAlign w:val="center"/>
          </w:tcPr>
          <w:p w14:paraId="5D454CC6">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厂区地下水下游方向无环境敏感区，项目区及周围包气带填土渗透系数K=</w:t>
            </w:r>
            <w:r>
              <w:rPr>
                <w:rFonts w:hint="eastAsia" w:ascii="Times New Roman" w:hAnsi="Times New Roman" w:eastAsia="宋体" w:cs="Times New Roman"/>
                <w:color w:val="auto"/>
                <w:kern w:val="0"/>
                <w:sz w:val="21"/>
                <w:szCs w:val="21"/>
                <w:lang w:val="en-US" w:eastAsia="zh-CN"/>
              </w:rPr>
              <w:t>3.30</w:t>
            </w:r>
            <w:r>
              <w:rPr>
                <w:rFonts w:hint="eastAsia" w:ascii="Times New Roman" w:hAnsi="Times New Roman" w:eastAsia="宋体" w:cs="Times New Roman"/>
                <w:color w:val="auto"/>
                <w:kern w:val="0"/>
                <w:sz w:val="21"/>
                <w:szCs w:val="21"/>
                <w:lang w:eastAsia="zh-CN"/>
              </w:rPr>
              <w:t>×10</w:t>
            </w:r>
            <w:r>
              <w:rPr>
                <w:rFonts w:hint="eastAsia" w:ascii="Times New Roman" w:hAnsi="Times New Roman" w:eastAsia="宋体" w:cs="Times New Roman"/>
                <w:color w:val="auto"/>
                <w:kern w:val="0"/>
                <w:sz w:val="21"/>
                <w:szCs w:val="21"/>
                <w:vertAlign w:val="superscript"/>
                <w:lang w:eastAsia="zh-CN"/>
              </w:rPr>
              <w:t>-</w:t>
            </w:r>
            <w:r>
              <w:rPr>
                <w:rFonts w:hint="eastAsia" w:ascii="Times New Roman" w:hAnsi="Times New Roman" w:eastAsia="宋体" w:cs="Times New Roman"/>
                <w:color w:val="auto"/>
                <w:kern w:val="0"/>
                <w:sz w:val="21"/>
                <w:szCs w:val="21"/>
                <w:vertAlign w:val="superscript"/>
                <w:lang w:val="en-US" w:eastAsia="zh-CN"/>
              </w:rPr>
              <w:t>4</w:t>
            </w:r>
            <w:r>
              <w:rPr>
                <w:rFonts w:hint="default" w:ascii="Times New Roman" w:hAnsi="Times New Roman" w:eastAsia="宋体" w:cs="Times New Roman"/>
                <w:color w:val="auto"/>
                <w:sz w:val="21"/>
                <w:szCs w:val="21"/>
                <w:u w:val="none"/>
              </w:rPr>
              <w:t>cm/s，</w:t>
            </w:r>
            <w:r>
              <w:rPr>
                <w:rFonts w:hint="default" w:ascii="Times New Roman" w:hAnsi="Times New Roman" w:eastAsia="宋体" w:cs="Times New Roman"/>
                <w:color w:val="auto"/>
                <w:sz w:val="21"/>
                <w:szCs w:val="21"/>
                <w:u w:val="none"/>
                <w:lang w:val="en-US" w:eastAsia="zh-CN"/>
              </w:rPr>
              <w:t>防污性能属D1</w:t>
            </w:r>
            <w:r>
              <w:rPr>
                <w:rFonts w:hint="default" w:ascii="Times New Roman" w:hAnsi="Times New Roman" w:eastAsia="宋体" w:cs="Times New Roman"/>
                <w:color w:val="auto"/>
                <w:sz w:val="21"/>
                <w:szCs w:val="21"/>
                <w:u w:val="none"/>
              </w:rPr>
              <w:t>。</w:t>
            </w:r>
          </w:p>
        </w:tc>
        <w:tc>
          <w:tcPr>
            <w:tcW w:w="1667" w:type="dxa"/>
            <w:noWrap w:val="0"/>
            <w:vAlign w:val="center"/>
          </w:tcPr>
          <w:p w14:paraId="602A4C23">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E2</w:t>
            </w:r>
          </w:p>
        </w:tc>
      </w:tr>
    </w:tbl>
    <w:p w14:paraId="63428675">
      <w:pPr>
        <w:pStyle w:val="3"/>
        <w:numPr>
          <w:ilvl w:val="1"/>
          <w:numId w:val="9"/>
        </w:numPr>
        <w:spacing w:before="210" w:after="210" w:line="500" w:lineRule="exact"/>
        <w:ind w:left="567" w:leftChars="0" w:hanging="567" w:firstLineChars="0"/>
        <w:rPr>
          <w:rFonts w:hint="default" w:ascii="Times New Roman" w:hAnsi="Times New Roman" w:eastAsia="宋体" w:cs="Times New Roman"/>
          <w:b/>
          <w:bCs w:val="0"/>
          <w:color w:val="000000"/>
          <w:sz w:val="28"/>
          <w:szCs w:val="22"/>
          <w:lang w:val="zh-CN" w:eastAsia="zh-CN"/>
        </w:rPr>
      </w:pPr>
      <w:bookmarkStart w:id="58" w:name="_Toc5979"/>
      <w:r>
        <w:rPr>
          <w:rFonts w:hint="default" w:ascii="Times New Roman" w:hAnsi="Times New Roman" w:eastAsia="宋体" w:cs="Times New Roman"/>
          <w:b/>
          <w:bCs w:val="0"/>
          <w:color w:val="000000"/>
          <w:sz w:val="28"/>
          <w:szCs w:val="22"/>
          <w:lang w:val="zh-CN" w:eastAsia="zh-CN"/>
        </w:rPr>
        <w:t>环境风险评价判定</w:t>
      </w:r>
      <w:bookmarkEnd w:id="58"/>
    </w:p>
    <w:p w14:paraId="1C5C10A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根据《建设项目环境风险评价技术导则》（HJ169-2018）：“4.3 环境风险评价工作等级分为一级、二级、三级，根据建设项目涉及的物质及工艺系统危险性P和所在地的环境敏感性E确定环境风险潜势，项目环境风险潜势划分见表1-1</w:t>
      </w:r>
      <w:r>
        <w:rPr>
          <w:rFonts w:hint="eastAsia" w:cs="Times New Roman"/>
          <w:color w:val="000000"/>
          <w:spacing w:val="10"/>
          <w:sz w:val="24"/>
          <w:szCs w:val="32"/>
          <w:lang w:val="en-US" w:eastAsia="zh-CN"/>
        </w:rPr>
        <w:t>5</w:t>
      </w:r>
      <w:r>
        <w:rPr>
          <w:rFonts w:hint="default" w:ascii="Times New Roman" w:hAnsi="Times New Roman" w:eastAsia="宋体" w:cs="Times New Roman"/>
          <w:color w:val="000000"/>
          <w:spacing w:val="10"/>
          <w:sz w:val="24"/>
          <w:szCs w:val="32"/>
          <w:lang w:val="en-US" w:eastAsia="zh-CN"/>
        </w:rPr>
        <w:t>。</w:t>
      </w:r>
    </w:p>
    <w:p w14:paraId="27448FFE">
      <w:pPr>
        <w:pStyle w:val="4"/>
        <w:numPr>
          <w:ilvl w:val="3"/>
          <w:numId w:val="10"/>
        </w:numPr>
        <w:tabs>
          <w:tab w:val="left" w:pos="1358"/>
          <w:tab w:val="left" w:pos="2153"/>
          <w:tab w:val="left" w:pos="2183"/>
        </w:tabs>
        <w:spacing w:before="13"/>
        <w:ind w:left="1358"/>
        <w:rPr>
          <w:rFonts w:hint="default" w:ascii="Times New Roman" w:hAnsi="Times New Roman" w:eastAsia="宋体" w:cs="Times New Roman"/>
          <w:color w:val="auto"/>
        </w:rPr>
      </w:pPr>
      <w:bookmarkStart w:id="59" w:name="_Toc17653"/>
      <w:r>
        <w:rPr>
          <w:rFonts w:hint="default" w:ascii="Times New Roman" w:hAnsi="Times New Roman" w:eastAsia="宋体" w:cs="Times New Roman"/>
          <w:color w:val="auto"/>
        </w:rPr>
        <w:t>建设项目环境风险潜势划分</w:t>
      </w:r>
      <w:bookmarkEnd w:id="59"/>
    </w:p>
    <w:tbl>
      <w:tblPr>
        <w:tblStyle w:val="19"/>
        <w:tblW w:w="0" w:type="auto"/>
        <w:tblInd w:w="-1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2287"/>
        <w:gridCol w:w="1687"/>
        <w:gridCol w:w="1680"/>
        <w:gridCol w:w="1576"/>
        <w:gridCol w:w="1567"/>
      </w:tblGrid>
      <w:tr w14:paraId="752652C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287" w:type="dxa"/>
            <w:vMerge w:val="restart"/>
            <w:noWrap w:val="0"/>
            <w:vAlign w:val="center"/>
          </w:tcPr>
          <w:p w14:paraId="6793306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环境敏感程度（E）</w:t>
            </w:r>
          </w:p>
        </w:tc>
        <w:tc>
          <w:tcPr>
            <w:tcW w:w="6510" w:type="dxa"/>
            <w:gridSpan w:val="4"/>
            <w:noWrap w:val="0"/>
            <w:vAlign w:val="center"/>
          </w:tcPr>
          <w:p w14:paraId="5E77B6D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危险物质及工艺系统危险性（P）</w:t>
            </w:r>
          </w:p>
        </w:tc>
      </w:tr>
      <w:tr w14:paraId="04E3B77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287" w:type="dxa"/>
            <w:vMerge w:val="continue"/>
            <w:noWrap w:val="0"/>
            <w:vAlign w:val="center"/>
          </w:tcPr>
          <w:p w14:paraId="3E6AD8BF">
            <w:pPr>
              <w:adjustRightInd w:val="0"/>
              <w:snapToGrid w:val="0"/>
              <w:jc w:val="center"/>
              <w:rPr>
                <w:rFonts w:hint="default" w:ascii="Times New Roman" w:hAnsi="Times New Roman" w:eastAsia="宋体" w:cs="Times New Roman"/>
                <w:color w:val="auto"/>
                <w:sz w:val="21"/>
                <w:szCs w:val="21"/>
              </w:rPr>
            </w:pPr>
          </w:p>
        </w:tc>
        <w:tc>
          <w:tcPr>
            <w:tcW w:w="1687" w:type="dxa"/>
            <w:noWrap w:val="0"/>
            <w:vAlign w:val="center"/>
          </w:tcPr>
          <w:p w14:paraId="68D4E4A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极高危害（P1）</w:t>
            </w:r>
          </w:p>
        </w:tc>
        <w:tc>
          <w:tcPr>
            <w:tcW w:w="1680" w:type="dxa"/>
            <w:noWrap w:val="0"/>
            <w:vAlign w:val="center"/>
          </w:tcPr>
          <w:p w14:paraId="6C3E157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高度危害（P2）</w:t>
            </w:r>
          </w:p>
        </w:tc>
        <w:tc>
          <w:tcPr>
            <w:tcW w:w="1576" w:type="dxa"/>
            <w:noWrap w:val="0"/>
            <w:vAlign w:val="center"/>
          </w:tcPr>
          <w:p w14:paraId="1B9E34F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中度危害（P3）</w:t>
            </w:r>
          </w:p>
        </w:tc>
        <w:tc>
          <w:tcPr>
            <w:tcW w:w="1567" w:type="dxa"/>
            <w:noWrap w:val="0"/>
            <w:vAlign w:val="center"/>
          </w:tcPr>
          <w:p w14:paraId="16E2D86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轻度危害（P4）</w:t>
            </w:r>
          </w:p>
        </w:tc>
      </w:tr>
      <w:tr w14:paraId="430A4A2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287" w:type="dxa"/>
            <w:noWrap w:val="0"/>
            <w:vAlign w:val="center"/>
          </w:tcPr>
          <w:p w14:paraId="3539C0D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环境高度敏感区（E1）</w:t>
            </w:r>
          </w:p>
        </w:tc>
        <w:tc>
          <w:tcPr>
            <w:tcW w:w="1687" w:type="dxa"/>
            <w:noWrap w:val="0"/>
            <w:vAlign w:val="center"/>
          </w:tcPr>
          <w:p w14:paraId="10EA789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Ⅳ+</w:t>
            </w:r>
          </w:p>
        </w:tc>
        <w:tc>
          <w:tcPr>
            <w:tcW w:w="1680" w:type="dxa"/>
            <w:noWrap w:val="0"/>
            <w:vAlign w:val="center"/>
          </w:tcPr>
          <w:p w14:paraId="5174AE9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Ⅳ</w:t>
            </w:r>
          </w:p>
        </w:tc>
        <w:tc>
          <w:tcPr>
            <w:tcW w:w="1576" w:type="dxa"/>
            <w:noWrap w:val="0"/>
            <w:vAlign w:val="center"/>
          </w:tcPr>
          <w:p w14:paraId="2253E1B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567" w:type="dxa"/>
            <w:noWrap w:val="0"/>
            <w:vAlign w:val="center"/>
          </w:tcPr>
          <w:p w14:paraId="76E6CBA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r>
      <w:tr w14:paraId="3DF25BD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287" w:type="dxa"/>
            <w:noWrap w:val="0"/>
            <w:vAlign w:val="center"/>
          </w:tcPr>
          <w:p w14:paraId="2C9D692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环境中度敏感区（E2）</w:t>
            </w:r>
          </w:p>
        </w:tc>
        <w:tc>
          <w:tcPr>
            <w:tcW w:w="1687" w:type="dxa"/>
            <w:noWrap w:val="0"/>
            <w:vAlign w:val="center"/>
          </w:tcPr>
          <w:p w14:paraId="60134DA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Ⅳ</w:t>
            </w:r>
          </w:p>
        </w:tc>
        <w:tc>
          <w:tcPr>
            <w:tcW w:w="1680" w:type="dxa"/>
            <w:noWrap w:val="0"/>
            <w:vAlign w:val="center"/>
          </w:tcPr>
          <w:p w14:paraId="5DD0CA2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576" w:type="dxa"/>
            <w:noWrap w:val="0"/>
            <w:vAlign w:val="center"/>
          </w:tcPr>
          <w:p w14:paraId="09DC64C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567" w:type="dxa"/>
            <w:noWrap w:val="0"/>
            <w:vAlign w:val="center"/>
          </w:tcPr>
          <w:p w14:paraId="7D0CA3A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r>
      <w:tr w14:paraId="2EA9A5B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287" w:type="dxa"/>
            <w:noWrap w:val="0"/>
            <w:vAlign w:val="center"/>
          </w:tcPr>
          <w:p w14:paraId="35E7CA7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环境低度敏感区（E3）</w:t>
            </w:r>
          </w:p>
        </w:tc>
        <w:tc>
          <w:tcPr>
            <w:tcW w:w="1687" w:type="dxa"/>
            <w:noWrap w:val="0"/>
            <w:vAlign w:val="center"/>
          </w:tcPr>
          <w:p w14:paraId="4C2F47D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680" w:type="dxa"/>
            <w:noWrap w:val="0"/>
            <w:vAlign w:val="center"/>
          </w:tcPr>
          <w:p w14:paraId="77341CB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576" w:type="dxa"/>
            <w:noWrap w:val="0"/>
            <w:vAlign w:val="center"/>
          </w:tcPr>
          <w:p w14:paraId="7DCE845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c>
          <w:tcPr>
            <w:tcW w:w="1567" w:type="dxa"/>
            <w:noWrap w:val="0"/>
            <w:vAlign w:val="center"/>
          </w:tcPr>
          <w:p w14:paraId="5125D23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w:t>
            </w:r>
          </w:p>
        </w:tc>
      </w:tr>
      <w:tr w14:paraId="4B31399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97" w:type="dxa"/>
            <w:gridSpan w:val="5"/>
            <w:noWrap w:val="0"/>
            <w:vAlign w:val="center"/>
          </w:tcPr>
          <w:p w14:paraId="67FDC81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注：Ⅳ+为极高环境风险</w:t>
            </w:r>
          </w:p>
        </w:tc>
      </w:tr>
    </w:tbl>
    <w:p w14:paraId="0B7AA202">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风险潜势为Ⅳ及以上，进行一级评价；风险潜势为Ⅲ，进行二级评价；风险潜势为II，进行三级评价；风险潜势为I，可开展简单分析”，按照下表确定评价工作等级。</w:t>
      </w:r>
    </w:p>
    <w:p w14:paraId="26A315FE">
      <w:pPr>
        <w:pStyle w:val="4"/>
        <w:numPr>
          <w:ilvl w:val="3"/>
          <w:numId w:val="10"/>
        </w:numPr>
        <w:tabs>
          <w:tab w:val="left" w:pos="1358"/>
          <w:tab w:val="left" w:pos="2153"/>
          <w:tab w:val="left" w:pos="2183"/>
        </w:tabs>
        <w:spacing w:before="13"/>
        <w:ind w:left="1358"/>
        <w:rPr>
          <w:rFonts w:hint="default" w:ascii="Times New Roman" w:hAnsi="Times New Roman" w:eastAsia="宋体" w:cs="Times New Roman"/>
          <w:color w:val="auto"/>
        </w:rPr>
      </w:pPr>
      <w:bookmarkStart w:id="60" w:name="_Toc4309"/>
      <w:r>
        <w:rPr>
          <w:rFonts w:hint="default" w:ascii="Times New Roman" w:hAnsi="Times New Roman" w:eastAsia="宋体" w:cs="Times New Roman"/>
          <w:color w:val="auto"/>
        </w:rPr>
        <w:t>建设项目环境风险评价等级划分</w:t>
      </w:r>
      <w:bookmarkEnd w:id="60"/>
    </w:p>
    <w:tbl>
      <w:tblPr>
        <w:tblStyle w:val="19"/>
        <w:tblW w:w="0" w:type="auto"/>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1588"/>
        <w:gridCol w:w="2154"/>
        <w:gridCol w:w="1587"/>
        <w:gridCol w:w="1793"/>
        <w:gridCol w:w="1675"/>
      </w:tblGrid>
      <w:tr w14:paraId="4D1B6CD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88" w:type="dxa"/>
            <w:noWrap w:val="0"/>
            <w:vAlign w:val="center"/>
          </w:tcPr>
          <w:p w14:paraId="72CF818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环境风险潜势</w:t>
            </w:r>
          </w:p>
        </w:tc>
        <w:tc>
          <w:tcPr>
            <w:tcW w:w="2154" w:type="dxa"/>
            <w:noWrap w:val="0"/>
            <w:vAlign w:val="center"/>
          </w:tcPr>
          <w:p w14:paraId="687DC63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Ⅳ、Ⅳ+</w:t>
            </w:r>
          </w:p>
        </w:tc>
        <w:tc>
          <w:tcPr>
            <w:tcW w:w="1587" w:type="dxa"/>
            <w:noWrap w:val="0"/>
            <w:vAlign w:val="center"/>
          </w:tcPr>
          <w:p w14:paraId="3E795B5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793" w:type="dxa"/>
            <w:noWrap w:val="0"/>
            <w:vAlign w:val="center"/>
          </w:tcPr>
          <w:p w14:paraId="116EDA9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c>
          <w:tcPr>
            <w:tcW w:w="1675" w:type="dxa"/>
            <w:noWrap w:val="0"/>
            <w:vAlign w:val="center"/>
          </w:tcPr>
          <w:p w14:paraId="0D1698B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w:t>
            </w:r>
          </w:p>
        </w:tc>
      </w:tr>
      <w:tr w14:paraId="72B9956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88" w:type="dxa"/>
            <w:noWrap w:val="0"/>
            <w:vAlign w:val="center"/>
          </w:tcPr>
          <w:p w14:paraId="72C6C8D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评价工作等级</w:t>
            </w:r>
          </w:p>
        </w:tc>
        <w:tc>
          <w:tcPr>
            <w:tcW w:w="2154" w:type="dxa"/>
            <w:noWrap w:val="0"/>
            <w:vAlign w:val="center"/>
          </w:tcPr>
          <w:p w14:paraId="6948511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587" w:type="dxa"/>
            <w:noWrap w:val="0"/>
            <w:vAlign w:val="center"/>
          </w:tcPr>
          <w:p w14:paraId="4D43DDF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1793" w:type="dxa"/>
            <w:noWrap w:val="0"/>
            <w:vAlign w:val="center"/>
          </w:tcPr>
          <w:p w14:paraId="672EEFE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1675" w:type="dxa"/>
            <w:noWrap w:val="0"/>
            <w:vAlign w:val="center"/>
          </w:tcPr>
          <w:p w14:paraId="3AE5CB2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简单分析a</w:t>
            </w:r>
          </w:p>
        </w:tc>
      </w:tr>
      <w:tr w14:paraId="24C74B2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797" w:type="dxa"/>
            <w:gridSpan w:val="5"/>
            <w:noWrap w:val="0"/>
            <w:vAlign w:val="center"/>
          </w:tcPr>
          <w:p w14:paraId="64289789">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a是相对于详细评价工作内容而言，在描述危险物质、环境影响途径、环境危害后果、风险防范措施等方面给出定性的说明。见附录A。</w:t>
            </w:r>
          </w:p>
        </w:tc>
      </w:tr>
    </w:tbl>
    <w:p w14:paraId="34FE3080">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评价等级</w:t>
      </w:r>
    </w:p>
    <w:p w14:paraId="381320EF">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按《建设项目环境风险评价技术导则》（HJ/T169-2018），确定本项目风险评价工作级别。</w:t>
      </w:r>
    </w:p>
    <w:p w14:paraId="7BCF5963">
      <w:pPr>
        <w:pStyle w:val="4"/>
        <w:numPr>
          <w:ilvl w:val="3"/>
          <w:numId w:val="10"/>
        </w:numPr>
        <w:tabs>
          <w:tab w:val="left" w:pos="1358"/>
          <w:tab w:val="left" w:pos="2153"/>
          <w:tab w:val="left" w:pos="2183"/>
        </w:tabs>
        <w:spacing w:before="13"/>
        <w:ind w:left="1358"/>
        <w:rPr>
          <w:rFonts w:hint="default" w:ascii="Times New Roman" w:hAnsi="Times New Roman" w:eastAsia="宋体" w:cs="Times New Roman"/>
          <w:b/>
          <w:color w:val="auto"/>
        </w:rPr>
      </w:pPr>
      <w:r>
        <w:rPr>
          <w:rFonts w:hint="default" w:ascii="Times New Roman" w:hAnsi="Times New Roman" w:eastAsia="宋体" w:cs="Times New Roman"/>
          <w:b/>
          <w:color w:val="auto"/>
        </w:rPr>
        <w:t xml:space="preserve"> </w:t>
      </w:r>
      <w:bookmarkStart w:id="61" w:name="_Toc26909"/>
      <w:bookmarkStart w:id="62" w:name="_Toc32159"/>
      <w:r>
        <w:rPr>
          <w:rFonts w:hint="default" w:ascii="Times New Roman" w:hAnsi="Times New Roman" w:eastAsia="宋体" w:cs="Times New Roman"/>
          <w:b/>
          <w:color w:val="auto"/>
        </w:rPr>
        <w:t>评价工作等级划分</w:t>
      </w:r>
      <w:bookmarkEnd w:id="61"/>
      <w:bookmarkEnd w:id="62"/>
    </w:p>
    <w:tbl>
      <w:tblPr>
        <w:tblStyle w:val="1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12"/>
        <w:gridCol w:w="1790"/>
        <w:gridCol w:w="1421"/>
        <w:gridCol w:w="1421"/>
        <w:gridCol w:w="1421"/>
        <w:gridCol w:w="1423"/>
      </w:tblGrid>
      <w:tr w14:paraId="43FF7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12" w:type="dxa"/>
            <w:tcBorders>
              <w:top w:val="single" w:color="000000" w:sz="6" w:space="0"/>
              <w:left w:val="single" w:color="000000" w:sz="6" w:space="0"/>
              <w:bottom w:val="single" w:color="000000" w:sz="6" w:space="0"/>
              <w:right w:val="single" w:color="000000" w:sz="6" w:space="0"/>
            </w:tcBorders>
            <w:noWrap w:val="0"/>
            <w:vAlign w:val="center"/>
          </w:tcPr>
          <w:p w14:paraId="49D82FD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项目P等级</w:t>
            </w:r>
          </w:p>
        </w:tc>
        <w:tc>
          <w:tcPr>
            <w:tcW w:w="1790" w:type="dxa"/>
            <w:tcBorders>
              <w:top w:val="single" w:color="000000" w:sz="6" w:space="0"/>
              <w:left w:val="single" w:color="000000" w:sz="6" w:space="0"/>
              <w:bottom w:val="single" w:color="000000" w:sz="6" w:space="0"/>
              <w:right w:val="single" w:color="000000" w:sz="6" w:space="0"/>
            </w:tcBorders>
            <w:noWrap w:val="0"/>
            <w:vAlign w:val="center"/>
          </w:tcPr>
          <w:p w14:paraId="5E77959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1421" w:type="dxa"/>
            <w:tcBorders>
              <w:top w:val="single" w:color="000000" w:sz="6" w:space="0"/>
              <w:left w:val="single" w:color="000000" w:sz="6" w:space="0"/>
              <w:bottom w:val="single" w:color="000000" w:sz="6" w:space="0"/>
              <w:right w:val="single" w:color="000000" w:sz="6" w:space="0"/>
            </w:tcBorders>
            <w:noWrap w:val="0"/>
            <w:vAlign w:val="center"/>
          </w:tcPr>
          <w:p w14:paraId="2D12185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要素环境敏感程度</w:t>
            </w:r>
          </w:p>
        </w:tc>
        <w:tc>
          <w:tcPr>
            <w:tcW w:w="1421" w:type="dxa"/>
            <w:tcBorders>
              <w:top w:val="single" w:color="000000" w:sz="6" w:space="0"/>
              <w:left w:val="single" w:color="000000" w:sz="6" w:space="0"/>
              <w:bottom w:val="single" w:color="000000" w:sz="6" w:space="0"/>
              <w:right w:val="single" w:color="000000" w:sz="6" w:space="0"/>
            </w:tcBorders>
            <w:noWrap w:val="0"/>
            <w:vAlign w:val="center"/>
          </w:tcPr>
          <w:p w14:paraId="7E80938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要素环境风险潜势等级</w:t>
            </w:r>
          </w:p>
        </w:tc>
        <w:tc>
          <w:tcPr>
            <w:tcW w:w="1421" w:type="dxa"/>
            <w:tcBorders>
              <w:top w:val="single" w:color="000000" w:sz="6" w:space="0"/>
              <w:left w:val="single" w:color="000000" w:sz="6" w:space="0"/>
              <w:bottom w:val="single" w:color="000000" w:sz="6" w:space="0"/>
              <w:right w:val="single" w:color="000000" w:sz="6" w:space="0"/>
            </w:tcBorders>
            <w:noWrap w:val="0"/>
            <w:vAlign w:val="center"/>
          </w:tcPr>
          <w:p w14:paraId="395BA49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要素风险评价等级</w:t>
            </w:r>
          </w:p>
        </w:tc>
        <w:tc>
          <w:tcPr>
            <w:tcW w:w="1423" w:type="dxa"/>
            <w:tcBorders>
              <w:top w:val="single" w:color="000000" w:sz="6" w:space="0"/>
              <w:left w:val="single" w:color="000000" w:sz="6" w:space="0"/>
              <w:bottom w:val="single" w:color="000000" w:sz="6" w:space="0"/>
              <w:right w:val="single" w:color="000000" w:sz="6" w:space="0"/>
            </w:tcBorders>
            <w:noWrap w:val="0"/>
            <w:vAlign w:val="center"/>
          </w:tcPr>
          <w:p w14:paraId="5265454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项目环境风险综合评价等级</w:t>
            </w:r>
          </w:p>
        </w:tc>
      </w:tr>
      <w:tr w14:paraId="77AA5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12" w:type="dxa"/>
            <w:vMerge w:val="restart"/>
            <w:tcBorders>
              <w:top w:val="single" w:color="000000" w:sz="6" w:space="0"/>
              <w:left w:val="single" w:color="000000" w:sz="6" w:space="0"/>
              <w:right w:val="single" w:color="000000" w:sz="6" w:space="0"/>
            </w:tcBorders>
            <w:shd w:val="clear" w:color="auto" w:fill="auto"/>
            <w:noWrap w:val="0"/>
            <w:vAlign w:val="center"/>
          </w:tcPr>
          <w:p w14:paraId="0FEEE56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w:t>
            </w:r>
            <w:r>
              <w:rPr>
                <w:rFonts w:hint="default" w:ascii="Times New Roman" w:hAnsi="Times New Roman" w:eastAsia="宋体" w:cs="Times New Roman"/>
                <w:color w:val="auto"/>
                <w:sz w:val="21"/>
                <w:szCs w:val="21"/>
                <w:lang w:val="en-US" w:eastAsia="zh-CN"/>
              </w:rPr>
              <w:t>3</w:t>
            </w:r>
          </w:p>
        </w:tc>
        <w:tc>
          <w:tcPr>
            <w:tcW w:w="1790"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2FABD6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42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39D6135D">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E</w:t>
            </w:r>
            <w:r>
              <w:rPr>
                <w:rFonts w:hint="eastAsia" w:ascii="Times New Roman" w:hAnsi="Times New Roman" w:eastAsia="宋体" w:cs="Times New Roman"/>
                <w:color w:val="auto"/>
                <w:sz w:val="21"/>
                <w:szCs w:val="21"/>
                <w:lang w:val="en-US" w:eastAsia="zh-CN"/>
              </w:rPr>
              <w:t>2</w:t>
            </w:r>
          </w:p>
        </w:tc>
        <w:tc>
          <w:tcPr>
            <w:tcW w:w="142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50B8D38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421" w:type="dxa"/>
            <w:tcBorders>
              <w:top w:val="single" w:color="000000" w:sz="6" w:space="0"/>
              <w:left w:val="single" w:color="000000" w:sz="6" w:space="0"/>
              <w:bottom w:val="single" w:color="000000" w:sz="6" w:space="0"/>
              <w:right w:val="single" w:color="000000" w:sz="6" w:space="0"/>
            </w:tcBorders>
            <w:noWrap w:val="0"/>
            <w:vAlign w:val="center"/>
          </w:tcPr>
          <w:p w14:paraId="4878BAD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二级</w:t>
            </w:r>
          </w:p>
        </w:tc>
        <w:tc>
          <w:tcPr>
            <w:tcW w:w="1423" w:type="dxa"/>
            <w:vMerge w:val="restart"/>
            <w:tcBorders>
              <w:top w:val="single" w:color="000000" w:sz="6" w:space="0"/>
              <w:left w:val="single" w:color="000000" w:sz="6" w:space="0"/>
              <w:right w:val="single" w:color="000000" w:sz="6" w:space="0"/>
            </w:tcBorders>
            <w:noWrap w:val="0"/>
            <w:vAlign w:val="center"/>
          </w:tcPr>
          <w:p w14:paraId="7142D3F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二级</w:t>
            </w:r>
          </w:p>
        </w:tc>
      </w:tr>
      <w:tr w14:paraId="2EC79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12" w:type="dxa"/>
            <w:vMerge w:val="continue"/>
            <w:tcBorders>
              <w:left w:val="single" w:color="000000" w:sz="6" w:space="0"/>
              <w:right w:val="single" w:color="000000" w:sz="6" w:space="0"/>
            </w:tcBorders>
            <w:shd w:val="clear" w:color="auto" w:fill="auto"/>
            <w:noWrap w:val="0"/>
            <w:vAlign w:val="center"/>
          </w:tcPr>
          <w:p w14:paraId="1D7D7954">
            <w:pPr>
              <w:adjustRightInd w:val="0"/>
              <w:snapToGrid w:val="0"/>
              <w:jc w:val="center"/>
              <w:rPr>
                <w:rFonts w:hint="default" w:ascii="Times New Roman" w:hAnsi="Times New Roman" w:eastAsia="宋体" w:cs="Times New Roman"/>
                <w:color w:val="auto"/>
                <w:sz w:val="21"/>
                <w:szCs w:val="21"/>
              </w:rPr>
            </w:pPr>
          </w:p>
        </w:tc>
        <w:tc>
          <w:tcPr>
            <w:tcW w:w="1790"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E2EAF3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42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0EA71D5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E</w:t>
            </w:r>
            <w:r>
              <w:rPr>
                <w:rFonts w:hint="default" w:ascii="Times New Roman" w:hAnsi="Times New Roman" w:eastAsia="宋体" w:cs="Times New Roman"/>
                <w:color w:val="auto"/>
                <w:sz w:val="21"/>
                <w:szCs w:val="21"/>
                <w:lang w:val="en-US" w:eastAsia="zh-CN"/>
              </w:rPr>
              <w:t>2</w:t>
            </w:r>
          </w:p>
        </w:tc>
        <w:tc>
          <w:tcPr>
            <w:tcW w:w="142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6FE6BAC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421" w:type="dxa"/>
            <w:tcBorders>
              <w:top w:val="single" w:color="000000" w:sz="6" w:space="0"/>
              <w:left w:val="single" w:color="000000" w:sz="6" w:space="0"/>
              <w:bottom w:val="single" w:color="000000" w:sz="6" w:space="0"/>
              <w:right w:val="single" w:color="000000" w:sz="6" w:space="0"/>
            </w:tcBorders>
            <w:noWrap w:val="0"/>
            <w:vAlign w:val="center"/>
          </w:tcPr>
          <w:p w14:paraId="3DD67AB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二级</w:t>
            </w:r>
          </w:p>
        </w:tc>
        <w:tc>
          <w:tcPr>
            <w:tcW w:w="1423" w:type="dxa"/>
            <w:vMerge w:val="continue"/>
            <w:tcBorders>
              <w:left w:val="single" w:color="000000" w:sz="6" w:space="0"/>
              <w:right w:val="single" w:color="000000" w:sz="6" w:space="0"/>
            </w:tcBorders>
            <w:noWrap w:val="0"/>
            <w:vAlign w:val="center"/>
          </w:tcPr>
          <w:p w14:paraId="2C29E2B7">
            <w:pPr>
              <w:adjustRightInd w:val="0"/>
              <w:snapToGrid w:val="0"/>
              <w:jc w:val="center"/>
              <w:rPr>
                <w:rFonts w:hint="default" w:ascii="Times New Roman" w:hAnsi="Times New Roman" w:cs="Times New Roman"/>
                <w:color w:val="auto"/>
                <w:spacing w:val="10"/>
              </w:rPr>
            </w:pPr>
          </w:p>
        </w:tc>
      </w:tr>
      <w:tr w14:paraId="2F185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12" w:type="dxa"/>
            <w:vMerge w:val="continue"/>
            <w:tcBorders>
              <w:left w:val="single" w:color="000000" w:sz="6" w:space="0"/>
              <w:right w:val="single" w:color="000000" w:sz="6" w:space="0"/>
            </w:tcBorders>
            <w:shd w:val="clear" w:color="auto" w:fill="auto"/>
            <w:noWrap w:val="0"/>
            <w:vAlign w:val="center"/>
          </w:tcPr>
          <w:p w14:paraId="0DD18EAF">
            <w:pPr>
              <w:adjustRightInd w:val="0"/>
              <w:snapToGrid w:val="0"/>
              <w:jc w:val="center"/>
              <w:rPr>
                <w:rFonts w:hint="default" w:ascii="Times New Roman" w:hAnsi="Times New Roman" w:eastAsia="宋体" w:cs="Times New Roman"/>
                <w:color w:val="auto"/>
                <w:sz w:val="21"/>
                <w:szCs w:val="21"/>
              </w:rPr>
            </w:pPr>
          </w:p>
        </w:tc>
        <w:tc>
          <w:tcPr>
            <w:tcW w:w="1790"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16EBB4B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142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4570F9F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c>
          <w:tcPr>
            <w:tcW w:w="142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5E7103D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421" w:type="dxa"/>
            <w:tcBorders>
              <w:top w:val="single" w:color="000000" w:sz="6" w:space="0"/>
              <w:left w:val="single" w:color="000000" w:sz="6" w:space="0"/>
              <w:bottom w:val="single" w:color="000000" w:sz="6" w:space="0"/>
              <w:right w:val="single" w:color="000000" w:sz="6" w:space="0"/>
            </w:tcBorders>
            <w:noWrap w:val="0"/>
            <w:vAlign w:val="center"/>
          </w:tcPr>
          <w:p w14:paraId="47FEDF0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二级</w:t>
            </w:r>
          </w:p>
        </w:tc>
        <w:tc>
          <w:tcPr>
            <w:tcW w:w="1423" w:type="dxa"/>
            <w:vMerge w:val="continue"/>
            <w:tcBorders>
              <w:left w:val="single" w:color="000000" w:sz="6" w:space="0"/>
              <w:right w:val="single" w:color="000000" w:sz="6" w:space="0"/>
            </w:tcBorders>
            <w:noWrap w:val="0"/>
            <w:vAlign w:val="center"/>
          </w:tcPr>
          <w:p w14:paraId="70E75B4D">
            <w:pPr>
              <w:adjustRightInd w:val="0"/>
              <w:snapToGrid w:val="0"/>
              <w:jc w:val="center"/>
              <w:rPr>
                <w:rFonts w:hint="default" w:ascii="Times New Roman" w:hAnsi="Times New Roman" w:cs="Times New Roman"/>
                <w:color w:val="auto"/>
                <w:spacing w:val="10"/>
              </w:rPr>
            </w:pPr>
          </w:p>
        </w:tc>
      </w:tr>
    </w:tbl>
    <w:p w14:paraId="2EF6B921">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风险评价范围</w:t>
      </w:r>
    </w:p>
    <w:p w14:paraId="3B25812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根据项目风险评价等级，确定项目大气评价范围为距离项目边界5km范围，地下水风险评价范围为厂区范围内地下水，地表水风险评价范围为周边环境影响所及区域。</w:t>
      </w:r>
    </w:p>
    <w:p w14:paraId="421A6CF7">
      <w:pPr>
        <w:pStyle w:val="4"/>
        <w:numPr>
          <w:ilvl w:val="3"/>
          <w:numId w:val="10"/>
        </w:numPr>
        <w:tabs>
          <w:tab w:val="left" w:pos="1358"/>
          <w:tab w:val="left" w:pos="2153"/>
          <w:tab w:val="left" w:pos="2183"/>
        </w:tabs>
        <w:spacing w:before="13"/>
        <w:ind w:left="1358"/>
        <w:rPr>
          <w:rFonts w:hint="default" w:ascii="Times New Roman" w:hAnsi="Times New Roman" w:eastAsia="宋体" w:cs="Times New Roman"/>
          <w:color w:val="auto"/>
        </w:rPr>
      </w:pPr>
      <w:bookmarkStart w:id="63" w:name="_Toc12142"/>
      <w:r>
        <w:rPr>
          <w:rFonts w:hint="default" w:ascii="Times New Roman" w:hAnsi="Times New Roman" w:eastAsia="宋体" w:cs="Times New Roman"/>
          <w:color w:val="auto"/>
        </w:rPr>
        <w:t>各环境要素风险评价范围</w:t>
      </w:r>
      <w:bookmarkEnd w:id="63"/>
    </w:p>
    <w:tbl>
      <w:tblPr>
        <w:tblStyle w:val="1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7"/>
        <w:gridCol w:w="1215"/>
        <w:gridCol w:w="6859"/>
      </w:tblGrid>
      <w:tr w14:paraId="1B224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717" w:type="dxa"/>
            <w:noWrap w:val="0"/>
            <w:vAlign w:val="center"/>
          </w:tcPr>
          <w:p w14:paraId="21C2CDC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1215" w:type="dxa"/>
            <w:noWrap w:val="0"/>
            <w:vAlign w:val="center"/>
          </w:tcPr>
          <w:p w14:paraId="2E2EB6B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859" w:type="dxa"/>
            <w:noWrap w:val="0"/>
            <w:vAlign w:val="center"/>
          </w:tcPr>
          <w:p w14:paraId="50415CC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风险评价范围</w:t>
            </w:r>
          </w:p>
        </w:tc>
      </w:tr>
      <w:tr w14:paraId="4C599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717" w:type="dxa"/>
            <w:noWrap w:val="0"/>
            <w:vAlign w:val="center"/>
          </w:tcPr>
          <w:p w14:paraId="0DEB1BA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15" w:type="dxa"/>
            <w:noWrap w:val="0"/>
            <w:vAlign w:val="center"/>
          </w:tcPr>
          <w:p w14:paraId="3978624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6859" w:type="dxa"/>
            <w:noWrap w:val="0"/>
            <w:vAlign w:val="center"/>
          </w:tcPr>
          <w:p w14:paraId="2F5306A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以项目厂界边，外扩5km的区域</w:t>
            </w:r>
            <w:r>
              <w:rPr>
                <w:rFonts w:hint="default" w:ascii="Times New Roman" w:hAnsi="Times New Roman" w:eastAsia="宋体" w:cs="Times New Roman"/>
                <w:color w:val="auto"/>
                <w:sz w:val="21"/>
                <w:szCs w:val="21"/>
                <w:u w:val="none"/>
              </w:rPr>
              <w:t>。</w:t>
            </w:r>
          </w:p>
        </w:tc>
      </w:tr>
      <w:tr w14:paraId="24026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717" w:type="dxa"/>
            <w:noWrap w:val="0"/>
            <w:vAlign w:val="center"/>
          </w:tcPr>
          <w:p w14:paraId="323A2B3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15" w:type="dxa"/>
            <w:noWrap w:val="0"/>
            <w:vAlign w:val="center"/>
          </w:tcPr>
          <w:p w14:paraId="44E7172E">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地表水环境</w:t>
            </w:r>
          </w:p>
        </w:tc>
        <w:tc>
          <w:tcPr>
            <w:tcW w:w="6859" w:type="dxa"/>
            <w:noWrap w:val="0"/>
            <w:vAlign w:val="center"/>
          </w:tcPr>
          <w:p w14:paraId="529D5E9C">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项目周边属于近岸海域，参考GB/T19485-2014，水质环境</w:t>
            </w:r>
            <w:r>
              <w:rPr>
                <w:rFonts w:hint="default" w:ascii="Times New Roman" w:hAnsi="Times New Roman" w:eastAsia="宋体" w:cs="Times New Roman"/>
                <w:color w:val="auto"/>
                <w:sz w:val="21"/>
                <w:szCs w:val="21"/>
                <w:u w:val="none"/>
                <w:lang w:val="en-US" w:eastAsia="zh-CN"/>
              </w:rPr>
              <w:t>二</w:t>
            </w:r>
            <w:r>
              <w:rPr>
                <w:rFonts w:hint="default" w:ascii="Times New Roman" w:hAnsi="Times New Roman" w:eastAsia="宋体" w:cs="Times New Roman"/>
                <w:color w:val="auto"/>
                <w:sz w:val="21"/>
                <w:szCs w:val="21"/>
                <w:u w:val="none"/>
              </w:rPr>
              <w:t>级评价范围应能覆盖建设项目的评价区域及周边环境影响所及区域，本次风险地表水环</w:t>
            </w:r>
            <w:r>
              <w:rPr>
                <w:rFonts w:hint="default" w:ascii="Times New Roman" w:hAnsi="Times New Roman" w:eastAsia="宋体" w:cs="Times New Roman"/>
                <w:color w:val="auto"/>
                <w:sz w:val="21"/>
                <w:szCs w:val="21"/>
                <w:highlight w:val="none"/>
                <w:u w:val="none"/>
              </w:rPr>
              <w:t>境</w:t>
            </w:r>
            <w:r>
              <w:rPr>
                <w:rFonts w:hint="default" w:ascii="Times New Roman" w:hAnsi="Times New Roman" w:eastAsia="宋体" w:cs="Times New Roman"/>
                <w:color w:val="auto"/>
                <w:sz w:val="21"/>
                <w:szCs w:val="21"/>
                <w:u w:val="none"/>
              </w:rPr>
              <w:t>评价范围为企沙镇至三娘湾，最远距离项目约</w:t>
            </w:r>
            <w:r>
              <w:rPr>
                <w:rFonts w:hint="default" w:ascii="Times New Roman" w:hAnsi="Times New Roman" w:eastAsia="宋体" w:cs="Times New Roman"/>
                <w:color w:val="auto"/>
                <w:sz w:val="21"/>
                <w:szCs w:val="21"/>
                <w:u w:val="none"/>
                <w:lang w:val="en-US" w:eastAsia="zh-CN"/>
              </w:rPr>
              <w:t>23</w:t>
            </w:r>
            <w:r>
              <w:rPr>
                <w:rFonts w:hint="default" w:ascii="Times New Roman" w:hAnsi="Times New Roman" w:eastAsia="宋体" w:cs="Times New Roman"/>
                <w:color w:val="auto"/>
                <w:sz w:val="21"/>
                <w:szCs w:val="21"/>
                <w:u w:val="none"/>
              </w:rPr>
              <w:t>km，海域面积约63</w:t>
            </w:r>
            <w:r>
              <w:rPr>
                <w:rFonts w:hint="default" w:ascii="Times New Roman" w:hAnsi="Times New Roman" w:eastAsia="宋体" w:cs="Times New Roman"/>
                <w:color w:val="auto"/>
                <w:sz w:val="21"/>
                <w:szCs w:val="21"/>
                <w:u w:val="none"/>
                <w:lang w:val="en-US" w:eastAsia="zh-CN"/>
              </w:rPr>
              <w:t>5</w:t>
            </w:r>
            <w:r>
              <w:rPr>
                <w:rFonts w:hint="default" w:ascii="Times New Roman" w:hAnsi="Times New Roman" w:eastAsia="宋体" w:cs="Times New Roman"/>
                <w:color w:val="auto"/>
                <w:sz w:val="21"/>
                <w:szCs w:val="21"/>
                <w:u w:val="none"/>
              </w:rPr>
              <w:t>km</w:t>
            </w:r>
            <w:r>
              <w:rPr>
                <w:rFonts w:hint="default" w:ascii="Times New Roman" w:hAnsi="Times New Roman" w:eastAsia="宋体" w:cs="Times New Roman"/>
                <w:color w:val="auto"/>
                <w:sz w:val="21"/>
                <w:szCs w:val="21"/>
                <w:u w:val="none"/>
                <w:vertAlign w:val="superscript"/>
              </w:rPr>
              <w:t>2</w:t>
            </w:r>
            <w:r>
              <w:rPr>
                <w:rFonts w:hint="default" w:ascii="Times New Roman" w:hAnsi="Times New Roman" w:eastAsia="宋体" w:cs="Times New Roman"/>
                <w:color w:val="auto"/>
                <w:sz w:val="21"/>
                <w:szCs w:val="21"/>
                <w:u w:val="none"/>
              </w:rPr>
              <w:t>。</w:t>
            </w:r>
          </w:p>
        </w:tc>
      </w:tr>
      <w:tr w14:paraId="26214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717" w:type="dxa"/>
            <w:noWrap w:val="0"/>
            <w:vAlign w:val="center"/>
          </w:tcPr>
          <w:p w14:paraId="1FD49E6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15" w:type="dxa"/>
            <w:noWrap w:val="0"/>
            <w:vAlign w:val="center"/>
          </w:tcPr>
          <w:p w14:paraId="5F343F1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6859" w:type="dxa"/>
            <w:noWrap w:val="0"/>
            <w:vAlign w:val="center"/>
          </w:tcPr>
          <w:p w14:paraId="5DE0C9A8">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地下水环境风险评价范围与地下水调查范围相同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为项目周边500m范围内。</w:t>
            </w:r>
          </w:p>
        </w:tc>
      </w:tr>
    </w:tbl>
    <w:p w14:paraId="7278E29A">
      <w:pPr>
        <w:pStyle w:val="3"/>
        <w:numPr>
          <w:ilvl w:val="1"/>
          <w:numId w:val="9"/>
        </w:numPr>
        <w:spacing w:before="210" w:after="210" w:line="500" w:lineRule="exact"/>
        <w:ind w:left="567" w:leftChars="0" w:hanging="567" w:firstLineChars="0"/>
        <w:rPr>
          <w:rFonts w:hint="default" w:ascii="Times New Roman" w:hAnsi="Times New Roman" w:eastAsia="宋体" w:cs="Times New Roman"/>
          <w:b/>
          <w:bCs w:val="0"/>
          <w:color w:val="000000"/>
          <w:sz w:val="28"/>
          <w:szCs w:val="22"/>
          <w:lang w:val="zh-CN" w:eastAsia="zh-CN"/>
        </w:rPr>
      </w:pPr>
      <w:bookmarkStart w:id="64" w:name="_Toc118498235"/>
      <w:bookmarkStart w:id="65" w:name="_Toc4451"/>
      <w:bookmarkStart w:id="66" w:name="_Toc118905223"/>
      <w:bookmarkStart w:id="67" w:name="_Toc3066"/>
      <w:bookmarkStart w:id="68" w:name="_Toc7383"/>
      <w:bookmarkStart w:id="69" w:name="_Toc27257"/>
      <w:bookmarkStart w:id="70" w:name="_Toc31328"/>
      <w:r>
        <w:rPr>
          <w:rFonts w:hint="default" w:ascii="Times New Roman" w:hAnsi="Times New Roman" w:eastAsia="宋体" w:cs="Times New Roman"/>
          <w:b/>
          <w:bCs w:val="0"/>
          <w:color w:val="000000"/>
          <w:sz w:val="28"/>
          <w:szCs w:val="22"/>
          <w:lang w:val="zh-CN" w:eastAsia="zh-CN"/>
        </w:rPr>
        <w:t>环境风险源识别</w:t>
      </w:r>
      <w:bookmarkEnd w:id="64"/>
      <w:bookmarkEnd w:id="65"/>
      <w:bookmarkEnd w:id="66"/>
      <w:bookmarkEnd w:id="67"/>
      <w:bookmarkEnd w:id="68"/>
      <w:bookmarkEnd w:id="69"/>
      <w:bookmarkEnd w:id="70"/>
    </w:p>
    <w:p w14:paraId="21A58842">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zh-CN" w:eastAsia="zh-CN"/>
        </w:rPr>
      </w:pPr>
      <w:r>
        <w:rPr>
          <w:rFonts w:hint="default" w:ascii="Times New Roman" w:hAnsi="Times New Roman" w:eastAsia="宋体" w:cs="Times New Roman"/>
          <w:b/>
          <w:bCs/>
          <w:color w:val="000000"/>
          <w:kern w:val="0"/>
          <w:sz w:val="24"/>
          <w:szCs w:val="24"/>
          <w:lang w:val="zh-CN" w:eastAsia="zh-CN"/>
        </w:rPr>
        <w:t>风险识别内容</w:t>
      </w:r>
    </w:p>
    <w:p w14:paraId="0B0CCD9C">
      <w:pPr>
        <w:pStyle w:val="6"/>
        <w:spacing w:line="500" w:lineRule="exact"/>
        <w:ind w:left="0" w:leftChars="0" w:firstLine="0" w:firstLineChars="0"/>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1.5.1.1物质危险性识别</w:t>
      </w:r>
    </w:p>
    <w:p w14:paraId="397AD7D6">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危险物质安全技术说明见表1-1</w:t>
      </w:r>
      <w:r>
        <w:rPr>
          <w:rFonts w:hint="eastAsia" w:cs="Times New Roman"/>
          <w:color w:val="000000"/>
          <w:spacing w:val="10"/>
          <w:sz w:val="24"/>
          <w:szCs w:val="32"/>
          <w:lang w:val="en-US" w:eastAsia="zh-CN"/>
        </w:rPr>
        <w:t>9</w:t>
      </w:r>
      <w:r>
        <w:rPr>
          <w:rFonts w:hint="default" w:ascii="Times New Roman" w:hAnsi="Times New Roman" w:eastAsia="宋体" w:cs="Times New Roman"/>
          <w:color w:val="000000"/>
          <w:spacing w:val="10"/>
          <w:sz w:val="24"/>
          <w:szCs w:val="32"/>
          <w:lang w:val="en-US" w:eastAsia="zh-CN"/>
        </w:rPr>
        <w:t>。</w:t>
      </w:r>
    </w:p>
    <w:p w14:paraId="46DED91F">
      <w:pPr>
        <w:pStyle w:val="4"/>
        <w:numPr>
          <w:ilvl w:val="3"/>
          <w:numId w:val="10"/>
        </w:numPr>
        <w:tabs>
          <w:tab w:val="left" w:pos="1358"/>
          <w:tab w:val="left" w:pos="2153"/>
          <w:tab w:val="left" w:pos="2183"/>
        </w:tabs>
        <w:spacing w:before="13"/>
        <w:ind w:left="1358"/>
        <w:rPr>
          <w:rFonts w:hint="default" w:ascii="Times New Roman" w:hAnsi="Times New Roman" w:eastAsia="宋体" w:cs="Times New Roman"/>
          <w:color w:val="auto"/>
        </w:rPr>
      </w:pPr>
      <w:bookmarkStart w:id="71" w:name="_Toc1904"/>
      <w:bookmarkStart w:id="72" w:name="_Toc1895"/>
      <w:r>
        <w:rPr>
          <w:rFonts w:hint="default" w:ascii="Times New Roman" w:hAnsi="Times New Roman" w:eastAsia="宋体" w:cs="Times New Roman"/>
          <w:color w:val="auto"/>
        </w:rPr>
        <w:t>主要</w:t>
      </w:r>
      <w:r>
        <w:rPr>
          <w:rFonts w:hint="default" w:ascii="Times New Roman" w:hAnsi="Times New Roman" w:eastAsia="宋体" w:cs="Times New Roman"/>
          <w:color w:val="auto"/>
          <w:lang w:val="en-US" w:eastAsia="zh-CN"/>
        </w:rPr>
        <w:t>危险物质</w:t>
      </w:r>
      <w:r>
        <w:rPr>
          <w:rFonts w:hint="default" w:ascii="Times New Roman" w:hAnsi="Times New Roman" w:eastAsia="宋体" w:cs="Times New Roman"/>
          <w:color w:val="auto"/>
        </w:rPr>
        <w:t>危险性一览表</w:t>
      </w:r>
      <w:bookmarkEnd w:id="71"/>
    </w:p>
    <w:tbl>
      <w:tblPr>
        <w:tblStyle w:val="19"/>
        <w:tblW w:w="89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5"/>
        <w:gridCol w:w="750"/>
        <w:gridCol w:w="1263"/>
        <w:gridCol w:w="953"/>
        <w:gridCol w:w="1530"/>
        <w:gridCol w:w="1785"/>
        <w:gridCol w:w="1140"/>
        <w:gridCol w:w="1110"/>
      </w:tblGrid>
      <w:tr w14:paraId="445A4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trPr>
        <w:tc>
          <w:tcPr>
            <w:tcW w:w="455" w:type="dxa"/>
            <w:vMerge w:val="restart"/>
            <w:noWrap w:val="0"/>
            <w:vAlign w:val="center"/>
          </w:tcPr>
          <w:p w14:paraId="63A4956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50" w:type="dxa"/>
            <w:vMerge w:val="restart"/>
            <w:noWrap w:val="0"/>
            <w:vAlign w:val="center"/>
          </w:tcPr>
          <w:p w14:paraId="31FB6AF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危险物质名称</w:t>
            </w:r>
          </w:p>
        </w:tc>
        <w:tc>
          <w:tcPr>
            <w:tcW w:w="1263" w:type="dxa"/>
            <w:vMerge w:val="restart"/>
            <w:noWrap w:val="0"/>
            <w:vAlign w:val="center"/>
          </w:tcPr>
          <w:p w14:paraId="0CED2EF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分布位置</w:t>
            </w:r>
          </w:p>
        </w:tc>
        <w:tc>
          <w:tcPr>
            <w:tcW w:w="953" w:type="dxa"/>
            <w:vMerge w:val="restart"/>
            <w:noWrap w:val="0"/>
            <w:vAlign w:val="center"/>
          </w:tcPr>
          <w:p w14:paraId="627D56F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CAS号</w:t>
            </w:r>
          </w:p>
        </w:tc>
        <w:tc>
          <w:tcPr>
            <w:tcW w:w="1530" w:type="dxa"/>
            <w:vMerge w:val="restart"/>
            <w:noWrap w:val="0"/>
            <w:vAlign w:val="center"/>
          </w:tcPr>
          <w:p w14:paraId="60845FD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危险性类别</w:t>
            </w:r>
          </w:p>
        </w:tc>
        <w:tc>
          <w:tcPr>
            <w:tcW w:w="1785" w:type="dxa"/>
            <w:vMerge w:val="restart"/>
            <w:noWrap w:val="0"/>
            <w:vAlign w:val="center"/>
          </w:tcPr>
          <w:p w14:paraId="35F3EE6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毒性</w:t>
            </w:r>
          </w:p>
        </w:tc>
        <w:tc>
          <w:tcPr>
            <w:tcW w:w="1140" w:type="dxa"/>
            <w:vMerge w:val="restart"/>
            <w:noWrap w:val="0"/>
            <w:vAlign w:val="center"/>
          </w:tcPr>
          <w:p w14:paraId="36C335F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大气毒性终点浓度-1（mg/m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110" w:type="dxa"/>
            <w:vMerge w:val="restart"/>
            <w:noWrap w:val="0"/>
            <w:vAlign w:val="center"/>
          </w:tcPr>
          <w:p w14:paraId="6F0E649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大气毒性终点浓度-2（mg/m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14:paraId="6D696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trPr>
        <w:tc>
          <w:tcPr>
            <w:tcW w:w="455" w:type="dxa"/>
            <w:vMerge w:val="continue"/>
            <w:tcBorders>
              <w:top w:val="nil"/>
            </w:tcBorders>
            <w:noWrap w:val="0"/>
            <w:vAlign w:val="center"/>
          </w:tcPr>
          <w:p w14:paraId="076A2A77">
            <w:pPr>
              <w:adjustRightInd w:val="0"/>
              <w:snapToGrid w:val="0"/>
              <w:jc w:val="center"/>
              <w:rPr>
                <w:rFonts w:hint="default" w:ascii="Times New Roman" w:hAnsi="Times New Roman" w:eastAsia="宋体" w:cs="Times New Roman"/>
                <w:color w:val="auto"/>
                <w:sz w:val="21"/>
                <w:szCs w:val="21"/>
              </w:rPr>
            </w:pPr>
          </w:p>
        </w:tc>
        <w:tc>
          <w:tcPr>
            <w:tcW w:w="750" w:type="dxa"/>
            <w:vMerge w:val="continue"/>
            <w:tcBorders>
              <w:top w:val="nil"/>
            </w:tcBorders>
            <w:noWrap w:val="0"/>
            <w:vAlign w:val="center"/>
          </w:tcPr>
          <w:p w14:paraId="57A27EB3">
            <w:pPr>
              <w:adjustRightInd w:val="0"/>
              <w:snapToGrid w:val="0"/>
              <w:jc w:val="center"/>
              <w:rPr>
                <w:rFonts w:hint="default" w:ascii="Times New Roman" w:hAnsi="Times New Roman" w:eastAsia="宋体" w:cs="Times New Roman"/>
                <w:color w:val="auto"/>
                <w:sz w:val="21"/>
                <w:szCs w:val="21"/>
              </w:rPr>
            </w:pPr>
          </w:p>
        </w:tc>
        <w:tc>
          <w:tcPr>
            <w:tcW w:w="1263" w:type="dxa"/>
            <w:vMerge w:val="continue"/>
            <w:tcBorders>
              <w:top w:val="nil"/>
            </w:tcBorders>
            <w:noWrap w:val="0"/>
            <w:vAlign w:val="center"/>
          </w:tcPr>
          <w:p w14:paraId="14953BE4">
            <w:pPr>
              <w:adjustRightInd w:val="0"/>
              <w:snapToGrid w:val="0"/>
              <w:jc w:val="center"/>
              <w:rPr>
                <w:rFonts w:hint="default" w:ascii="Times New Roman" w:hAnsi="Times New Roman" w:eastAsia="宋体" w:cs="Times New Roman"/>
                <w:color w:val="auto"/>
                <w:sz w:val="21"/>
                <w:szCs w:val="21"/>
              </w:rPr>
            </w:pPr>
          </w:p>
        </w:tc>
        <w:tc>
          <w:tcPr>
            <w:tcW w:w="953" w:type="dxa"/>
            <w:vMerge w:val="continue"/>
            <w:tcBorders>
              <w:top w:val="nil"/>
            </w:tcBorders>
            <w:noWrap w:val="0"/>
            <w:vAlign w:val="center"/>
          </w:tcPr>
          <w:p w14:paraId="7A69D81A">
            <w:pPr>
              <w:adjustRightInd w:val="0"/>
              <w:snapToGrid w:val="0"/>
              <w:jc w:val="center"/>
              <w:rPr>
                <w:rFonts w:hint="default" w:ascii="Times New Roman" w:hAnsi="Times New Roman" w:eastAsia="宋体" w:cs="Times New Roman"/>
                <w:color w:val="auto"/>
                <w:sz w:val="21"/>
                <w:szCs w:val="21"/>
              </w:rPr>
            </w:pPr>
          </w:p>
        </w:tc>
        <w:tc>
          <w:tcPr>
            <w:tcW w:w="1530" w:type="dxa"/>
            <w:vMerge w:val="continue"/>
            <w:noWrap w:val="0"/>
            <w:vAlign w:val="center"/>
          </w:tcPr>
          <w:p w14:paraId="0C9DECF2">
            <w:pPr>
              <w:adjustRightInd w:val="0"/>
              <w:snapToGrid w:val="0"/>
              <w:jc w:val="center"/>
              <w:rPr>
                <w:rFonts w:hint="default" w:ascii="Times New Roman" w:hAnsi="Times New Roman" w:eastAsia="宋体" w:cs="Times New Roman"/>
                <w:color w:val="auto"/>
                <w:sz w:val="21"/>
                <w:szCs w:val="21"/>
              </w:rPr>
            </w:pPr>
          </w:p>
        </w:tc>
        <w:tc>
          <w:tcPr>
            <w:tcW w:w="1785" w:type="dxa"/>
            <w:vMerge w:val="continue"/>
            <w:noWrap w:val="0"/>
            <w:vAlign w:val="center"/>
          </w:tcPr>
          <w:p w14:paraId="72BC8626">
            <w:pPr>
              <w:adjustRightInd w:val="0"/>
              <w:snapToGrid w:val="0"/>
              <w:jc w:val="center"/>
              <w:rPr>
                <w:rFonts w:hint="default" w:ascii="Times New Roman" w:hAnsi="Times New Roman" w:eastAsia="宋体" w:cs="Times New Roman"/>
                <w:color w:val="auto"/>
                <w:sz w:val="21"/>
                <w:szCs w:val="21"/>
              </w:rPr>
            </w:pPr>
          </w:p>
        </w:tc>
        <w:tc>
          <w:tcPr>
            <w:tcW w:w="1140" w:type="dxa"/>
            <w:vMerge w:val="continue"/>
            <w:noWrap w:val="0"/>
            <w:vAlign w:val="center"/>
          </w:tcPr>
          <w:p w14:paraId="602EDD18">
            <w:pPr>
              <w:adjustRightInd w:val="0"/>
              <w:snapToGrid w:val="0"/>
              <w:jc w:val="center"/>
              <w:rPr>
                <w:rFonts w:hint="default" w:ascii="Times New Roman" w:hAnsi="Times New Roman" w:eastAsia="宋体" w:cs="Times New Roman"/>
                <w:color w:val="0000FF"/>
                <w:sz w:val="21"/>
                <w:szCs w:val="21"/>
              </w:rPr>
            </w:pPr>
          </w:p>
        </w:tc>
        <w:tc>
          <w:tcPr>
            <w:tcW w:w="1110" w:type="dxa"/>
            <w:vMerge w:val="continue"/>
            <w:noWrap w:val="0"/>
            <w:vAlign w:val="center"/>
          </w:tcPr>
          <w:p w14:paraId="2B269843">
            <w:pPr>
              <w:adjustRightInd w:val="0"/>
              <w:snapToGrid w:val="0"/>
              <w:jc w:val="center"/>
              <w:rPr>
                <w:rFonts w:hint="default" w:ascii="Times New Roman" w:hAnsi="Times New Roman" w:eastAsia="宋体" w:cs="Times New Roman"/>
                <w:color w:val="0000FF"/>
                <w:sz w:val="21"/>
                <w:szCs w:val="21"/>
              </w:rPr>
            </w:pPr>
          </w:p>
        </w:tc>
      </w:tr>
      <w:tr w14:paraId="1C65F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455" w:type="dxa"/>
            <w:noWrap w:val="0"/>
            <w:vAlign w:val="center"/>
          </w:tcPr>
          <w:p w14:paraId="72F55284">
            <w:pPr>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c>
          <w:tcPr>
            <w:tcW w:w="750" w:type="dxa"/>
            <w:noWrap w:val="0"/>
            <w:vAlign w:val="center"/>
          </w:tcPr>
          <w:p w14:paraId="77065C7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磷酸</w:t>
            </w:r>
          </w:p>
        </w:tc>
        <w:tc>
          <w:tcPr>
            <w:tcW w:w="1263" w:type="dxa"/>
            <w:noWrap w:val="0"/>
            <w:vAlign w:val="center"/>
          </w:tcPr>
          <w:p w14:paraId="29E37DEC">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u w:val="none"/>
                <w:vertAlign w:val="baseline"/>
                <w:lang w:val="en-US" w:eastAsia="zh-CN"/>
              </w:rPr>
              <w:t>2号仓库隔间A、B、C、D；4号仓库隔间B；5号仓库隔间B</w:t>
            </w:r>
          </w:p>
        </w:tc>
        <w:tc>
          <w:tcPr>
            <w:tcW w:w="953" w:type="dxa"/>
            <w:noWrap w:val="0"/>
            <w:vAlign w:val="center"/>
          </w:tcPr>
          <w:p w14:paraId="65C2A67A">
            <w:pPr>
              <w:adjustRightInd w:val="0"/>
              <w:snapToGrid w:val="0"/>
              <w:jc w:val="center"/>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7664-38-2</w:t>
            </w:r>
          </w:p>
        </w:tc>
        <w:tc>
          <w:tcPr>
            <w:tcW w:w="1530" w:type="dxa"/>
            <w:noWrap w:val="0"/>
            <w:vAlign w:val="center"/>
          </w:tcPr>
          <w:p w14:paraId="3F85E23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第8.1类</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酸性腐蚀品</w:t>
            </w:r>
          </w:p>
        </w:tc>
        <w:tc>
          <w:tcPr>
            <w:tcW w:w="1785" w:type="dxa"/>
            <w:noWrap w:val="0"/>
            <w:vAlign w:val="center"/>
          </w:tcPr>
          <w:p w14:paraId="42110067">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LD50：1530mg/k</w:t>
            </w:r>
            <w:r>
              <w:rPr>
                <w:rFonts w:hint="eastAsia" w:cs="Times New Roman"/>
                <w:color w:val="auto"/>
                <w:sz w:val="21"/>
                <w:szCs w:val="21"/>
                <w:lang w:val="en-US" w:eastAsia="zh-CN"/>
              </w:rPr>
              <w:t>g</w:t>
            </w:r>
            <w:r>
              <w:rPr>
                <w:rFonts w:hint="default" w:ascii="Times New Roman" w:hAnsi="Times New Roman" w:eastAsia="宋体" w:cs="Times New Roman"/>
                <w:color w:val="auto"/>
                <w:sz w:val="21"/>
                <w:szCs w:val="21"/>
                <w:lang w:val="en-US" w:eastAsia="zh-CN"/>
              </w:rPr>
              <w:t>（大鼠口径）；2740mg/k</w:t>
            </w:r>
            <w:r>
              <w:rPr>
                <w:rFonts w:hint="eastAsia" w:cs="Times New Roman"/>
                <w:color w:val="auto"/>
                <w:sz w:val="21"/>
                <w:szCs w:val="21"/>
                <w:lang w:val="en-US" w:eastAsia="zh-CN"/>
              </w:rPr>
              <w:t>g</w:t>
            </w:r>
            <w:r>
              <w:rPr>
                <w:rFonts w:hint="default" w:ascii="Times New Roman" w:hAnsi="Times New Roman" w:eastAsia="宋体" w:cs="Times New Roman"/>
                <w:color w:val="auto"/>
                <w:sz w:val="21"/>
                <w:szCs w:val="21"/>
                <w:lang w:val="en-US" w:eastAsia="zh-CN"/>
              </w:rPr>
              <w:t>（免经皮）；LC50</w:t>
            </w:r>
            <w:r>
              <w:rPr>
                <w:rFonts w:hint="default" w:ascii="Times New Roman" w:hAnsi="Times New Roman" w:eastAsia="宋体" w:cs="Times New Roman"/>
                <w:color w:val="auto"/>
                <w:sz w:val="21"/>
                <w:szCs w:val="21"/>
                <w:highlight w:val="none"/>
                <w:lang w:val="en-US" w:eastAsia="zh-CN"/>
              </w:rPr>
              <w:t>：/</w:t>
            </w:r>
          </w:p>
        </w:tc>
        <w:tc>
          <w:tcPr>
            <w:tcW w:w="1140" w:type="dxa"/>
            <w:noWrap w:val="0"/>
            <w:vAlign w:val="center"/>
          </w:tcPr>
          <w:p w14:paraId="2C2CFB8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1110" w:type="dxa"/>
            <w:noWrap w:val="0"/>
            <w:vAlign w:val="center"/>
          </w:tcPr>
          <w:p w14:paraId="28D7665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r>
      <w:tr w14:paraId="15F3E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455" w:type="dxa"/>
            <w:noWrap w:val="0"/>
            <w:vAlign w:val="center"/>
          </w:tcPr>
          <w:p w14:paraId="20444B27">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750" w:type="dxa"/>
            <w:noWrap w:val="0"/>
            <w:vAlign w:val="center"/>
          </w:tcPr>
          <w:p w14:paraId="235127E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盐酸</w:t>
            </w:r>
          </w:p>
        </w:tc>
        <w:tc>
          <w:tcPr>
            <w:tcW w:w="1263" w:type="dxa"/>
            <w:noWrap w:val="0"/>
            <w:vAlign w:val="center"/>
          </w:tcPr>
          <w:p w14:paraId="7C58650E">
            <w:pPr>
              <w:adjustRightInd w:val="0"/>
              <w:snapToGrid w:val="0"/>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2号仓库隔间A、B、C、D；4号仓库隔间B；5号仓库隔间B</w:t>
            </w:r>
          </w:p>
        </w:tc>
        <w:tc>
          <w:tcPr>
            <w:tcW w:w="953" w:type="dxa"/>
            <w:noWrap w:val="0"/>
            <w:vAlign w:val="center"/>
          </w:tcPr>
          <w:p w14:paraId="0A566575">
            <w:pPr>
              <w:adjustRightInd w:val="0"/>
              <w:snapToGrid w:val="0"/>
              <w:jc w:val="center"/>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7647-01-0</w:t>
            </w:r>
          </w:p>
        </w:tc>
        <w:tc>
          <w:tcPr>
            <w:tcW w:w="1530" w:type="dxa"/>
            <w:noWrap w:val="0"/>
            <w:vAlign w:val="center"/>
          </w:tcPr>
          <w:p w14:paraId="0509FD7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第8.1类</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酸性腐蚀品</w:t>
            </w:r>
          </w:p>
        </w:tc>
        <w:tc>
          <w:tcPr>
            <w:tcW w:w="1785" w:type="dxa"/>
            <w:noWrap w:val="0"/>
            <w:vAlign w:val="center"/>
          </w:tcPr>
          <w:p w14:paraId="7973F7E0">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LD50：900mg/kg</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兔经口</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LC50：3124ppm 1小时</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大鼠吸入</w:t>
            </w:r>
            <w:r>
              <w:rPr>
                <w:rFonts w:hint="eastAsia" w:cs="Times New Roman"/>
                <w:color w:val="auto"/>
                <w:sz w:val="21"/>
                <w:szCs w:val="21"/>
                <w:lang w:val="en-US" w:eastAsia="zh-CN"/>
              </w:rPr>
              <w:t>）</w:t>
            </w:r>
          </w:p>
        </w:tc>
        <w:tc>
          <w:tcPr>
            <w:tcW w:w="1140" w:type="dxa"/>
            <w:noWrap w:val="0"/>
            <w:vAlign w:val="center"/>
          </w:tcPr>
          <w:p w14:paraId="05640A57">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110" w:type="dxa"/>
            <w:noWrap w:val="0"/>
            <w:vAlign w:val="center"/>
          </w:tcPr>
          <w:p w14:paraId="17580753">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3BAE1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455" w:type="dxa"/>
            <w:noWrap w:val="0"/>
            <w:vAlign w:val="center"/>
          </w:tcPr>
          <w:p w14:paraId="40BD43FF">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750" w:type="dxa"/>
            <w:noWrap w:val="0"/>
            <w:vAlign w:val="center"/>
          </w:tcPr>
          <w:p w14:paraId="4DC90D78">
            <w:pPr>
              <w:spacing w:line="240" w:lineRule="exact"/>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硫酸镍</w:t>
            </w:r>
          </w:p>
        </w:tc>
        <w:tc>
          <w:tcPr>
            <w:tcW w:w="1263" w:type="dxa"/>
            <w:noWrap w:val="0"/>
            <w:vAlign w:val="center"/>
          </w:tcPr>
          <w:p w14:paraId="3F2FD36D">
            <w:pPr>
              <w:adjustRightInd w:val="0"/>
              <w:snapToGrid w:val="0"/>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2号仓库隔间A、B、C、D；4号仓库隔间C；5号仓库隔间C</w:t>
            </w:r>
          </w:p>
        </w:tc>
        <w:tc>
          <w:tcPr>
            <w:tcW w:w="953" w:type="dxa"/>
            <w:noWrap w:val="0"/>
            <w:vAlign w:val="center"/>
          </w:tcPr>
          <w:p w14:paraId="0B0085F2">
            <w:pPr>
              <w:adjustRightInd w:val="0"/>
              <w:snapToGrid w:val="0"/>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7785-81-4</w:t>
            </w:r>
          </w:p>
        </w:tc>
        <w:tc>
          <w:tcPr>
            <w:tcW w:w="1530" w:type="dxa"/>
            <w:noWrap w:val="0"/>
            <w:vAlign w:val="center"/>
          </w:tcPr>
          <w:p w14:paraId="437AD4EC">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第6．1类 毒害品</w:t>
            </w:r>
          </w:p>
        </w:tc>
        <w:tc>
          <w:tcPr>
            <w:tcW w:w="1785" w:type="dxa"/>
            <w:noWrap w:val="0"/>
            <w:vAlign w:val="center"/>
          </w:tcPr>
          <w:p w14:paraId="74EDDDE6">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LD50：</w:t>
            </w:r>
            <w:r>
              <w:rPr>
                <w:rFonts w:hint="eastAsia" w:ascii="Times New Roman" w:hAnsi="Times New Roman" w:eastAsia="宋体" w:cs="Times New Roman"/>
                <w:color w:val="auto"/>
                <w:sz w:val="21"/>
                <w:szCs w:val="21"/>
                <w:lang w:val="en-US" w:eastAsia="zh-CN"/>
              </w:rPr>
              <w:t>275</w:t>
            </w:r>
            <w:r>
              <w:rPr>
                <w:rFonts w:hint="default" w:ascii="Times New Roman" w:hAnsi="Times New Roman" w:eastAsia="宋体" w:cs="Times New Roman"/>
                <w:color w:val="auto"/>
                <w:sz w:val="21"/>
                <w:szCs w:val="21"/>
                <w:lang w:val="en-US" w:eastAsia="zh-CN"/>
              </w:rPr>
              <w:t>mg/k</w:t>
            </w:r>
            <w:r>
              <w:rPr>
                <w:rFonts w:hint="eastAsia" w:cs="Times New Roman"/>
                <w:color w:val="auto"/>
                <w:sz w:val="21"/>
                <w:szCs w:val="21"/>
                <w:lang w:val="en-US" w:eastAsia="zh-CN"/>
              </w:rPr>
              <w:t>g</w:t>
            </w:r>
            <w:r>
              <w:rPr>
                <w:rFonts w:hint="default" w:ascii="Times New Roman" w:hAnsi="Times New Roman" w:eastAsia="宋体" w:cs="Times New Roman"/>
                <w:color w:val="auto"/>
                <w:sz w:val="21"/>
                <w:szCs w:val="21"/>
                <w:lang w:val="en-US" w:eastAsia="zh-CN"/>
              </w:rPr>
              <w:t>（大鼠口径）；</w:t>
            </w:r>
            <w:r>
              <w:rPr>
                <w:rFonts w:hint="eastAsia" w:cs="Times New Roman"/>
                <w:color w:val="auto"/>
                <w:sz w:val="21"/>
                <w:szCs w:val="21"/>
                <w:lang w:val="en-US" w:eastAsia="zh-CN"/>
              </w:rPr>
              <w:t>LC50：/</w:t>
            </w:r>
          </w:p>
        </w:tc>
        <w:tc>
          <w:tcPr>
            <w:tcW w:w="1140" w:type="dxa"/>
            <w:noWrap w:val="0"/>
            <w:vAlign w:val="center"/>
          </w:tcPr>
          <w:p w14:paraId="1D5C40B9">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w:t>
            </w:r>
          </w:p>
        </w:tc>
        <w:tc>
          <w:tcPr>
            <w:tcW w:w="1110" w:type="dxa"/>
            <w:noWrap w:val="0"/>
            <w:vAlign w:val="center"/>
          </w:tcPr>
          <w:p w14:paraId="1AA68813">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8.6</w:t>
            </w:r>
          </w:p>
        </w:tc>
      </w:tr>
      <w:tr w14:paraId="62712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455" w:type="dxa"/>
            <w:noWrap w:val="0"/>
            <w:vAlign w:val="center"/>
          </w:tcPr>
          <w:p w14:paraId="193577B8">
            <w:pPr>
              <w:spacing w:line="240" w:lineRule="exact"/>
              <w:jc w:val="center"/>
              <w:rPr>
                <w:rFonts w:hint="eastAsia" w:cs="Times New Roman"/>
                <w:color w:val="auto"/>
                <w:sz w:val="21"/>
                <w:szCs w:val="21"/>
                <w:u w:val="single"/>
                <w:lang w:val="en-US" w:eastAsia="zh-CN"/>
              </w:rPr>
            </w:pPr>
            <w:r>
              <w:rPr>
                <w:rFonts w:hint="eastAsia" w:cs="Times New Roman"/>
                <w:color w:val="auto"/>
                <w:kern w:val="28"/>
                <w:szCs w:val="21"/>
                <w:u w:val="single"/>
                <w:lang w:val="en-US" w:eastAsia="zh-CN"/>
              </w:rPr>
              <w:t>4</w:t>
            </w:r>
          </w:p>
        </w:tc>
        <w:tc>
          <w:tcPr>
            <w:tcW w:w="750" w:type="dxa"/>
            <w:noWrap w:val="0"/>
            <w:vAlign w:val="center"/>
          </w:tcPr>
          <w:p w14:paraId="6368A700">
            <w:pPr>
              <w:adjustRightInd w:val="0"/>
              <w:snapToGrid w:val="0"/>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氢氧化锂</w:t>
            </w:r>
          </w:p>
        </w:tc>
        <w:tc>
          <w:tcPr>
            <w:tcW w:w="1263" w:type="dxa"/>
            <w:noWrap w:val="0"/>
            <w:vAlign w:val="center"/>
          </w:tcPr>
          <w:p w14:paraId="3C936592">
            <w:pPr>
              <w:adjustRightInd w:val="0"/>
              <w:snapToGrid w:val="0"/>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B、C、D；4号仓库隔间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A</w:t>
            </w:r>
          </w:p>
        </w:tc>
        <w:tc>
          <w:tcPr>
            <w:tcW w:w="953" w:type="dxa"/>
            <w:noWrap w:val="0"/>
            <w:vAlign w:val="center"/>
          </w:tcPr>
          <w:p w14:paraId="7109DDC3">
            <w:pPr>
              <w:adjustRightInd w:val="0"/>
              <w:snapToGrid w:val="0"/>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1310-65-2</w:t>
            </w:r>
          </w:p>
        </w:tc>
        <w:tc>
          <w:tcPr>
            <w:tcW w:w="1530" w:type="dxa"/>
            <w:noWrap w:val="0"/>
            <w:vAlign w:val="center"/>
          </w:tcPr>
          <w:p w14:paraId="4D648790">
            <w:pPr>
              <w:spacing w:line="240" w:lineRule="exact"/>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第8.2类碱性腐蚀品</w:t>
            </w:r>
          </w:p>
        </w:tc>
        <w:tc>
          <w:tcPr>
            <w:tcW w:w="1785" w:type="dxa"/>
            <w:noWrap w:val="0"/>
            <w:vAlign w:val="center"/>
          </w:tcPr>
          <w:p w14:paraId="2AEEB672">
            <w:pPr>
              <w:adjustRightInd w:val="0"/>
              <w:snapToGrid w:val="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LD50：</w:t>
            </w:r>
            <w:r>
              <w:rPr>
                <w:rFonts w:hint="eastAsia"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w:t>
            </w:r>
            <w:r>
              <w:rPr>
                <w:rFonts w:hint="eastAsia" w:cs="Times New Roman"/>
                <w:color w:val="auto"/>
                <w:sz w:val="21"/>
                <w:szCs w:val="21"/>
                <w:u w:val="single"/>
                <w:lang w:val="en-US" w:eastAsia="zh-CN"/>
              </w:rPr>
              <w:t>LC50：/</w:t>
            </w:r>
          </w:p>
        </w:tc>
        <w:tc>
          <w:tcPr>
            <w:tcW w:w="1140" w:type="dxa"/>
            <w:noWrap w:val="0"/>
            <w:vAlign w:val="center"/>
          </w:tcPr>
          <w:p w14:paraId="3F17DD16">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c>
          <w:tcPr>
            <w:tcW w:w="1110" w:type="dxa"/>
            <w:noWrap w:val="0"/>
            <w:vAlign w:val="center"/>
          </w:tcPr>
          <w:p w14:paraId="107BC74A">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r>
      <w:tr w14:paraId="6F163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455" w:type="dxa"/>
            <w:noWrap w:val="0"/>
            <w:vAlign w:val="center"/>
          </w:tcPr>
          <w:p w14:paraId="43354540">
            <w:pPr>
              <w:spacing w:line="240" w:lineRule="exact"/>
              <w:jc w:val="center"/>
              <w:rPr>
                <w:rFonts w:hint="eastAsia" w:cs="Times New Roman"/>
                <w:color w:val="auto"/>
                <w:sz w:val="21"/>
                <w:szCs w:val="21"/>
                <w:u w:val="single"/>
                <w:lang w:val="en-US" w:eastAsia="zh-CN"/>
              </w:rPr>
            </w:pPr>
            <w:r>
              <w:rPr>
                <w:rFonts w:hint="eastAsia" w:cs="Times New Roman"/>
                <w:color w:val="auto"/>
                <w:kern w:val="28"/>
                <w:szCs w:val="21"/>
                <w:u w:val="single"/>
                <w:lang w:val="en-US" w:eastAsia="zh-CN"/>
              </w:rPr>
              <w:t>5</w:t>
            </w:r>
          </w:p>
        </w:tc>
        <w:tc>
          <w:tcPr>
            <w:tcW w:w="750" w:type="dxa"/>
            <w:noWrap w:val="0"/>
            <w:vAlign w:val="center"/>
          </w:tcPr>
          <w:p w14:paraId="24A7FFCB">
            <w:pPr>
              <w:adjustRightInd w:val="0"/>
              <w:snapToGrid w:val="0"/>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氟硅酸钠</w:t>
            </w:r>
          </w:p>
        </w:tc>
        <w:tc>
          <w:tcPr>
            <w:tcW w:w="1263" w:type="dxa"/>
            <w:noWrap w:val="0"/>
            <w:vAlign w:val="center"/>
          </w:tcPr>
          <w:p w14:paraId="44679E28">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w:t>
            </w:r>
            <w:r>
              <w:rPr>
                <w:rFonts w:hint="eastAsia" w:cs="Times New Roman"/>
                <w:color w:val="auto"/>
                <w:kern w:val="0"/>
                <w:sz w:val="21"/>
                <w:szCs w:val="21"/>
                <w:u w:val="single"/>
                <w:vertAlign w:val="baseline"/>
                <w:lang w:val="en-US" w:eastAsia="zh-CN"/>
              </w:rPr>
              <w:t>E</w:t>
            </w:r>
            <w:r>
              <w:rPr>
                <w:rFonts w:hint="eastAsia" w:ascii="Times New Roman" w:hAnsi="Times New Roman" w:eastAsia="宋体" w:cs="Times New Roman"/>
                <w:color w:val="auto"/>
                <w:kern w:val="0"/>
                <w:sz w:val="21"/>
                <w:szCs w:val="21"/>
                <w:u w:val="single"/>
                <w:vertAlign w:val="baseline"/>
                <w:lang w:val="en-US" w:eastAsia="zh-CN"/>
              </w:rPr>
              <w:t>；4号仓库隔间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953" w:type="dxa"/>
            <w:noWrap w:val="0"/>
            <w:vAlign w:val="center"/>
          </w:tcPr>
          <w:p w14:paraId="7F06C1C2">
            <w:pPr>
              <w:adjustRightInd w:val="0"/>
              <w:snapToGrid w:val="0"/>
              <w:spacing w:line="240" w:lineRule="auto"/>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16893-85-9</w:t>
            </w:r>
          </w:p>
        </w:tc>
        <w:tc>
          <w:tcPr>
            <w:tcW w:w="1530" w:type="dxa"/>
            <w:noWrap w:val="0"/>
            <w:vAlign w:val="center"/>
          </w:tcPr>
          <w:p w14:paraId="566FF59B">
            <w:pPr>
              <w:spacing w:line="240" w:lineRule="exact"/>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第6．1类 毒害品</w:t>
            </w:r>
          </w:p>
        </w:tc>
        <w:tc>
          <w:tcPr>
            <w:tcW w:w="1785" w:type="dxa"/>
            <w:noWrap w:val="0"/>
            <w:vAlign w:val="center"/>
          </w:tcPr>
          <w:p w14:paraId="269C127E">
            <w:pPr>
              <w:adjustRightInd w:val="0"/>
              <w:snapToGrid w:val="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LD50</w:t>
            </w:r>
            <w:r>
              <w:rPr>
                <w:rFonts w:hint="eastAsia" w:cs="Times New Roman"/>
                <w:color w:val="auto"/>
                <w:sz w:val="21"/>
                <w:szCs w:val="21"/>
                <w:u w:val="single"/>
                <w:lang w:val="en-US" w:eastAsia="zh-CN"/>
              </w:rPr>
              <w:t>：/</w:t>
            </w:r>
            <w:r>
              <w:rPr>
                <w:rFonts w:hint="eastAsia" w:ascii="Times New Roman" w:hAnsi="Times New Roman" w:eastAsia="宋体" w:cs="Times New Roman"/>
                <w:color w:val="auto"/>
                <w:sz w:val="21"/>
                <w:szCs w:val="21"/>
                <w:u w:val="single"/>
                <w:lang w:eastAsia="zh-CN"/>
              </w:rPr>
              <w:t>；</w:t>
            </w:r>
            <w:r>
              <w:rPr>
                <w:rFonts w:hint="eastAsia" w:ascii="Times New Roman" w:hAnsi="Times New Roman" w:eastAsia="宋体" w:cs="Times New Roman"/>
                <w:color w:val="auto"/>
                <w:sz w:val="21"/>
                <w:szCs w:val="21"/>
                <w:u w:val="single"/>
                <w:lang w:val="en-US" w:eastAsia="zh-CN"/>
              </w:rPr>
              <w:t>LC50：/</w:t>
            </w:r>
          </w:p>
        </w:tc>
        <w:tc>
          <w:tcPr>
            <w:tcW w:w="1140" w:type="dxa"/>
            <w:noWrap w:val="0"/>
            <w:vAlign w:val="center"/>
          </w:tcPr>
          <w:p w14:paraId="23B70134">
            <w:pPr>
              <w:adjustRightInd w:val="0"/>
              <w:snapToGrid w:val="0"/>
              <w:jc w:val="center"/>
              <w:rPr>
                <w:rFonts w:hint="default" w:cs="Times New Roman"/>
                <w:color w:val="auto"/>
                <w:sz w:val="21"/>
                <w:szCs w:val="21"/>
                <w:u w:val="single"/>
                <w:lang w:val="en-US" w:eastAsia="zh-CN"/>
              </w:rPr>
            </w:pPr>
            <w:r>
              <w:rPr>
                <w:rFonts w:hint="eastAsia" w:cs="Times New Roman"/>
                <w:color w:val="auto"/>
                <w:sz w:val="21"/>
                <w:szCs w:val="21"/>
                <w:u w:val="single"/>
                <w:lang w:val="en-US" w:eastAsia="zh-CN"/>
              </w:rPr>
              <w:t>/</w:t>
            </w:r>
          </w:p>
        </w:tc>
        <w:tc>
          <w:tcPr>
            <w:tcW w:w="1110" w:type="dxa"/>
            <w:noWrap w:val="0"/>
            <w:vAlign w:val="center"/>
          </w:tcPr>
          <w:p w14:paraId="60F938D4">
            <w:pPr>
              <w:adjustRightInd w:val="0"/>
              <w:snapToGrid w:val="0"/>
              <w:jc w:val="center"/>
              <w:rPr>
                <w:rFonts w:hint="default" w:cs="Times New Roman"/>
                <w:color w:val="auto"/>
                <w:sz w:val="21"/>
                <w:szCs w:val="21"/>
                <w:u w:val="single"/>
                <w:lang w:val="en-US" w:eastAsia="zh-CN"/>
              </w:rPr>
            </w:pPr>
            <w:r>
              <w:rPr>
                <w:rFonts w:hint="eastAsia" w:cs="Times New Roman"/>
                <w:color w:val="auto"/>
                <w:sz w:val="21"/>
                <w:szCs w:val="21"/>
                <w:u w:val="single"/>
                <w:lang w:val="en-US" w:eastAsia="zh-CN"/>
              </w:rPr>
              <w:t>/</w:t>
            </w:r>
          </w:p>
        </w:tc>
      </w:tr>
      <w:tr w14:paraId="05617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455" w:type="dxa"/>
            <w:noWrap w:val="0"/>
            <w:vAlign w:val="center"/>
          </w:tcPr>
          <w:p w14:paraId="16FD4F3A">
            <w:pPr>
              <w:spacing w:line="240" w:lineRule="exact"/>
              <w:jc w:val="center"/>
              <w:rPr>
                <w:rFonts w:hint="eastAsia" w:cs="Times New Roman"/>
                <w:color w:val="auto"/>
                <w:sz w:val="21"/>
                <w:szCs w:val="21"/>
                <w:u w:val="single"/>
                <w:lang w:val="en-US" w:eastAsia="zh-CN"/>
              </w:rPr>
            </w:pPr>
            <w:r>
              <w:rPr>
                <w:rFonts w:hint="eastAsia" w:cs="Times New Roman"/>
                <w:color w:val="auto"/>
                <w:kern w:val="28"/>
                <w:szCs w:val="21"/>
                <w:u w:val="single"/>
                <w:lang w:val="en-US" w:eastAsia="zh-CN"/>
              </w:rPr>
              <w:t>6</w:t>
            </w:r>
          </w:p>
        </w:tc>
        <w:tc>
          <w:tcPr>
            <w:tcW w:w="750" w:type="dxa"/>
            <w:noWrap w:val="0"/>
            <w:vAlign w:val="center"/>
          </w:tcPr>
          <w:p w14:paraId="3D60205B">
            <w:pPr>
              <w:adjustRightInd w:val="0"/>
              <w:snapToGrid w:val="0"/>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氟硅酸镁</w:t>
            </w:r>
          </w:p>
        </w:tc>
        <w:tc>
          <w:tcPr>
            <w:tcW w:w="1263" w:type="dxa"/>
            <w:noWrap w:val="0"/>
            <w:vAlign w:val="center"/>
          </w:tcPr>
          <w:p w14:paraId="15E72E29">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E</w:t>
            </w:r>
          </w:p>
        </w:tc>
        <w:tc>
          <w:tcPr>
            <w:tcW w:w="953" w:type="dxa"/>
            <w:noWrap w:val="0"/>
            <w:vAlign w:val="center"/>
          </w:tcPr>
          <w:p w14:paraId="1ADA7AB1">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16949-65-8</w:t>
            </w:r>
          </w:p>
        </w:tc>
        <w:tc>
          <w:tcPr>
            <w:tcW w:w="1530" w:type="dxa"/>
            <w:noWrap w:val="0"/>
            <w:vAlign w:val="center"/>
          </w:tcPr>
          <w:p w14:paraId="4B70F4EC">
            <w:pPr>
              <w:spacing w:line="240" w:lineRule="exact"/>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第6．1类 毒害品</w:t>
            </w:r>
          </w:p>
        </w:tc>
        <w:tc>
          <w:tcPr>
            <w:tcW w:w="1785" w:type="dxa"/>
            <w:noWrap w:val="0"/>
            <w:vAlign w:val="center"/>
          </w:tcPr>
          <w:p w14:paraId="5359C0E5">
            <w:pPr>
              <w:adjustRightInd w:val="0"/>
              <w:snapToGrid w:val="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LD50：200mg</w:t>
            </w:r>
            <w:r>
              <w:rPr>
                <w:rFonts w:hint="eastAsia"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kg(豚鼠经口)</w:t>
            </w:r>
            <w:r>
              <w:rPr>
                <w:rFonts w:hint="eastAsia"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LC50：</w:t>
            </w:r>
            <w:r>
              <w:rPr>
                <w:rFonts w:hint="eastAsia" w:cs="Times New Roman"/>
                <w:color w:val="auto"/>
                <w:sz w:val="21"/>
                <w:szCs w:val="21"/>
                <w:u w:val="single"/>
                <w:lang w:val="en-US" w:eastAsia="zh-CN"/>
              </w:rPr>
              <w:t>/</w:t>
            </w:r>
          </w:p>
        </w:tc>
        <w:tc>
          <w:tcPr>
            <w:tcW w:w="1140" w:type="dxa"/>
            <w:noWrap w:val="0"/>
            <w:vAlign w:val="center"/>
          </w:tcPr>
          <w:p w14:paraId="024D4E33">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c>
          <w:tcPr>
            <w:tcW w:w="1110" w:type="dxa"/>
            <w:noWrap w:val="0"/>
            <w:vAlign w:val="center"/>
          </w:tcPr>
          <w:p w14:paraId="3298F052">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r>
      <w:tr w14:paraId="1A64D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455" w:type="dxa"/>
            <w:noWrap w:val="0"/>
            <w:vAlign w:val="center"/>
          </w:tcPr>
          <w:p w14:paraId="186DB773">
            <w:pPr>
              <w:spacing w:line="240" w:lineRule="exact"/>
              <w:jc w:val="center"/>
              <w:rPr>
                <w:rFonts w:hint="eastAsia" w:cs="Times New Roman"/>
                <w:color w:val="auto"/>
                <w:sz w:val="21"/>
                <w:szCs w:val="21"/>
                <w:u w:val="single"/>
                <w:lang w:val="en-US" w:eastAsia="zh-CN"/>
              </w:rPr>
            </w:pPr>
            <w:r>
              <w:rPr>
                <w:rFonts w:hint="eastAsia" w:cs="Times New Roman"/>
                <w:color w:val="auto"/>
                <w:kern w:val="28"/>
                <w:szCs w:val="21"/>
                <w:u w:val="single"/>
                <w:lang w:val="en-US" w:eastAsia="zh-CN"/>
              </w:rPr>
              <w:t>7</w:t>
            </w:r>
          </w:p>
        </w:tc>
        <w:tc>
          <w:tcPr>
            <w:tcW w:w="750" w:type="dxa"/>
            <w:noWrap w:val="0"/>
            <w:vAlign w:val="center"/>
          </w:tcPr>
          <w:p w14:paraId="18C2C6C5">
            <w:pPr>
              <w:adjustRightInd w:val="0"/>
              <w:snapToGrid w:val="0"/>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氟化钠</w:t>
            </w:r>
          </w:p>
        </w:tc>
        <w:tc>
          <w:tcPr>
            <w:tcW w:w="1263" w:type="dxa"/>
            <w:noWrap w:val="0"/>
            <w:vAlign w:val="center"/>
          </w:tcPr>
          <w:p w14:paraId="7BD50BD7">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953" w:type="dxa"/>
            <w:noWrap w:val="0"/>
            <w:vAlign w:val="center"/>
          </w:tcPr>
          <w:p w14:paraId="5BDE5763">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7681-49-4</w:t>
            </w:r>
          </w:p>
        </w:tc>
        <w:tc>
          <w:tcPr>
            <w:tcW w:w="1530" w:type="dxa"/>
            <w:noWrap w:val="0"/>
            <w:vAlign w:val="center"/>
          </w:tcPr>
          <w:p w14:paraId="50700D7F">
            <w:pPr>
              <w:spacing w:line="240" w:lineRule="exact"/>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第6．1类 毒害品</w:t>
            </w:r>
          </w:p>
        </w:tc>
        <w:tc>
          <w:tcPr>
            <w:tcW w:w="1785" w:type="dxa"/>
            <w:noWrap w:val="0"/>
            <w:vAlign w:val="center"/>
          </w:tcPr>
          <w:p w14:paraId="3ACF96D0">
            <w:pPr>
              <w:adjustRightInd w:val="0"/>
              <w:snapToGrid w:val="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LD50：52mg/kg（大鼠经口）；57mg/kg（小鼠经口）</w:t>
            </w:r>
            <w:r>
              <w:rPr>
                <w:rFonts w:hint="eastAsia"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LC50：</w:t>
            </w:r>
            <w:r>
              <w:rPr>
                <w:rFonts w:hint="eastAsia" w:cs="Times New Roman"/>
                <w:color w:val="auto"/>
                <w:sz w:val="21"/>
                <w:szCs w:val="21"/>
                <w:u w:val="single"/>
                <w:lang w:val="en-US" w:eastAsia="zh-CN"/>
              </w:rPr>
              <w:t>/</w:t>
            </w:r>
          </w:p>
        </w:tc>
        <w:tc>
          <w:tcPr>
            <w:tcW w:w="1140" w:type="dxa"/>
            <w:noWrap w:val="0"/>
            <w:vAlign w:val="center"/>
          </w:tcPr>
          <w:p w14:paraId="2263DDBA">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c>
          <w:tcPr>
            <w:tcW w:w="1110" w:type="dxa"/>
            <w:noWrap w:val="0"/>
            <w:vAlign w:val="center"/>
          </w:tcPr>
          <w:p w14:paraId="0DD4BE29">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r>
      <w:tr w14:paraId="1B2D6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455" w:type="dxa"/>
            <w:noWrap w:val="0"/>
            <w:vAlign w:val="center"/>
          </w:tcPr>
          <w:p w14:paraId="35F1F228">
            <w:pPr>
              <w:spacing w:line="240" w:lineRule="exact"/>
              <w:jc w:val="center"/>
              <w:rPr>
                <w:rFonts w:hint="eastAsia" w:cs="Times New Roman"/>
                <w:color w:val="auto"/>
                <w:sz w:val="21"/>
                <w:szCs w:val="21"/>
                <w:u w:val="single"/>
                <w:lang w:val="en-US" w:eastAsia="zh-CN"/>
              </w:rPr>
            </w:pPr>
            <w:r>
              <w:rPr>
                <w:rFonts w:hint="eastAsia" w:cs="Times New Roman"/>
                <w:color w:val="auto"/>
                <w:kern w:val="28"/>
                <w:szCs w:val="21"/>
                <w:u w:val="single"/>
                <w:lang w:val="en-US" w:eastAsia="zh-CN"/>
              </w:rPr>
              <w:t>8</w:t>
            </w:r>
          </w:p>
        </w:tc>
        <w:tc>
          <w:tcPr>
            <w:tcW w:w="750" w:type="dxa"/>
            <w:noWrap w:val="0"/>
            <w:vAlign w:val="center"/>
          </w:tcPr>
          <w:p w14:paraId="55D3B490">
            <w:pPr>
              <w:adjustRightInd w:val="0"/>
              <w:snapToGrid w:val="0"/>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氟化钡</w:t>
            </w:r>
          </w:p>
        </w:tc>
        <w:tc>
          <w:tcPr>
            <w:tcW w:w="1263" w:type="dxa"/>
            <w:noWrap w:val="0"/>
            <w:vAlign w:val="center"/>
          </w:tcPr>
          <w:p w14:paraId="755B2221">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953" w:type="dxa"/>
            <w:noWrap w:val="0"/>
            <w:vAlign w:val="center"/>
          </w:tcPr>
          <w:p w14:paraId="16DE6CC5">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7787-32-8</w:t>
            </w:r>
          </w:p>
        </w:tc>
        <w:tc>
          <w:tcPr>
            <w:tcW w:w="1530" w:type="dxa"/>
            <w:noWrap w:val="0"/>
            <w:vAlign w:val="center"/>
          </w:tcPr>
          <w:p w14:paraId="012EC9D6">
            <w:pPr>
              <w:spacing w:line="240" w:lineRule="exact"/>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第6．1类 毒害品</w:t>
            </w:r>
          </w:p>
        </w:tc>
        <w:tc>
          <w:tcPr>
            <w:tcW w:w="1785" w:type="dxa"/>
            <w:noWrap w:val="0"/>
            <w:vAlign w:val="center"/>
          </w:tcPr>
          <w:p w14:paraId="0A1F1063">
            <w:pPr>
              <w:adjustRightInd w:val="0"/>
              <w:snapToGrid w:val="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LD50：250mg/kg(大鼠经口 )</w:t>
            </w:r>
            <w:r>
              <w:rPr>
                <w:rFonts w:hint="eastAsia"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LC50：</w:t>
            </w:r>
            <w:r>
              <w:rPr>
                <w:rFonts w:hint="eastAsia" w:cs="Times New Roman"/>
                <w:color w:val="auto"/>
                <w:sz w:val="21"/>
                <w:szCs w:val="21"/>
                <w:u w:val="single"/>
                <w:lang w:val="en-US" w:eastAsia="zh-CN"/>
              </w:rPr>
              <w:t>/</w:t>
            </w:r>
          </w:p>
        </w:tc>
        <w:tc>
          <w:tcPr>
            <w:tcW w:w="1140" w:type="dxa"/>
            <w:noWrap w:val="0"/>
            <w:vAlign w:val="center"/>
          </w:tcPr>
          <w:p w14:paraId="49B70AAF">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c>
          <w:tcPr>
            <w:tcW w:w="1110" w:type="dxa"/>
            <w:noWrap w:val="0"/>
            <w:vAlign w:val="center"/>
          </w:tcPr>
          <w:p w14:paraId="432ABE6C">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r>
      <w:tr w14:paraId="0139F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455" w:type="dxa"/>
            <w:noWrap w:val="0"/>
            <w:vAlign w:val="center"/>
          </w:tcPr>
          <w:p w14:paraId="4851B38A">
            <w:pPr>
              <w:spacing w:line="240" w:lineRule="exact"/>
              <w:jc w:val="center"/>
              <w:rPr>
                <w:rFonts w:hint="eastAsia" w:cs="Times New Roman"/>
                <w:color w:val="auto"/>
                <w:sz w:val="21"/>
                <w:szCs w:val="21"/>
                <w:u w:val="single"/>
                <w:lang w:val="en-US" w:eastAsia="zh-CN"/>
              </w:rPr>
            </w:pPr>
            <w:r>
              <w:rPr>
                <w:rFonts w:hint="eastAsia" w:cs="Times New Roman"/>
                <w:color w:val="auto"/>
                <w:kern w:val="28"/>
                <w:szCs w:val="21"/>
                <w:u w:val="single"/>
                <w:lang w:val="en-US" w:eastAsia="zh-CN"/>
              </w:rPr>
              <w:t>9</w:t>
            </w:r>
          </w:p>
        </w:tc>
        <w:tc>
          <w:tcPr>
            <w:tcW w:w="750" w:type="dxa"/>
            <w:noWrap w:val="0"/>
            <w:vAlign w:val="center"/>
          </w:tcPr>
          <w:p w14:paraId="00AD7DD3">
            <w:pPr>
              <w:adjustRightInd w:val="0"/>
              <w:snapToGrid w:val="0"/>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氟硅酸锌</w:t>
            </w:r>
          </w:p>
        </w:tc>
        <w:tc>
          <w:tcPr>
            <w:tcW w:w="1263" w:type="dxa"/>
            <w:noWrap w:val="0"/>
            <w:vAlign w:val="center"/>
          </w:tcPr>
          <w:p w14:paraId="589CBB7D">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w:t>
            </w:r>
            <w:r>
              <w:rPr>
                <w:rFonts w:hint="eastAsia" w:cs="Times New Roman"/>
                <w:color w:val="auto"/>
                <w:kern w:val="0"/>
                <w:sz w:val="21"/>
                <w:szCs w:val="21"/>
                <w:u w:val="single"/>
                <w:vertAlign w:val="baseline"/>
                <w:lang w:val="en-US" w:eastAsia="zh-CN"/>
              </w:rPr>
              <w:t>、E</w:t>
            </w:r>
            <w:r>
              <w:rPr>
                <w:rFonts w:hint="eastAsia" w:ascii="Times New Roman" w:hAnsi="Times New Roman" w:eastAsia="宋体" w:cs="Times New Roman"/>
                <w:color w:val="auto"/>
                <w:kern w:val="0"/>
                <w:sz w:val="21"/>
                <w:szCs w:val="21"/>
                <w:u w:val="single"/>
                <w:vertAlign w:val="baseline"/>
                <w:lang w:val="en-US" w:eastAsia="zh-CN"/>
              </w:rPr>
              <w:t>；4号仓库隔间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953" w:type="dxa"/>
            <w:noWrap w:val="0"/>
            <w:vAlign w:val="center"/>
          </w:tcPr>
          <w:p w14:paraId="4EAE714C">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16871-71-9</w:t>
            </w:r>
          </w:p>
        </w:tc>
        <w:tc>
          <w:tcPr>
            <w:tcW w:w="1530" w:type="dxa"/>
            <w:noWrap w:val="0"/>
            <w:vAlign w:val="center"/>
          </w:tcPr>
          <w:p w14:paraId="623235B6">
            <w:pPr>
              <w:spacing w:line="240" w:lineRule="exact"/>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第6．1类 毒害品</w:t>
            </w:r>
          </w:p>
        </w:tc>
        <w:tc>
          <w:tcPr>
            <w:tcW w:w="1785" w:type="dxa"/>
            <w:noWrap w:val="0"/>
            <w:vAlign w:val="center"/>
          </w:tcPr>
          <w:p w14:paraId="049FD889">
            <w:pPr>
              <w:adjustRightInd w:val="0"/>
              <w:snapToGrid w:val="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LD</w:t>
            </w:r>
            <w:r>
              <w:rPr>
                <w:rFonts w:hint="eastAsia" w:cs="Times New Roman"/>
                <w:color w:val="auto"/>
                <w:sz w:val="21"/>
                <w:szCs w:val="21"/>
                <w:u w:val="single"/>
                <w:lang w:val="en-US" w:eastAsia="zh-CN"/>
              </w:rPr>
              <w:t>5</w:t>
            </w:r>
            <w:r>
              <w:rPr>
                <w:rFonts w:hint="default" w:ascii="Times New Roman" w:hAnsi="Times New Roman" w:eastAsia="宋体" w:cs="Times New Roman"/>
                <w:color w:val="auto"/>
                <w:sz w:val="21"/>
                <w:szCs w:val="21"/>
                <w:u w:val="single"/>
                <w:lang w:val="en-US" w:eastAsia="zh-CN"/>
              </w:rPr>
              <w:t>0：100mg</w:t>
            </w:r>
            <w:r>
              <w:rPr>
                <w:rFonts w:hint="eastAsia"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kg(大鼠经口)</w:t>
            </w:r>
            <w:r>
              <w:rPr>
                <w:rFonts w:hint="eastAsia"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LC50：</w:t>
            </w:r>
            <w:r>
              <w:rPr>
                <w:rFonts w:hint="eastAsia" w:cs="Times New Roman"/>
                <w:color w:val="auto"/>
                <w:sz w:val="21"/>
                <w:szCs w:val="21"/>
                <w:u w:val="single"/>
                <w:lang w:val="en-US" w:eastAsia="zh-CN"/>
              </w:rPr>
              <w:t>/</w:t>
            </w:r>
          </w:p>
        </w:tc>
        <w:tc>
          <w:tcPr>
            <w:tcW w:w="1140" w:type="dxa"/>
            <w:noWrap w:val="0"/>
            <w:vAlign w:val="center"/>
          </w:tcPr>
          <w:p w14:paraId="4AF973FA">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c>
          <w:tcPr>
            <w:tcW w:w="1110" w:type="dxa"/>
            <w:noWrap w:val="0"/>
            <w:vAlign w:val="center"/>
          </w:tcPr>
          <w:p w14:paraId="34685A39">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r>
      <w:tr w14:paraId="28E8A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455" w:type="dxa"/>
            <w:noWrap w:val="0"/>
            <w:vAlign w:val="center"/>
          </w:tcPr>
          <w:p w14:paraId="65C17F89">
            <w:pPr>
              <w:spacing w:line="240" w:lineRule="exact"/>
              <w:jc w:val="center"/>
              <w:rPr>
                <w:rFonts w:hint="eastAsia" w:cs="Times New Roman"/>
                <w:color w:val="auto"/>
                <w:sz w:val="21"/>
                <w:szCs w:val="21"/>
                <w:u w:val="single"/>
                <w:lang w:val="en-US" w:eastAsia="zh-CN"/>
              </w:rPr>
            </w:pPr>
            <w:r>
              <w:rPr>
                <w:rFonts w:hint="eastAsia" w:cs="Times New Roman"/>
                <w:color w:val="auto"/>
                <w:kern w:val="28"/>
                <w:szCs w:val="21"/>
                <w:u w:val="single"/>
                <w:lang w:val="en-US" w:eastAsia="zh-CN"/>
              </w:rPr>
              <w:t>10</w:t>
            </w:r>
          </w:p>
        </w:tc>
        <w:tc>
          <w:tcPr>
            <w:tcW w:w="750" w:type="dxa"/>
            <w:noWrap w:val="0"/>
            <w:vAlign w:val="center"/>
          </w:tcPr>
          <w:p w14:paraId="406FAF98">
            <w:pPr>
              <w:adjustRightInd w:val="0"/>
              <w:snapToGrid w:val="0"/>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氟硅酸钾</w:t>
            </w:r>
          </w:p>
        </w:tc>
        <w:tc>
          <w:tcPr>
            <w:tcW w:w="1263" w:type="dxa"/>
            <w:noWrap w:val="0"/>
            <w:vAlign w:val="center"/>
          </w:tcPr>
          <w:p w14:paraId="307B69CE">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953" w:type="dxa"/>
            <w:noWrap w:val="0"/>
            <w:vAlign w:val="center"/>
          </w:tcPr>
          <w:p w14:paraId="35E3C950">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16871-90-2</w:t>
            </w:r>
          </w:p>
        </w:tc>
        <w:tc>
          <w:tcPr>
            <w:tcW w:w="1530" w:type="dxa"/>
            <w:noWrap w:val="0"/>
            <w:vAlign w:val="center"/>
          </w:tcPr>
          <w:p w14:paraId="5F2FBA19">
            <w:pPr>
              <w:spacing w:line="240" w:lineRule="exact"/>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第6．1类 毒害品</w:t>
            </w:r>
          </w:p>
        </w:tc>
        <w:tc>
          <w:tcPr>
            <w:tcW w:w="1785" w:type="dxa"/>
            <w:noWrap w:val="0"/>
            <w:vAlign w:val="center"/>
          </w:tcPr>
          <w:p w14:paraId="35DD5575">
            <w:pPr>
              <w:spacing w:line="240" w:lineRule="exact"/>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LD50：500mg</w:t>
            </w:r>
            <w:r>
              <w:rPr>
                <w:rFonts w:hint="eastAsia"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kg(豚鼠经口)</w:t>
            </w:r>
            <w:r>
              <w:rPr>
                <w:rFonts w:hint="eastAsia"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LC50：</w:t>
            </w:r>
            <w:r>
              <w:rPr>
                <w:rFonts w:hint="eastAsia" w:cs="Times New Roman"/>
                <w:color w:val="auto"/>
                <w:sz w:val="21"/>
                <w:szCs w:val="21"/>
                <w:u w:val="single"/>
                <w:lang w:val="en-US" w:eastAsia="zh-CN"/>
              </w:rPr>
              <w:t>/</w:t>
            </w:r>
          </w:p>
        </w:tc>
        <w:tc>
          <w:tcPr>
            <w:tcW w:w="1140" w:type="dxa"/>
            <w:noWrap w:val="0"/>
            <w:vAlign w:val="center"/>
          </w:tcPr>
          <w:p w14:paraId="430FC976">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c>
          <w:tcPr>
            <w:tcW w:w="1110" w:type="dxa"/>
            <w:noWrap w:val="0"/>
            <w:vAlign w:val="center"/>
          </w:tcPr>
          <w:p w14:paraId="6A116D25">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r>
      <w:tr w14:paraId="33054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455" w:type="dxa"/>
            <w:noWrap w:val="0"/>
            <w:vAlign w:val="center"/>
          </w:tcPr>
          <w:p w14:paraId="00F4F44D">
            <w:pPr>
              <w:spacing w:line="240" w:lineRule="exact"/>
              <w:jc w:val="center"/>
              <w:rPr>
                <w:rFonts w:hint="eastAsia" w:cs="Times New Roman"/>
                <w:color w:val="auto"/>
                <w:sz w:val="21"/>
                <w:szCs w:val="21"/>
                <w:u w:val="single"/>
                <w:lang w:val="en-US" w:eastAsia="zh-CN"/>
              </w:rPr>
            </w:pPr>
            <w:r>
              <w:rPr>
                <w:rFonts w:hint="eastAsia" w:cs="Times New Roman"/>
                <w:color w:val="auto"/>
                <w:kern w:val="28"/>
                <w:szCs w:val="21"/>
                <w:u w:val="single"/>
                <w:lang w:val="en-US" w:eastAsia="zh-CN"/>
              </w:rPr>
              <w:t>11</w:t>
            </w:r>
          </w:p>
        </w:tc>
        <w:tc>
          <w:tcPr>
            <w:tcW w:w="750" w:type="dxa"/>
            <w:noWrap w:val="0"/>
            <w:vAlign w:val="center"/>
          </w:tcPr>
          <w:p w14:paraId="62E163A0">
            <w:pPr>
              <w:adjustRightInd w:val="0"/>
              <w:snapToGrid w:val="0"/>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氟化铵</w:t>
            </w:r>
          </w:p>
        </w:tc>
        <w:tc>
          <w:tcPr>
            <w:tcW w:w="1263" w:type="dxa"/>
            <w:noWrap w:val="0"/>
            <w:vAlign w:val="center"/>
          </w:tcPr>
          <w:p w14:paraId="0F2A450E">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953" w:type="dxa"/>
            <w:noWrap w:val="0"/>
            <w:vAlign w:val="center"/>
          </w:tcPr>
          <w:p w14:paraId="798C7EEA">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12125-01-8</w:t>
            </w:r>
          </w:p>
        </w:tc>
        <w:tc>
          <w:tcPr>
            <w:tcW w:w="1530" w:type="dxa"/>
            <w:noWrap w:val="0"/>
            <w:vAlign w:val="center"/>
          </w:tcPr>
          <w:p w14:paraId="0B57A55C">
            <w:pPr>
              <w:spacing w:line="240" w:lineRule="exact"/>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第6．1类 毒害品</w:t>
            </w:r>
          </w:p>
        </w:tc>
        <w:tc>
          <w:tcPr>
            <w:tcW w:w="1785" w:type="dxa"/>
            <w:noWrap w:val="0"/>
            <w:vAlign w:val="center"/>
          </w:tcPr>
          <w:p w14:paraId="3FFA655F">
            <w:pPr>
              <w:spacing w:line="240" w:lineRule="exact"/>
              <w:jc w:val="center"/>
              <w:rPr>
                <w:rFonts w:hint="eastAsia"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rPr>
              <w:t>LD50：32mg</w:t>
            </w:r>
            <w:r>
              <w:rPr>
                <w:rFonts w:hint="eastAsia" w:ascii="Times New Roman" w:hAnsi="Times New Roman" w:eastAsia="宋体" w:cs="Times New Roman"/>
                <w:color w:val="auto"/>
                <w:sz w:val="21"/>
                <w:szCs w:val="21"/>
                <w:u w:val="single"/>
              </w:rPr>
              <w:t>/</w:t>
            </w:r>
            <w:r>
              <w:rPr>
                <w:rFonts w:hint="default" w:ascii="Times New Roman" w:hAnsi="Times New Roman" w:eastAsia="宋体" w:cs="Times New Roman"/>
                <w:color w:val="auto"/>
                <w:sz w:val="21"/>
                <w:szCs w:val="21"/>
                <w:u w:val="single"/>
              </w:rPr>
              <w:t>kg(大鼠腹腔)</w:t>
            </w:r>
            <w:r>
              <w:rPr>
                <w:rFonts w:hint="eastAsia" w:ascii="Times New Roman" w:hAnsi="Times New Roman" w:eastAsia="宋体" w:cs="Times New Roman"/>
                <w:color w:val="auto"/>
                <w:sz w:val="21"/>
                <w:szCs w:val="21"/>
                <w:u w:val="single"/>
                <w:lang w:eastAsia="zh-CN"/>
              </w:rPr>
              <w:t>；</w:t>
            </w:r>
            <w:r>
              <w:rPr>
                <w:rFonts w:hint="eastAsia" w:ascii="Times New Roman" w:hAnsi="Times New Roman" w:eastAsia="宋体" w:cs="Times New Roman"/>
                <w:color w:val="auto"/>
                <w:sz w:val="21"/>
                <w:szCs w:val="21"/>
                <w:u w:val="single"/>
                <w:lang w:val="en-US" w:eastAsia="zh-CN"/>
              </w:rPr>
              <w:t>LC50：/</w:t>
            </w:r>
          </w:p>
        </w:tc>
        <w:tc>
          <w:tcPr>
            <w:tcW w:w="1140" w:type="dxa"/>
            <w:noWrap w:val="0"/>
            <w:vAlign w:val="center"/>
          </w:tcPr>
          <w:p w14:paraId="6A41B801">
            <w:pPr>
              <w:adjustRightInd w:val="0"/>
              <w:snapToGrid w:val="0"/>
              <w:jc w:val="center"/>
              <w:rPr>
                <w:rFonts w:hint="default" w:cs="Times New Roman"/>
                <w:color w:val="auto"/>
                <w:sz w:val="21"/>
                <w:szCs w:val="21"/>
                <w:u w:val="single"/>
                <w:lang w:val="en-US" w:eastAsia="zh-CN"/>
              </w:rPr>
            </w:pPr>
            <w:r>
              <w:rPr>
                <w:rFonts w:hint="eastAsia" w:cs="Times New Roman"/>
                <w:color w:val="auto"/>
                <w:sz w:val="21"/>
                <w:szCs w:val="21"/>
                <w:u w:val="single"/>
                <w:lang w:val="en-US" w:eastAsia="zh-CN"/>
              </w:rPr>
              <w:t>/</w:t>
            </w:r>
          </w:p>
        </w:tc>
        <w:tc>
          <w:tcPr>
            <w:tcW w:w="1110" w:type="dxa"/>
            <w:noWrap w:val="0"/>
            <w:vAlign w:val="center"/>
          </w:tcPr>
          <w:p w14:paraId="54A9936C">
            <w:pPr>
              <w:adjustRightInd w:val="0"/>
              <w:snapToGrid w:val="0"/>
              <w:jc w:val="center"/>
              <w:rPr>
                <w:rFonts w:hint="default" w:cs="Times New Roman"/>
                <w:color w:val="auto"/>
                <w:sz w:val="21"/>
                <w:szCs w:val="21"/>
                <w:u w:val="single"/>
                <w:lang w:val="en-US" w:eastAsia="zh-CN"/>
              </w:rPr>
            </w:pPr>
            <w:r>
              <w:rPr>
                <w:rFonts w:hint="eastAsia" w:cs="Times New Roman"/>
                <w:color w:val="auto"/>
                <w:sz w:val="21"/>
                <w:szCs w:val="21"/>
                <w:u w:val="single"/>
                <w:lang w:val="en-US" w:eastAsia="zh-CN"/>
              </w:rPr>
              <w:t>/</w:t>
            </w:r>
          </w:p>
        </w:tc>
      </w:tr>
      <w:tr w14:paraId="02296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455" w:type="dxa"/>
            <w:noWrap w:val="0"/>
            <w:vAlign w:val="center"/>
          </w:tcPr>
          <w:p w14:paraId="19EB3382">
            <w:pPr>
              <w:spacing w:line="240" w:lineRule="exact"/>
              <w:jc w:val="center"/>
              <w:rPr>
                <w:rFonts w:hint="eastAsia" w:cs="Times New Roman"/>
                <w:color w:val="auto"/>
                <w:sz w:val="21"/>
                <w:szCs w:val="21"/>
                <w:u w:val="single"/>
                <w:lang w:val="en-US" w:eastAsia="zh-CN"/>
              </w:rPr>
            </w:pPr>
            <w:r>
              <w:rPr>
                <w:rFonts w:hint="eastAsia" w:cs="Times New Roman"/>
                <w:color w:val="auto"/>
                <w:kern w:val="28"/>
                <w:szCs w:val="21"/>
                <w:u w:val="single"/>
                <w:lang w:val="en-US" w:eastAsia="zh-CN"/>
              </w:rPr>
              <w:t>12</w:t>
            </w:r>
          </w:p>
        </w:tc>
        <w:tc>
          <w:tcPr>
            <w:tcW w:w="750" w:type="dxa"/>
            <w:noWrap w:val="0"/>
            <w:vAlign w:val="center"/>
          </w:tcPr>
          <w:p w14:paraId="7B04B7FF">
            <w:pPr>
              <w:adjustRightInd w:val="0"/>
              <w:snapToGrid w:val="0"/>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氟化钾</w:t>
            </w:r>
          </w:p>
        </w:tc>
        <w:tc>
          <w:tcPr>
            <w:tcW w:w="1263" w:type="dxa"/>
            <w:noWrap w:val="0"/>
            <w:vAlign w:val="center"/>
          </w:tcPr>
          <w:p w14:paraId="771DBC4C">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953" w:type="dxa"/>
            <w:noWrap w:val="0"/>
            <w:vAlign w:val="center"/>
          </w:tcPr>
          <w:p w14:paraId="02FF9DE5">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7789-23-3</w:t>
            </w:r>
          </w:p>
        </w:tc>
        <w:tc>
          <w:tcPr>
            <w:tcW w:w="1530" w:type="dxa"/>
            <w:noWrap w:val="0"/>
            <w:vAlign w:val="center"/>
          </w:tcPr>
          <w:p w14:paraId="3B598174">
            <w:pPr>
              <w:spacing w:line="240" w:lineRule="exact"/>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第6．1类 毒害品</w:t>
            </w:r>
          </w:p>
        </w:tc>
        <w:tc>
          <w:tcPr>
            <w:tcW w:w="1785" w:type="dxa"/>
            <w:noWrap w:val="0"/>
            <w:vAlign w:val="center"/>
          </w:tcPr>
          <w:p w14:paraId="0EAB1933">
            <w:pPr>
              <w:adjustRightInd w:val="0"/>
              <w:snapToGrid w:val="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LD50</w:t>
            </w:r>
            <w:r>
              <w:rPr>
                <w:rFonts w:hint="eastAsia"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245mg/kg(大鼠经口)</w:t>
            </w:r>
            <w:r>
              <w:rPr>
                <w:rFonts w:hint="eastAsia" w:ascii="Times New Roman" w:hAnsi="Times New Roman" w:eastAsia="宋体" w:cs="Times New Roman"/>
                <w:color w:val="auto"/>
                <w:sz w:val="21"/>
                <w:szCs w:val="21"/>
                <w:u w:val="single"/>
                <w:lang w:eastAsia="zh-CN"/>
              </w:rPr>
              <w:t>；</w:t>
            </w:r>
            <w:r>
              <w:rPr>
                <w:rFonts w:hint="eastAsia" w:ascii="Times New Roman" w:hAnsi="Times New Roman" w:eastAsia="宋体" w:cs="Times New Roman"/>
                <w:color w:val="auto"/>
                <w:sz w:val="21"/>
                <w:szCs w:val="21"/>
                <w:u w:val="single"/>
                <w:lang w:val="en-US" w:eastAsia="zh-CN"/>
              </w:rPr>
              <w:t>LC50：/</w:t>
            </w:r>
          </w:p>
        </w:tc>
        <w:tc>
          <w:tcPr>
            <w:tcW w:w="1140" w:type="dxa"/>
            <w:noWrap w:val="0"/>
            <w:vAlign w:val="center"/>
          </w:tcPr>
          <w:p w14:paraId="294DE5DC">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c>
          <w:tcPr>
            <w:tcW w:w="1110" w:type="dxa"/>
            <w:noWrap w:val="0"/>
            <w:vAlign w:val="center"/>
          </w:tcPr>
          <w:p w14:paraId="2917A6EA">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r>
      <w:tr w14:paraId="0440B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455" w:type="dxa"/>
            <w:noWrap w:val="0"/>
            <w:vAlign w:val="center"/>
          </w:tcPr>
          <w:p w14:paraId="69675FE5">
            <w:pPr>
              <w:spacing w:line="240" w:lineRule="exact"/>
              <w:jc w:val="center"/>
              <w:rPr>
                <w:rFonts w:hint="eastAsia" w:cs="Times New Roman"/>
                <w:color w:val="auto"/>
                <w:sz w:val="21"/>
                <w:szCs w:val="21"/>
                <w:u w:val="single"/>
                <w:lang w:val="en-US" w:eastAsia="zh-CN"/>
              </w:rPr>
            </w:pPr>
            <w:r>
              <w:rPr>
                <w:rFonts w:hint="eastAsia" w:cs="Times New Roman"/>
                <w:color w:val="auto"/>
                <w:kern w:val="28"/>
                <w:szCs w:val="21"/>
                <w:u w:val="single"/>
                <w:lang w:val="en-US" w:eastAsia="zh-CN"/>
              </w:rPr>
              <w:t>13</w:t>
            </w:r>
          </w:p>
        </w:tc>
        <w:tc>
          <w:tcPr>
            <w:tcW w:w="750" w:type="dxa"/>
            <w:noWrap w:val="0"/>
            <w:vAlign w:val="center"/>
          </w:tcPr>
          <w:p w14:paraId="3183E9C4">
            <w:pPr>
              <w:adjustRightInd w:val="0"/>
              <w:snapToGrid w:val="0"/>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氟化锌</w:t>
            </w:r>
          </w:p>
        </w:tc>
        <w:tc>
          <w:tcPr>
            <w:tcW w:w="1263" w:type="dxa"/>
            <w:noWrap w:val="0"/>
            <w:vAlign w:val="center"/>
          </w:tcPr>
          <w:p w14:paraId="1623D833">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953" w:type="dxa"/>
            <w:noWrap w:val="0"/>
            <w:vAlign w:val="center"/>
          </w:tcPr>
          <w:p w14:paraId="57062567">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7783-49-5</w:t>
            </w:r>
          </w:p>
        </w:tc>
        <w:tc>
          <w:tcPr>
            <w:tcW w:w="1530" w:type="dxa"/>
            <w:noWrap w:val="0"/>
            <w:vAlign w:val="center"/>
          </w:tcPr>
          <w:p w14:paraId="697143AF">
            <w:pPr>
              <w:spacing w:line="240" w:lineRule="exact"/>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第6．1类 毒害品</w:t>
            </w:r>
          </w:p>
        </w:tc>
        <w:tc>
          <w:tcPr>
            <w:tcW w:w="1785" w:type="dxa"/>
            <w:noWrap w:val="0"/>
            <w:vAlign w:val="center"/>
          </w:tcPr>
          <w:p w14:paraId="21547C39">
            <w:pPr>
              <w:adjustRightInd w:val="0"/>
              <w:snapToGrid w:val="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LD50</w:t>
            </w:r>
            <w:r>
              <w:rPr>
                <w:rFonts w:hint="eastAsia" w:cs="Times New Roman"/>
                <w:color w:val="auto"/>
                <w:sz w:val="21"/>
                <w:szCs w:val="21"/>
                <w:u w:val="single"/>
                <w:lang w:val="en-US" w:eastAsia="zh-CN"/>
              </w:rPr>
              <w:t>：/</w:t>
            </w:r>
            <w:r>
              <w:rPr>
                <w:rFonts w:hint="eastAsia" w:ascii="Times New Roman" w:hAnsi="Times New Roman" w:eastAsia="宋体" w:cs="Times New Roman"/>
                <w:color w:val="auto"/>
                <w:sz w:val="21"/>
                <w:szCs w:val="21"/>
                <w:u w:val="single"/>
                <w:lang w:eastAsia="zh-CN"/>
              </w:rPr>
              <w:t>；</w:t>
            </w:r>
            <w:r>
              <w:rPr>
                <w:rFonts w:hint="eastAsia" w:ascii="Times New Roman" w:hAnsi="Times New Roman" w:eastAsia="宋体" w:cs="Times New Roman"/>
                <w:color w:val="auto"/>
                <w:sz w:val="21"/>
                <w:szCs w:val="21"/>
                <w:u w:val="single"/>
                <w:lang w:val="en-US" w:eastAsia="zh-CN"/>
              </w:rPr>
              <w:t>LC50：/</w:t>
            </w:r>
          </w:p>
        </w:tc>
        <w:tc>
          <w:tcPr>
            <w:tcW w:w="1140" w:type="dxa"/>
            <w:noWrap w:val="0"/>
            <w:vAlign w:val="center"/>
          </w:tcPr>
          <w:p w14:paraId="49F49315">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c>
          <w:tcPr>
            <w:tcW w:w="1110" w:type="dxa"/>
            <w:noWrap w:val="0"/>
            <w:vAlign w:val="center"/>
          </w:tcPr>
          <w:p w14:paraId="486659CF">
            <w:pPr>
              <w:adjustRightInd w:val="0"/>
              <w:snapToGrid w:val="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w:t>
            </w:r>
          </w:p>
        </w:tc>
      </w:tr>
    </w:tbl>
    <w:p w14:paraId="365A8865">
      <w:pPr>
        <w:pStyle w:val="4"/>
        <w:numPr>
          <w:ilvl w:val="3"/>
          <w:numId w:val="10"/>
        </w:numPr>
        <w:tabs>
          <w:tab w:val="left" w:pos="1358"/>
          <w:tab w:val="left" w:pos="2153"/>
          <w:tab w:val="left" w:pos="5950"/>
        </w:tabs>
        <w:ind w:left="1358"/>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磷酸安全技术说明书</w:t>
      </w:r>
      <w:bookmarkEnd w:id="72"/>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73"/>
        <w:gridCol w:w="1285"/>
        <w:gridCol w:w="820"/>
        <w:gridCol w:w="139"/>
        <w:gridCol w:w="224"/>
        <w:gridCol w:w="913"/>
        <w:gridCol w:w="324"/>
        <w:gridCol w:w="71"/>
        <w:gridCol w:w="1383"/>
        <w:gridCol w:w="8"/>
        <w:gridCol w:w="24"/>
        <w:gridCol w:w="523"/>
        <w:gridCol w:w="1055"/>
        <w:gridCol w:w="1446"/>
      </w:tblGrid>
      <w:tr w14:paraId="1133A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restart"/>
            <w:noWrap w:val="0"/>
            <w:vAlign w:val="center"/>
          </w:tcPr>
          <w:p w14:paraId="45873C9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标识</w:t>
            </w:r>
          </w:p>
        </w:tc>
        <w:tc>
          <w:tcPr>
            <w:tcW w:w="5167" w:type="dxa"/>
            <w:gridSpan w:val="9"/>
            <w:noWrap w:val="0"/>
            <w:vAlign w:val="center"/>
          </w:tcPr>
          <w:p w14:paraId="2EA8ACB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化学品中文名称：磷酸、亚磷酸</w:t>
            </w:r>
          </w:p>
        </w:tc>
        <w:tc>
          <w:tcPr>
            <w:tcW w:w="3048" w:type="dxa"/>
            <w:gridSpan w:val="4"/>
            <w:noWrap w:val="0"/>
            <w:vAlign w:val="center"/>
          </w:tcPr>
          <w:p w14:paraId="48DF833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危险化学品序号：2790</w:t>
            </w:r>
          </w:p>
        </w:tc>
      </w:tr>
      <w:tr w14:paraId="2C500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4382BE1E">
            <w:pPr>
              <w:adjustRightInd w:val="0"/>
              <w:snapToGrid w:val="0"/>
              <w:jc w:val="center"/>
              <w:rPr>
                <w:rFonts w:hint="default" w:ascii="Times New Roman" w:hAnsi="Times New Roman" w:eastAsia="宋体" w:cs="Times New Roman"/>
                <w:color w:val="auto"/>
                <w:sz w:val="21"/>
                <w:szCs w:val="21"/>
                <w:lang w:val="en-US" w:eastAsia="zh-CN"/>
              </w:rPr>
            </w:pPr>
          </w:p>
        </w:tc>
        <w:tc>
          <w:tcPr>
            <w:tcW w:w="5167" w:type="dxa"/>
            <w:gridSpan w:val="9"/>
            <w:noWrap w:val="0"/>
            <w:vAlign w:val="center"/>
          </w:tcPr>
          <w:p w14:paraId="57311792">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化学品英文名称：Phosphorics acid；Orthophosphoric acid</w:t>
            </w:r>
          </w:p>
        </w:tc>
        <w:tc>
          <w:tcPr>
            <w:tcW w:w="3048" w:type="dxa"/>
            <w:gridSpan w:val="4"/>
            <w:noWrap w:val="0"/>
            <w:vAlign w:val="center"/>
          </w:tcPr>
          <w:p w14:paraId="20E5249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CAS：7664-38-2</w:t>
            </w:r>
          </w:p>
        </w:tc>
      </w:tr>
      <w:tr w14:paraId="0C2AC9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76127BA3">
            <w:pPr>
              <w:adjustRightInd w:val="0"/>
              <w:snapToGrid w:val="0"/>
              <w:jc w:val="center"/>
              <w:rPr>
                <w:rFonts w:hint="default" w:ascii="Times New Roman" w:hAnsi="Times New Roman" w:eastAsia="宋体" w:cs="Times New Roman"/>
                <w:color w:val="auto"/>
                <w:sz w:val="21"/>
                <w:szCs w:val="21"/>
                <w:lang w:val="en-US" w:eastAsia="zh-CN"/>
              </w:rPr>
            </w:pPr>
          </w:p>
        </w:tc>
        <w:tc>
          <w:tcPr>
            <w:tcW w:w="2244" w:type="dxa"/>
            <w:gridSpan w:val="3"/>
            <w:tcBorders>
              <w:right w:val="single" w:color="auto" w:sz="4" w:space="0"/>
            </w:tcBorders>
            <w:noWrap w:val="0"/>
            <w:vAlign w:val="center"/>
          </w:tcPr>
          <w:p w14:paraId="0D3CDCA7">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分子式：H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PO₄</w:t>
            </w:r>
          </w:p>
        </w:tc>
        <w:tc>
          <w:tcPr>
            <w:tcW w:w="2923" w:type="dxa"/>
            <w:gridSpan w:val="6"/>
            <w:tcBorders>
              <w:left w:val="single" w:color="auto" w:sz="4" w:space="0"/>
            </w:tcBorders>
            <w:noWrap w:val="0"/>
            <w:vAlign w:val="center"/>
          </w:tcPr>
          <w:p w14:paraId="773620B4">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分子量：98.00</w:t>
            </w:r>
          </w:p>
        </w:tc>
        <w:tc>
          <w:tcPr>
            <w:tcW w:w="3048" w:type="dxa"/>
            <w:gridSpan w:val="4"/>
            <w:noWrap w:val="0"/>
            <w:vAlign w:val="center"/>
          </w:tcPr>
          <w:p w14:paraId="458111B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分子量：97.9952</w:t>
            </w:r>
          </w:p>
        </w:tc>
      </w:tr>
      <w:tr w14:paraId="5224B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restart"/>
            <w:noWrap w:val="0"/>
            <w:vAlign w:val="center"/>
          </w:tcPr>
          <w:p w14:paraId="2002621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理</w:t>
            </w:r>
          </w:p>
          <w:p w14:paraId="6511F99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w:t>
            </w:r>
          </w:p>
          <w:p w14:paraId="1DE4F94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性</w:t>
            </w:r>
          </w:p>
          <w:p w14:paraId="0000124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质</w:t>
            </w:r>
          </w:p>
        </w:tc>
        <w:tc>
          <w:tcPr>
            <w:tcW w:w="8215" w:type="dxa"/>
            <w:gridSpan w:val="13"/>
            <w:noWrap w:val="0"/>
            <w:vAlign w:val="center"/>
          </w:tcPr>
          <w:p w14:paraId="5D84C23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理化特性</w:t>
            </w:r>
          </w:p>
        </w:tc>
      </w:tr>
      <w:tr w14:paraId="41E1D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047B22A9">
            <w:pPr>
              <w:adjustRightInd w:val="0"/>
              <w:snapToGrid w:val="0"/>
              <w:jc w:val="center"/>
              <w:rPr>
                <w:rFonts w:hint="default" w:ascii="Times New Roman" w:hAnsi="Times New Roman" w:eastAsia="宋体" w:cs="Times New Roman"/>
                <w:color w:val="auto"/>
                <w:sz w:val="21"/>
                <w:szCs w:val="21"/>
                <w:lang w:val="en-US" w:eastAsia="zh-CN"/>
              </w:rPr>
            </w:pPr>
          </w:p>
        </w:tc>
        <w:tc>
          <w:tcPr>
            <w:tcW w:w="2105" w:type="dxa"/>
            <w:gridSpan w:val="2"/>
            <w:noWrap w:val="0"/>
            <w:vAlign w:val="center"/>
          </w:tcPr>
          <w:p w14:paraId="642F0E8C">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熔点（℃）</w:t>
            </w:r>
          </w:p>
        </w:tc>
        <w:tc>
          <w:tcPr>
            <w:tcW w:w="1276" w:type="dxa"/>
            <w:gridSpan w:val="3"/>
            <w:noWrap w:val="0"/>
            <w:vAlign w:val="center"/>
          </w:tcPr>
          <w:p w14:paraId="3952453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42.4</w:t>
            </w:r>
          </w:p>
        </w:tc>
        <w:tc>
          <w:tcPr>
            <w:tcW w:w="1786" w:type="dxa"/>
            <w:gridSpan w:val="4"/>
            <w:noWrap w:val="0"/>
            <w:vAlign w:val="center"/>
          </w:tcPr>
          <w:p w14:paraId="6EB9878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沸点（℃）</w:t>
            </w:r>
          </w:p>
        </w:tc>
        <w:tc>
          <w:tcPr>
            <w:tcW w:w="3048" w:type="dxa"/>
            <w:gridSpan w:val="4"/>
            <w:noWrap w:val="0"/>
            <w:vAlign w:val="center"/>
          </w:tcPr>
          <w:p w14:paraId="0836C57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261</w:t>
            </w:r>
          </w:p>
        </w:tc>
      </w:tr>
      <w:tr w14:paraId="0AF172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0BB432A4">
            <w:pPr>
              <w:adjustRightInd w:val="0"/>
              <w:snapToGrid w:val="0"/>
              <w:jc w:val="center"/>
              <w:rPr>
                <w:rFonts w:hint="default" w:ascii="Times New Roman" w:hAnsi="Times New Roman" w:eastAsia="宋体" w:cs="Times New Roman"/>
                <w:color w:val="auto"/>
                <w:sz w:val="21"/>
                <w:szCs w:val="21"/>
                <w:lang w:val="en-US" w:eastAsia="zh-CN"/>
              </w:rPr>
            </w:pPr>
          </w:p>
        </w:tc>
        <w:tc>
          <w:tcPr>
            <w:tcW w:w="2105" w:type="dxa"/>
            <w:gridSpan w:val="2"/>
            <w:noWrap w:val="0"/>
            <w:vAlign w:val="center"/>
          </w:tcPr>
          <w:p w14:paraId="14BE2612">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比重（水=1）</w:t>
            </w:r>
          </w:p>
        </w:tc>
        <w:tc>
          <w:tcPr>
            <w:tcW w:w="1276" w:type="dxa"/>
            <w:gridSpan w:val="3"/>
            <w:noWrap w:val="0"/>
            <w:vAlign w:val="center"/>
          </w:tcPr>
          <w:p w14:paraId="482B4B1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1.70</w:t>
            </w:r>
          </w:p>
        </w:tc>
        <w:tc>
          <w:tcPr>
            <w:tcW w:w="1786" w:type="dxa"/>
            <w:gridSpan w:val="4"/>
            <w:noWrap w:val="0"/>
            <w:vAlign w:val="center"/>
          </w:tcPr>
          <w:p w14:paraId="029C4342">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饱和蒸汽压</w:t>
            </w:r>
            <w:r>
              <w:rPr>
                <w:rFonts w:hint="default" w:ascii="Times New Roman" w:hAnsi="Times New Roman" w:eastAsia="宋体" w:cs="Times New Roman"/>
                <w:color w:val="auto"/>
                <w:sz w:val="21"/>
                <w:szCs w:val="21"/>
                <w:lang w:val="en-US" w:eastAsia="zh-CN"/>
              </w:rPr>
              <w:t>（kPa）</w:t>
            </w:r>
          </w:p>
        </w:tc>
        <w:tc>
          <w:tcPr>
            <w:tcW w:w="3048" w:type="dxa"/>
            <w:gridSpan w:val="4"/>
            <w:noWrap w:val="0"/>
            <w:vAlign w:val="center"/>
          </w:tcPr>
          <w:p w14:paraId="17CFD34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0.67</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25℃</w:t>
            </w:r>
            <w:r>
              <w:rPr>
                <w:rFonts w:hint="eastAsia" w:cs="Times New Roman"/>
                <w:color w:val="auto"/>
                <w:sz w:val="21"/>
                <w:szCs w:val="21"/>
                <w:lang w:val="en-US" w:eastAsia="zh-CN"/>
              </w:rPr>
              <w:t>)</w:t>
            </w:r>
          </w:p>
        </w:tc>
      </w:tr>
      <w:tr w14:paraId="3F3AF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63A43103">
            <w:pPr>
              <w:adjustRightInd w:val="0"/>
              <w:snapToGrid w:val="0"/>
              <w:jc w:val="center"/>
              <w:rPr>
                <w:rFonts w:hint="default" w:ascii="Times New Roman" w:hAnsi="Times New Roman" w:eastAsia="宋体" w:cs="Times New Roman"/>
                <w:color w:val="auto"/>
                <w:sz w:val="21"/>
                <w:szCs w:val="21"/>
                <w:lang w:val="en-US" w:eastAsia="zh-CN"/>
              </w:rPr>
            </w:pPr>
          </w:p>
        </w:tc>
        <w:tc>
          <w:tcPr>
            <w:tcW w:w="2105" w:type="dxa"/>
            <w:gridSpan w:val="2"/>
            <w:noWrap w:val="0"/>
            <w:vAlign w:val="center"/>
          </w:tcPr>
          <w:p w14:paraId="74A86CE2">
            <w:pPr>
              <w:adjustRightInd w:val="0"/>
              <w:snapToGrid w:val="0"/>
              <w:jc w:val="lef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蒸气密度</w:t>
            </w:r>
            <w:r>
              <w:rPr>
                <w:rFonts w:hint="default" w:ascii="Times New Roman" w:hAnsi="Times New Roman" w:eastAsia="宋体" w:cs="Times New Roman"/>
                <w:color w:val="auto"/>
                <w:sz w:val="21"/>
                <w:szCs w:val="21"/>
                <w:lang w:val="en-US" w:eastAsia="zh-CN"/>
              </w:rPr>
              <w:t>（空气=1）</w:t>
            </w:r>
          </w:p>
        </w:tc>
        <w:tc>
          <w:tcPr>
            <w:tcW w:w="1276" w:type="dxa"/>
            <w:gridSpan w:val="3"/>
            <w:noWrap w:val="0"/>
            <w:vAlign w:val="center"/>
          </w:tcPr>
          <w:p w14:paraId="01809D0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3.38</w:t>
            </w:r>
          </w:p>
        </w:tc>
        <w:tc>
          <w:tcPr>
            <w:tcW w:w="1786" w:type="dxa"/>
            <w:gridSpan w:val="4"/>
            <w:noWrap w:val="0"/>
            <w:vAlign w:val="center"/>
          </w:tcPr>
          <w:p w14:paraId="495FEE7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溶解性</w:t>
            </w:r>
          </w:p>
        </w:tc>
        <w:tc>
          <w:tcPr>
            <w:tcW w:w="3048" w:type="dxa"/>
            <w:gridSpan w:val="4"/>
            <w:noWrap w:val="0"/>
            <w:vAlign w:val="center"/>
          </w:tcPr>
          <w:p w14:paraId="11A3D74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与水混溶，可溶于乙醇</w:t>
            </w:r>
          </w:p>
        </w:tc>
      </w:tr>
      <w:tr w14:paraId="55F20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29B6B1EA">
            <w:pPr>
              <w:adjustRightInd w:val="0"/>
              <w:snapToGrid w:val="0"/>
              <w:jc w:val="center"/>
              <w:rPr>
                <w:rFonts w:hint="default" w:ascii="Times New Roman" w:hAnsi="Times New Roman" w:eastAsia="宋体" w:cs="Times New Roman"/>
                <w:color w:val="auto"/>
                <w:sz w:val="21"/>
                <w:szCs w:val="21"/>
                <w:lang w:val="en-US" w:eastAsia="zh-CN"/>
              </w:rPr>
            </w:pPr>
          </w:p>
        </w:tc>
        <w:tc>
          <w:tcPr>
            <w:tcW w:w="2105" w:type="dxa"/>
            <w:gridSpan w:val="2"/>
            <w:tcBorders>
              <w:right w:val="single" w:color="auto" w:sz="4" w:space="0"/>
            </w:tcBorders>
            <w:noWrap w:val="0"/>
            <w:vAlign w:val="center"/>
          </w:tcPr>
          <w:p w14:paraId="6F9FA8B4">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外观与性状</w:t>
            </w:r>
          </w:p>
        </w:tc>
        <w:tc>
          <w:tcPr>
            <w:tcW w:w="6110" w:type="dxa"/>
            <w:gridSpan w:val="11"/>
            <w:tcBorders>
              <w:left w:val="single" w:color="auto" w:sz="4" w:space="0"/>
            </w:tcBorders>
            <w:noWrap w:val="0"/>
            <w:vAlign w:val="center"/>
          </w:tcPr>
          <w:p w14:paraId="132591D2">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纯品酸为无色结晶，无臭，具有酸味。</w:t>
            </w:r>
          </w:p>
        </w:tc>
      </w:tr>
      <w:tr w14:paraId="7EF1D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restart"/>
            <w:noWrap w:val="0"/>
            <w:vAlign w:val="center"/>
          </w:tcPr>
          <w:p w14:paraId="2982066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毒性及健康危害</w:t>
            </w:r>
          </w:p>
        </w:tc>
        <w:tc>
          <w:tcPr>
            <w:tcW w:w="2105" w:type="dxa"/>
            <w:gridSpan w:val="2"/>
            <w:tcBorders>
              <w:right w:val="single" w:color="auto" w:sz="4" w:space="0"/>
            </w:tcBorders>
            <w:noWrap w:val="0"/>
            <w:vAlign w:val="center"/>
          </w:tcPr>
          <w:p w14:paraId="2286DA1D">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侵入途径</w:t>
            </w:r>
          </w:p>
        </w:tc>
        <w:tc>
          <w:tcPr>
            <w:tcW w:w="6110" w:type="dxa"/>
            <w:gridSpan w:val="11"/>
            <w:tcBorders>
              <w:left w:val="single" w:color="auto" w:sz="4" w:space="0"/>
            </w:tcBorders>
            <w:noWrap w:val="0"/>
            <w:vAlign w:val="center"/>
          </w:tcPr>
          <w:p w14:paraId="4809BDB3">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吸入、食入、经皮吸收</w:t>
            </w:r>
          </w:p>
        </w:tc>
      </w:tr>
      <w:tr w14:paraId="745C5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4755A956">
            <w:pPr>
              <w:adjustRightInd w:val="0"/>
              <w:snapToGrid w:val="0"/>
              <w:jc w:val="center"/>
              <w:rPr>
                <w:rFonts w:hint="default" w:ascii="Times New Roman" w:hAnsi="Times New Roman" w:eastAsia="宋体" w:cs="Times New Roman"/>
                <w:color w:val="auto"/>
                <w:sz w:val="21"/>
                <w:szCs w:val="21"/>
                <w:lang w:val="en-US" w:eastAsia="zh-CN"/>
              </w:rPr>
            </w:pPr>
          </w:p>
        </w:tc>
        <w:tc>
          <w:tcPr>
            <w:tcW w:w="2105" w:type="dxa"/>
            <w:gridSpan w:val="2"/>
            <w:tcBorders>
              <w:right w:val="single" w:color="auto" w:sz="4" w:space="0"/>
            </w:tcBorders>
            <w:noWrap w:val="0"/>
            <w:vAlign w:val="center"/>
          </w:tcPr>
          <w:p w14:paraId="76B73834">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毒性</w:t>
            </w:r>
          </w:p>
        </w:tc>
        <w:tc>
          <w:tcPr>
            <w:tcW w:w="6110" w:type="dxa"/>
            <w:gridSpan w:val="11"/>
            <w:tcBorders>
              <w:left w:val="single" w:color="auto" w:sz="4" w:space="0"/>
            </w:tcBorders>
            <w:noWrap w:val="0"/>
            <w:vAlign w:val="center"/>
          </w:tcPr>
          <w:p w14:paraId="5D679298">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LD50：1530mg/km（大鼠口径）；2740mg/km（免经皮）</w:t>
            </w:r>
          </w:p>
        </w:tc>
      </w:tr>
      <w:tr w14:paraId="6B6B8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6A29B244">
            <w:pPr>
              <w:adjustRightInd w:val="0"/>
              <w:snapToGrid w:val="0"/>
              <w:jc w:val="center"/>
              <w:rPr>
                <w:rFonts w:hint="default" w:ascii="Times New Roman" w:hAnsi="Times New Roman" w:eastAsia="宋体" w:cs="Times New Roman"/>
                <w:color w:val="auto"/>
                <w:sz w:val="21"/>
                <w:szCs w:val="21"/>
                <w:lang w:val="en-US" w:eastAsia="zh-CN"/>
              </w:rPr>
            </w:pPr>
          </w:p>
        </w:tc>
        <w:tc>
          <w:tcPr>
            <w:tcW w:w="2105" w:type="dxa"/>
            <w:gridSpan w:val="2"/>
            <w:tcBorders>
              <w:right w:val="single" w:color="auto" w:sz="4" w:space="0"/>
            </w:tcBorders>
            <w:noWrap w:val="0"/>
            <w:vAlign w:val="center"/>
          </w:tcPr>
          <w:p w14:paraId="4A9699EA">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健康危害</w:t>
            </w:r>
          </w:p>
        </w:tc>
        <w:tc>
          <w:tcPr>
            <w:tcW w:w="6110" w:type="dxa"/>
            <w:gridSpan w:val="11"/>
            <w:tcBorders>
              <w:left w:val="single" w:color="auto" w:sz="4" w:space="0"/>
            </w:tcBorders>
            <w:noWrap w:val="0"/>
            <w:vAlign w:val="center"/>
          </w:tcPr>
          <w:p w14:paraId="478D5A46">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蒸气或雾对眼、鼻、喉有刺激性。口服液体可引起恶心、呕吐、腹痛、血便</w:t>
            </w:r>
            <w:r>
              <w:rPr>
                <w:rFonts w:hint="default" w:ascii="Times New Roman" w:hAnsi="Times New Roman" w:eastAsia="宋体" w:cs="Times New Roman"/>
                <w:color w:val="auto"/>
                <w:sz w:val="21"/>
                <w:szCs w:val="21"/>
                <w:highlight w:val="none"/>
                <w:lang w:val="en-US" w:eastAsia="zh-CN"/>
              </w:rPr>
              <w:t>或休克</w:t>
            </w:r>
            <w:r>
              <w:rPr>
                <w:rFonts w:hint="default" w:ascii="Times New Roman" w:hAnsi="Times New Roman" w:eastAsia="宋体" w:cs="Times New Roman"/>
                <w:color w:val="auto"/>
                <w:sz w:val="21"/>
                <w:szCs w:val="21"/>
                <w:lang w:val="en-US" w:eastAsia="zh-CN"/>
              </w:rPr>
              <w:t>。皮肤或眼接触可致灼伤。慢性影响</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鼻黏膜</w:t>
            </w:r>
            <w:r>
              <w:rPr>
                <w:rFonts w:hint="default" w:ascii="Times New Roman" w:hAnsi="Times New Roman" w:eastAsia="宋体" w:cs="Times New Roman"/>
                <w:color w:val="auto"/>
                <w:sz w:val="21"/>
                <w:szCs w:val="21"/>
                <w:lang w:val="en-US" w:eastAsia="zh-CN"/>
              </w:rPr>
              <w:t>萎缩、鼻中隔穿孔。长期反复皮肤接触，可引起皮肤刺激。</w:t>
            </w:r>
          </w:p>
        </w:tc>
      </w:tr>
      <w:tr w14:paraId="747E8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3F6A08E1">
            <w:pPr>
              <w:adjustRightInd w:val="0"/>
              <w:snapToGrid w:val="0"/>
              <w:jc w:val="center"/>
              <w:rPr>
                <w:rFonts w:hint="default" w:ascii="Times New Roman" w:hAnsi="Times New Roman" w:eastAsia="宋体" w:cs="Times New Roman"/>
                <w:color w:val="auto"/>
                <w:sz w:val="21"/>
                <w:szCs w:val="21"/>
                <w:lang w:val="en-US" w:eastAsia="zh-CN"/>
              </w:rPr>
            </w:pPr>
          </w:p>
        </w:tc>
        <w:tc>
          <w:tcPr>
            <w:tcW w:w="2105" w:type="dxa"/>
            <w:gridSpan w:val="2"/>
            <w:tcBorders>
              <w:right w:val="single" w:color="auto" w:sz="4" w:space="0"/>
            </w:tcBorders>
            <w:noWrap w:val="0"/>
            <w:vAlign w:val="center"/>
          </w:tcPr>
          <w:p w14:paraId="769F45ED">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急救方法</w:t>
            </w:r>
          </w:p>
        </w:tc>
        <w:tc>
          <w:tcPr>
            <w:tcW w:w="6110" w:type="dxa"/>
            <w:gridSpan w:val="11"/>
            <w:tcBorders>
              <w:left w:val="single" w:color="auto" w:sz="4" w:space="0"/>
            </w:tcBorders>
            <w:noWrap w:val="0"/>
            <w:vAlign w:val="center"/>
          </w:tcPr>
          <w:p w14:paraId="34F65E2E">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①皮肤接触</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立即脱去污染的衣着，用大量流动清水冲洗至少15 分钟。就医。②眼睛接触：立即提起眼睑，用大量流动清水或生理盐水彻底冲洗至少15分钟。就医。③吸入：迅速脱离现场至空气新鲜处。保持呼吸道通畅。如呼吸困难，给输氧。如呼吸停止，立即进行人工呼吸。就医。④食入：用水漱口，给饮牛奶或蛋清。就医。</w:t>
            </w:r>
          </w:p>
        </w:tc>
      </w:tr>
      <w:tr w14:paraId="7011C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restart"/>
            <w:noWrap w:val="0"/>
            <w:vAlign w:val="center"/>
          </w:tcPr>
          <w:p w14:paraId="27F810C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燃烧爆炸危险性</w:t>
            </w:r>
          </w:p>
        </w:tc>
        <w:tc>
          <w:tcPr>
            <w:tcW w:w="2105" w:type="dxa"/>
            <w:gridSpan w:val="2"/>
            <w:tcBorders>
              <w:right w:val="single" w:color="auto" w:sz="4" w:space="0"/>
            </w:tcBorders>
            <w:noWrap w:val="0"/>
            <w:vAlign w:val="center"/>
          </w:tcPr>
          <w:p w14:paraId="58E9581E">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燃烧性</w:t>
            </w:r>
          </w:p>
        </w:tc>
        <w:tc>
          <w:tcPr>
            <w:tcW w:w="1276" w:type="dxa"/>
            <w:gridSpan w:val="3"/>
            <w:tcBorders>
              <w:left w:val="single" w:color="auto" w:sz="4" w:space="0"/>
              <w:right w:val="single" w:color="auto" w:sz="4" w:space="0"/>
            </w:tcBorders>
            <w:noWrap w:val="0"/>
            <w:vAlign w:val="center"/>
          </w:tcPr>
          <w:p w14:paraId="52F20E9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不燃</w:t>
            </w:r>
          </w:p>
        </w:tc>
        <w:tc>
          <w:tcPr>
            <w:tcW w:w="1810" w:type="dxa"/>
            <w:gridSpan w:val="5"/>
            <w:tcBorders>
              <w:left w:val="single" w:color="auto" w:sz="4" w:space="0"/>
              <w:right w:val="single" w:color="auto" w:sz="4" w:space="0"/>
            </w:tcBorders>
            <w:noWrap w:val="0"/>
            <w:vAlign w:val="center"/>
          </w:tcPr>
          <w:p w14:paraId="234DCFD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燃烧分解物</w:t>
            </w:r>
          </w:p>
        </w:tc>
        <w:tc>
          <w:tcPr>
            <w:tcW w:w="3024" w:type="dxa"/>
            <w:gridSpan w:val="3"/>
            <w:tcBorders>
              <w:left w:val="single" w:color="auto" w:sz="4" w:space="0"/>
            </w:tcBorders>
            <w:noWrap w:val="0"/>
            <w:vAlign w:val="center"/>
          </w:tcPr>
          <w:p w14:paraId="6C2CC6E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氧化磷</w:t>
            </w:r>
          </w:p>
        </w:tc>
      </w:tr>
      <w:tr w14:paraId="4D4D0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7632AFEF">
            <w:pPr>
              <w:adjustRightInd w:val="0"/>
              <w:snapToGrid w:val="0"/>
              <w:jc w:val="center"/>
              <w:rPr>
                <w:rFonts w:hint="default" w:ascii="Times New Roman" w:hAnsi="Times New Roman" w:eastAsia="宋体" w:cs="Times New Roman"/>
                <w:color w:val="auto"/>
                <w:sz w:val="21"/>
                <w:szCs w:val="21"/>
                <w:lang w:val="en-US" w:eastAsia="zh-CN"/>
              </w:rPr>
            </w:pPr>
          </w:p>
        </w:tc>
        <w:tc>
          <w:tcPr>
            <w:tcW w:w="2105" w:type="dxa"/>
            <w:gridSpan w:val="2"/>
            <w:tcBorders>
              <w:right w:val="single" w:color="auto" w:sz="4" w:space="0"/>
            </w:tcBorders>
            <w:noWrap w:val="0"/>
            <w:vAlign w:val="center"/>
          </w:tcPr>
          <w:p w14:paraId="0A683D26">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闪点（℃）</w:t>
            </w:r>
          </w:p>
        </w:tc>
        <w:tc>
          <w:tcPr>
            <w:tcW w:w="1276" w:type="dxa"/>
            <w:gridSpan w:val="3"/>
            <w:tcBorders>
              <w:left w:val="single" w:color="auto" w:sz="4" w:space="0"/>
              <w:right w:val="single" w:color="auto" w:sz="4" w:space="0"/>
            </w:tcBorders>
            <w:noWrap w:val="0"/>
            <w:vAlign w:val="center"/>
          </w:tcPr>
          <w:p w14:paraId="1780F9C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10" w:type="dxa"/>
            <w:gridSpan w:val="5"/>
            <w:tcBorders>
              <w:left w:val="single" w:color="auto" w:sz="4" w:space="0"/>
            </w:tcBorders>
            <w:noWrap w:val="0"/>
            <w:vAlign w:val="center"/>
          </w:tcPr>
          <w:p w14:paraId="16270B5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爆炸上限（V％）</w:t>
            </w:r>
          </w:p>
        </w:tc>
        <w:tc>
          <w:tcPr>
            <w:tcW w:w="3024" w:type="dxa"/>
            <w:gridSpan w:val="3"/>
            <w:noWrap w:val="0"/>
            <w:vAlign w:val="center"/>
          </w:tcPr>
          <w:p w14:paraId="6DA5D6F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1B2A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4F94A153">
            <w:pPr>
              <w:adjustRightInd w:val="0"/>
              <w:snapToGrid w:val="0"/>
              <w:jc w:val="center"/>
              <w:rPr>
                <w:rFonts w:hint="default" w:ascii="Times New Roman" w:hAnsi="Times New Roman" w:eastAsia="宋体" w:cs="Times New Roman"/>
                <w:color w:val="auto"/>
                <w:sz w:val="21"/>
                <w:szCs w:val="21"/>
                <w:lang w:val="en-US" w:eastAsia="zh-CN"/>
              </w:rPr>
            </w:pPr>
          </w:p>
        </w:tc>
        <w:tc>
          <w:tcPr>
            <w:tcW w:w="2105" w:type="dxa"/>
            <w:gridSpan w:val="2"/>
            <w:tcBorders>
              <w:right w:val="single" w:color="auto" w:sz="4" w:space="0"/>
            </w:tcBorders>
            <w:noWrap w:val="0"/>
            <w:vAlign w:val="center"/>
          </w:tcPr>
          <w:p w14:paraId="6A4E779F">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引燃温度（℃）</w:t>
            </w:r>
          </w:p>
        </w:tc>
        <w:tc>
          <w:tcPr>
            <w:tcW w:w="1276" w:type="dxa"/>
            <w:gridSpan w:val="3"/>
            <w:tcBorders>
              <w:left w:val="single" w:color="auto" w:sz="4" w:space="0"/>
              <w:right w:val="single" w:color="auto" w:sz="4" w:space="0"/>
            </w:tcBorders>
            <w:noWrap w:val="0"/>
            <w:vAlign w:val="center"/>
          </w:tcPr>
          <w:p w14:paraId="00F2442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10" w:type="dxa"/>
            <w:gridSpan w:val="5"/>
            <w:tcBorders>
              <w:left w:val="single" w:color="auto" w:sz="4" w:space="0"/>
            </w:tcBorders>
            <w:noWrap w:val="0"/>
            <w:vAlign w:val="center"/>
          </w:tcPr>
          <w:p w14:paraId="17BDB60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爆炸下限</w:t>
            </w:r>
            <w:r>
              <w:rPr>
                <w:rFonts w:hint="default" w:ascii="Times New Roman" w:hAnsi="Times New Roman" w:eastAsia="宋体" w:cs="Times New Roman"/>
                <w:color w:val="auto"/>
                <w:sz w:val="21"/>
                <w:szCs w:val="21"/>
                <w:lang w:val="en-US" w:eastAsia="zh-CN"/>
              </w:rPr>
              <w:t>（V％）</w:t>
            </w:r>
          </w:p>
        </w:tc>
        <w:tc>
          <w:tcPr>
            <w:tcW w:w="3024" w:type="dxa"/>
            <w:gridSpan w:val="3"/>
            <w:noWrap w:val="0"/>
            <w:vAlign w:val="center"/>
          </w:tcPr>
          <w:p w14:paraId="7D0D88D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3573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22198AD4">
            <w:pPr>
              <w:adjustRightInd w:val="0"/>
              <w:snapToGrid w:val="0"/>
              <w:jc w:val="center"/>
              <w:rPr>
                <w:rFonts w:hint="default" w:ascii="Times New Roman" w:hAnsi="Times New Roman" w:eastAsia="宋体" w:cs="Times New Roman"/>
                <w:color w:val="auto"/>
                <w:sz w:val="21"/>
                <w:szCs w:val="21"/>
                <w:lang w:val="en-US" w:eastAsia="zh-CN"/>
              </w:rPr>
            </w:pPr>
          </w:p>
        </w:tc>
        <w:tc>
          <w:tcPr>
            <w:tcW w:w="1285" w:type="dxa"/>
            <w:noWrap w:val="0"/>
            <w:vAlign w:val="center"/>
          </w:tcPr>
          <w:p w14:paraId="644A75E9">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危险特性</w:t>
            </w:r>
          </w:p>
        </w:tc>
        <w:tc>
          <w:tcPr>
            <w:tcW w:w="6930" w:type="dxa"/>
            <w:gridSpan w:val="12"/>
            <w:noWrap w:val="0"/>
            <w:vAlign w:val="center"/>
          </w:tcPr>
          <w:p w14:paraId="058C94AE">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遇金属反应放出氢气，能与空气形成爆炸性混合物。受热分解产生剧毒的氧化磷烟气。具有腐蚀性</w:t>
            </w:r>
          </w:p>
        </w:tc>
      </w:tr>
      <w:tr w14:paraId="2D30A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2EF28A47">
            <w:pPr>
              <w:adjustRightInd w:val="0"/>
              <w:snapToGrid w:val="0"/>
              <w:jc w:val="center"/>
              <w:rPr>
                <w:rFonts w:hint="default" w:ascii="Times New Roman" w:hAnsi="Times New Roman" w:eastAsia="宋体" w:cs="Times New Roman"/>
                <w:color w:val="auto"/>
                <w:sz w:val="21"/>
                <w:szCs w:val="21"/>
                <w:lang w:val="en-US" w:eastAsia="zh-CN"/>
              </w:rPr>
            </w:pPr>
          </w:p>
        </w:tc>
        <w:tc>
          <w:tcPr>
            <w:tcW w:w="1285" w:type="dxa"/>
            <w:noWrap w:val="0"/>
            <w:vAlign w:val="center"/>
          </w:tcPr>
          <w:p w14:paraId="37B978DF">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建规火险分级</w:t>
            </w:r>
          </w:p>
        </w:tc>
        <w:tc>
          <w:tcPr>
            <w:tcW w:w="1183" w:type="dxa"/>
            <w:gridSpan w:val="3"/>
            <w:tcBorders>
              <w:right w:val="single" w:color="auto" w:sz="4" w:space="0"/>
            </w:tcBorders>
            <w:noWrap w:val="0"/>
            <w:vAlign w:val="center"/>
          </w:tcPr>
          <w:p w14:paraId="546ABC2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戊</w:t>
            </w:r>
          </w:p>
        </w:tc>
        <w:tc>
          <w:tcPr>
            <w:tcW w:w="1237" w:type="dxa"/>
            <w:gridSpan w:val="2"/>
            <w:tcBorders>
              <w:left w:val="single" w:color="auto" w:sz="4" w:space="0"/>
              <w:right w:val="single" w:color="auto" w:sz="4" w:space="0"/>
            </w:tcBorders>
            <w:noWrap w:val="0"/>
            <w:vAlign w:val="center"/>
          </w:tcPr>
          <w:p w14:paraId="7EABA04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稳定性</w:t>
            </w:r>
          </w:p>
        </w:tc>
        <w:tc>
          <w:tcPr>
            <w:tcW w:w="1454" w:type="dxa"/>
            <w:gridSpan w:val="2"/>
            <w:tcBorders>
              <w:left w:val="single" w:color="auto" w:sz="4" w:space="0"/>
              <w:right w:val="single" w:color="auto" w:sz="4" w:space="0"/>
            </w:tcBorders>
            <w:noWrap w:val="0"/>
            <w:vAlign w:val="center"/>
          </w:tcPr>
          <w:p w14:paraId="0BA2CFC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稳定</w:t>
            </w:r>
          </w:p>
        </w:tc>
        <w:tc>
          <w:tcPr>
            <w:tcW w:w="1610" w:type="dxa"/>
            <w:gridSpan w:val="4"/>
            <w:tcBorders>
              <w:left w:val="single" w:color="auto" w:sz="4" w:space="0"/>
              <w:right w:val="single" w:color="auto" w:sz="4" w:space="0"/>
            </w:tcBorders>
            <w:noWrap w:val="0"/>
            <w:vAlign w:val="center"/>
          </w:tcPr>
          <w:p w14:paraId="3F2E777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聚合危害</w:t>
            </w:r>
          </w:p>
        </w:tc>
        <w:tc>
          <w:tcPr>
            <w:tcW w:w="1446" w:type="dxa"/>
            <w:tcBorders>
              <w:left w:val="single" w:color="auto" w:sz="4" w:space="0"/>
            </w:tcBorders>
            <w:noWrap w:val="0"/>
            <w:vAlign w:val="center"/>
          </w:tcPr>
          <w:p w14:paraId="7522097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不聚合</w:t>
            </w:r>
          </w:p>
        </w:tc>
      </w:tr>
      <w:tr w14:paraId="566C2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7C8A50FC">
            <w:pPr>
              <w:adjustRightInd w:val="0"/>
              <w:snapToGrid w:val="0"/>
              <w:jc w:val="center"/>
              <w:rPr>
                <w:rFonts w:hint="default" w:ascii="Times New Roman" w:hAnsi="Times New Roman" w:eastAsia="宋体" w:cs="Times New Roman"/>
                <w:color w:val="auto"/>
                <w:sz w:val="21"/>
                <w:szCs w:val="21"/>
                <w:lang w:val="en-US" w:eastAsia="zh-CN"/>
              </w:rPr>
            </w:pPr>
          </w:p>
        </w:tc>
        <w:tc>
          <w:tcPr>
            <w:tcW w:w="1285" w:type="dxa"/>
            <w:noWrap w:val="0"/>
            <w:vAlign w:val="center"/>
          </w:tcPr>
          <w:p w14:paraId="5264ECFF">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稳定性</w:t>
            </w:r>
          </w:p>
        </w:tc>
        <w:tc>
          <w:tcPr>
            <w:tcW w:w="2491" w:type="dxa"/>
            <w:gridSpan w:val="6"/>
            <w:noWrap w:val="0"/>
            <w:vAlign w:val="center"/>
          </w:tcPr>
          <w:p w14:paraId="2D832C2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稳定 </w:t>
            </w:r>
          </w:p>
        </w:tc>
        <w:tc>
          <w:tcPr>
            <w:tcW w:w="1938" w:type="dxa"/>
            <w:gridSpan w:val="4"/>
            <w:noWrap w:val="0"/>
            <w:vAlign w:val="center"/>
          </w:tcPr>
          <w:p w14:paraId="0E197B7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聚合危险性</w:t>
            </w:r>
          </w:p>
        </w:tc>
        <w:tc>
          <w:tcPr>
            <w:tcW w:w="2501" w:type="dxa"/>
            <w:gridSpan w:val="2"/>
            <w:noWrap w:val="0"/>
            <w:vAlign w:val="center"/>
          </w:tcPr>
          <w:p w14:paraId="04FB234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不聚合</w:t>
            </w:r>
          </w:p>
        </w:tc>
      </w:tr>
      <w:tr w14:paraId="32EEE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3C18E501">
            <w:pPr>
              <w:bidi w:val="0"/>
              <w:rPr>
                <w:rFonts w:hint="default" w:ascii="Times New Roman" w:hAnsi="Times New Roman" w:cs="Times New Roman"/>
              </w:rPr>
            </w:pPr>
          </w:p>
        </w:tc>
        <w:tc>
          <w:tcPr>
            <w:tcW w:w="1285" w:type="dxa"/>
            <w:noWrap w:val="0"/>
            <w:vAlign w:val="center"/>
          </w:tcPr>
          <w:p w14:paraId="62BA6B90">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禁忌物</w:t>
            </w:r>
          </w:p>
        </w:tc>
        <w:tc>
          <w:tcPr>
            <w:tcW w:w="6930" w:type="dxa"/>
            <w:gridSpan w:val="12"/>
            <w:noWrap w:val="0"/>
            <w:vAlign w:val="center"/>
          </w:tcPr>
          <w:p w14:paraId="261AB0AA">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强碱、活性金属粉末、易燃或可燃物</w:t>
            </w:r>
          </w:p>
        </w:tc>
      </w:tr>
      <w:tr w14:paraId="12F70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noWrap w:val="0"/>
            <w:vAlign w:val="center"/>
          </w:tcPr>
          <w:p w14:paraId="74CDF94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储运条件与</w:t>
            </w:r>
            <w:r>
              <w:rPr>
                <w:rFonts w:hint="default" w:ascii="Times New Roman" w:hAnsi="Times New Roman" w:eastAsia="宋体" w:cs="Times New Roman"/>
                <w:color w:val="auto"/>
                <w:sz w:val="21"/>
                <w:szCs w:val="21"/>
                <w:highlight w:val="none"/>
                <w:lang w:val="en-US" w:eastAsia="zh-CN"/>
              </w:rPr>
              <w:t>泄漏</w:t>
            </w:r>
            <w:r>
              <w:rPr>
                <w:rFonts w:hint="default" w:ascii="Times New Roman" w:hAnsi="Times New Roman" w:eastAsia="宋体" w:cs="Times New Roman"/>
                <w:color w:val="auto"/>
                <w:sz w:val="21"/>
                <w:szCs w:val="21"/>
                <w:lang w:val="en-US" w:eastAsia="zh-CN"/>
              </w:rPr>
              <w:t>处理</w:t>
            </w:r>
          </w:p>
        </w:tc>
        <w:tc>
          <w:tcPr>
            <w:tcW w:w="8215" w:type="dxa"/>
            <w:gridSpan w:val="13"/>
            <w:noWrap w:val="0"/>
            <w:vAlign w:val="center"/>
          </w:tcPr>
          <w:p w14:paraId="38079091">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储运条件</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储存于阴凉、干燥、通风良好的仓间内。远离火种、热源，防止阳光直射。保持容器密封。应与碱类、H发泡剂等分开存放。搬运时要轻装轻卸，防止包装及容器损坏。分装和搬运作业要注意个人防护。泄漏处理</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疏散泄漏污染区人员至安全区，禁止无关人员进入污染区，建议应急处理人员戴好防毒面具，穿化学防护服。不要直接接触泄漏物，用沙土、干燥石灰或苏打灰混合，然后收集转移到安全场所或以少量加入大量水中，调节至中性，再放入废水系统。如大量泄漏，收集回收或无害处理后废弃。</w:t>
            </w:r>
          </w:p>
        </w:tc>
      </w:tr>
      <w:tr w14:paraId="298C8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3" w:type="dxa"/>
            <w:noWrap w:val="0"/>
            <w:vAlign w:val="center"/>
          </w:tcPr>
          <w:p w14:paraId="390B876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灭火方法</w:t>
            </w:r>
          </w:p>
        </w:tc>
        <w:tc>
          <w:tcPr>
            <w:tcW w:w="8215" w:type="dxa"/>
            <w:gridSpan w:val="13"/>
            <w:noWrap w:val="0"/>
            <w:vAlign w:val="center"/>
          </w:tcPr>
          <w:p w14:paraId="19C4A752">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泡沫、二氧化碳、砂土、干粉</w:t>
            </w:r>
          </w:p>
        </w:tc>
      </w:tr>
    </w:tbl>
    <w:p w14:paraId="1D45228F">
      <w:pPr>
        <w:pStyle w:val="4"/>
        <w:numPr>
          <w:ilvl w:val="3"/>
          <w:numId w:val="10"/>
        </w:numPr>
        <w:tabs>
          <w:tab w:val="left" w:pos="1358"/>
          <w:tab w:val="left" w:pos="2153"/>
        </w:tabs>
        <w:ind w:left="1358"/>
        <w:outlineLvl w:val="4"/>
        <w:rPr>
          <w:rFonts w:hint="eastAsia" w:ascii="Times New Roman" w:hAnsi="Times New Roman" w:eastAsia="宋体" w:cs="Times New Roman"/>
          <w:b/>
          <w:color w:val="auto"/>
          <w:lang w:val="zh-CN" w:eastAsia="zh-CN"/>
        </w:rPr>
      </w:pPr>
      <w:bookmarkStart w:id="73" w:name="_Toc22953"/>
      <w:r>
        <w:rPr>
          <w:rFonts w:hint="eastAsia" w:ascii="Times New Roman" w:hAnsi="Times New Roman" w:eastAsia="宋体" w:cs="Times New Roman"/>
          <w:b/>
          <w:color w:val="auto"/>
          <w:lang w:val="zh-CN" w:eastAsia="zh-CN"/>
        </w:rPr>
        <w:t>盐  酸</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878"/>
        <w:gridCol w:w="1003"/>
        <w:gridCol w:w="6554"/>
      </w:tblGrid>
      <w:tr w14:paraId="56A6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8" w:type="pct"/>
            <w:vMerge w:val="restart"/>
            <w:noWrap w:val="0"/>
            <w:vAlign w:val="center"/>
          </w:tcPr>
          <w:p w14:paraId="1A63982C">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标识</w:t>
            </w:r>
          </w:p>
        </w:tc>
        <w:tc>
          <w:tcPr>
            <w:tcW w:w="1046" w:type="pct"/>
            <w:gridSpan w:val="2"/>
            <w:noWrap w:val="0"/>
            <w:vAlign w:val="center"/>
          </w:tcPr>
          <w:p w14:paraId="742E0636">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中文名：</w:t>
            </w:r>
          </w:p>
        </w:tc>
        <w:tc>
          <w:tcPr>
            <w:tcW w:w="3644" w:type="pct"/>
            <w:noWrap w:val="0"/>
            <w:vAlign w:val="center"/>
          </w:tcPr>
          <w:p w14:paraId="6F63880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盐酸                          英文名：Hydrochloric acid；Chlorohydric acid</w:t>
            </w:r>
          </w:p>
        </w:tc>
      </w:tr>
      <w:tr w14:paraId="785F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8" w:type="pct"/>
            <w:vMerge w:val="continue"/>
            <w:noWrap w:val="0"/>
            <w:vAlign w:val="center"/>
          </w:tcPr>
          <w:p w14:paraId="184F3549">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15940B7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分子式：</w:t>
            </w:r>
          </w:p>
        </w:tc>
        <w:tc>
          <w:tcPr>
            <w:tcW w:w="3644" w:type="pct"/>
            <w:noWrap w:val="0"/>
            <w:vAlign w:val="center"/>
          </w:tcPr>
          <w:p w14:paraId="5963ED42">
            <w:pPr>
              <w:spacing w:line="260" w:lineRule="exact"/>
              <w:jc w:val="left"/>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HCl </w:t>
            </w:r>
            <w:r>
              <w:rPr>
                <w:rFonts w:hint="eastAsia" w:ascii="Times New Roman" w:hAnsi="Times New Roman" w:eastAsia="宋体" w:cs="Times New Roman"/>
                <w:color w:val="auto"/>
                <w:sz w:val="21"/>
                <w:szCs w:val="21"/>
              </w:rPr>
              <w:t xml:space="preserve">                         分子量：</w:t>
            </w:r>
            <w:r>
              <w:rPr>
                <w:rFonts w:hint="default" w:ascii="Times New Roman" w:hAnsi="Times New Roman" w:eastAsia="宋体" w:cs="Times New Roman"/>
                <w:color w:val="auto"/>
                <w:sz w:val="21"/>
                <w:szCs w:val="21"/>
              </w:rPr>
              <w:t>36.46</w:t>
            </w:r>
          </w:p>
        </w:tc>
      </w:tr>
      <w:tr w14:paraId="48FB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8" w:type="pct"/>
            <w:vMerge w:val="continue"/>
            <w:noWrap w:val="0"/>
            <w:vAlign w:val="center"/>
          </w:tcPr>
          <w:p w14:paraId="049B6407">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6E78ABDC">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CAS号：</w:t>
            </w:r>
          </w:p>
        </w:tc>
        <w:tc>
          <w:tcPr>
            <w:tcW w:w="3644" w:type="pct"/>
            <w:noWrap w:val="0"/>
            <w:vAlign w:val="center"/>
          </w:tcPr>
          <w:p w14:paraId="0E9D4739">
            <w:pPr>
              <w:spacing w:line="260" w:lineRule="exact"/>
              <w:jc w:val="left"/>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7647-01-0 </w:t>
            </w:r>
            <w:r>
              <w:rPr>
                <w:rFonts w:hint="eastAsia" w:ascii="Times New Roman" w:hAnsi="Times New Roman" w:eastAsia="宋体" w:cs="Times New Roman"/>
                <w:color w:val="auto"/>
                <w:sz w:val="21"/>
                <w:szCs w:val="21"/>
              </w:rPr>
              <w:t xml:space="preserve">                    RTECS号：</w:t>
            </w:r>
            <w:r>
              <w:rPr>
                <w:rFonts w:hint="default" w:ascii="Times New Roman" w:hAnsi="Times New Roman" w:eastAsia="宋体" w:cs="Times New Roman"/>
                <w:color w:val="auto"/>
                <w:sz w:val="21"/>
                <w:szCs w:val="21"/>
              </w:rPr>
              <w:t>MW4025000</w:t>
            </w:r>
          </w:p>
        </w:tc>
      </w:tr>
      <w:tr w14:paraId="4CD5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8" w:type="pct"/>
            <w:vMerge w:val="continue"/>
            <w:noWrap w:val="0"/>
            <w:vAlign w:val="center"/>
          </w:tcPr>
          <w:p w14:paraId="30FF5C63">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11D38DBC">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UN编号：</w:t>
            </w:r>
          </w:p>
        </w:tc>
        <w:tc>
          <w:tcPr>
            <w:tcW w:w="3644" w:type="pct"/>
            <w:noWrap w:val="0"/>
            <w:vAlign w:val="center"/>
          </w:tcPr>
          <w:p w14:paraId="6BF08F28">
            <w:pPr>
              <w:spacing w:line="260" w:lineRule="exact"/>
              <w:jc w:val="left"/>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1789 </w:t>
            </w:r>
          </w:p>
        </w:tc>
      </w:tr>
      <w:tr w14:paraId="4220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8" w:type="pct"/>
            <w:vMerge w:val="continue"/>
            <w:noWrap w:val="0"/>
            <w:vAlign w:val="center"/>
          </w:tcPr>
          <w:p w14:paraId="759489BA">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59AC675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 危险货物编号：</w:t>
            </w:r>
          </w:p>
        </w:tc>
        <w:tc>
          <w:tcPr>
            <w:tcW w:w="3644" w:type="pct"/>
            <w:noWrap w:val="0"/>
            <w:vAlign w:val="center"/>
          </w:tcPr>
          <w:p w14:paraId="672EC1E6">
            <w:pPr>
              <w:spacing w:line="26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81013</w:t>
            </w:r>
            <w:r>
              <w:rPr>
                <w:rFonts w:hint="eastAsia" w:ascii="Times New Roman" w:hAnsi="Times New Roman" w:eastAsia="宋体" w:cs="Times New Roman"/>
                <w:color w:val="auto"/>
                <w:sz w:val="21"/>
                <w:szCs w:val="21"/>
              </w:rPr>
              <w:t xml:space="preserve">                          IMDG规则页码：</w:t>
            </w:r>
            <w:r>
              <w:rPr>
                <w:rFonts w:hint="default" w:ascii="Times New Roman" w:hAnsi="Times New Roman" w:eastAsia="宋体" w:cs="Times New Roman"/>
                <w:color w:val="auto"/>
                <w:sz w:val="21"/>
                <w:szCs w:val="21"/>
              </w:rPr>
              <w:t>8183</w:t>
            </w:r>
          </w:p>
        </w:tc>
      </w:tr>
      <w:tr w14:paraId="5877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308" w:type="pct"/>
            <w:vMerge w:val="restart"/>
            <w:noWrap w:val="0"/>
            <w:vAlign w:val="center"/>
          </w:tcPr>
          <w:p w14:paraId="21B69EFD">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理化性质</w:t>
            </w:r>
          </w:p>
        </w:tc>
        <w:tc>
          <w:tcPr>
            <w:tcW w:w="1046" w:type="pct"/>
            <w:gridSpan w:val="2"/>
            <w:noWrap w:val="0"/>
            <w:vAlign w:val="center"/>
          </w:tcPr>
          <w:p w14:paraId="60649D91">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外观与性状：</w:t>
            </w:r>
          </w:p>
        </w:tc>
        <w:tc>
          <w:tcPr>
            <w:tcW w:w="3644" w:type="pct"/>
            <w:noWrap w:val="0"/>
            <w:vAlign w:val="center"/>
          </w:tcPr>
          <w:p w14:paraId="59E7E20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无色或微黄色发烟液体，有刺鼻的酸味。</w:t>
            </w:r>
          </w:p>
        </w:tc>
      </w:tr>
      <w:tr w14:paraId="5891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308" w:type="pct"/>
            <w:vMerge w:val="continue"/>
            <w:noWrap w:val="0"/>
            <w:vAlign w:val="center"/>
          </w:tcPr>
          <w:p w14:paraId="299A7C05">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0A97F28A">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主要用途：</w:t>
            </w:r>
          </w:p>
        </w:tc>
        <w:tc>
          <w:tcPr>
            <w:tcW w:w="3644" w:type="pct"/>
            <w:noWrap w:val="0"/>
            <w:vAlign w:val="center"/>
          </w:tcPr>
          <w:p w14:paraId="4EA11820">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重要的无机化工原料，广泛用于染料、医药、食品、印染、皮革、冶金等行业。</w:t>
            </w:r>
          </w:p>
        </w:tc>
      </w:tr>
      <w:tr w14:paraId="6248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308" w:type="pct"/>
            <w:vMerge w:val="continue"/>
            <w:noWrap w:val="0"/>
            <w:vAlign w:val="center"/>
          </w:tcPr>
          <w:p w14:paraId="3A4130BB">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5B48C4A0">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相对密度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水=1)：</w:t>
            </w:r>
          </w:p>
        </w:tc>
        <w:tc>
          <w:tcPr>
            <w:tcW w:w="3644" w:type="pct"/>
            <w:noWrap w:val="0"/>
            <w:vAlign w:val="center"/>
          </w:tcPr>
          <w:p w14:paraId="4B850CD3">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1.20                          相对密度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空气=1): 1.26</w:t>
            </w:r>
          </w:p>
        </w:tc>
      </w:tr>
      <w:tr w14:paraId="471E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308" w:type="pct"/>
            <w:vMerge w:val="continue"/>
            <w:noWrap w:val="0"/>
            <w:vAlign w:val="center"/>
          </w:tcPr>
          <w:p w14:paraId="22CB7E60">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718D078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饱和蒸汽压</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kPa</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p>
        </w:tc>
        <w:tc>
          <w:tcPr>
            <w:tcW w:w="3644" w:type="pct"/>
            <w:noWrap w:val="0"/>
            <w:vAlign w:val="center"/>
          </w:tcPr>
          <w:p w14:paraId="0B12989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30.66/21℃                     溶解性：与水混溶，溶于碱液。</w:t>
            </w:r>
          </w:p>
        </w:tc>
      </w:tr>
      <w:tr w14:paraId="7867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308" w:type="pct"/>
            <w:vMerge w:val="restart"/>
            <w:noWrap w:val="0"/>
            <w:vAlign w:val="center"/>
          </w:tcPr>
          <w:p w14:paraId="3C7467CB">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燃烧爆炸危险性</w:t>
            </w:r>
          </w:p>
        </w:tc>
        <w:tc>
          <w:tcPr>
            <w:tcW w:w="1046" w:type="pct"/>
            <w:gridSpan w:val="2"/>
            <w:noWrap w:val="0"/>
            <w:vAlign w:val="center"/>
          </w:tcPr>
          <w:p w14:paraId="5341DF49">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燃烧性：</w:t>
            </w:r>
          </w:p>
        </w:tc>
        <w:tc>
          <w:tcPr>
            <w:tcW w:w="3644" w:type="pct"/>
            <w:noWrap w:val="0"/>
            <w:vAlign w:val="center"/>
          </w:tcPr>
          <w:p w14:paraId="543DB572">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不燃</w:t>
            </w:r>
          </w:p>
        </w:tc>
      </w:tr>
      <w:tr w14:paraId="2B0B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308" w:type="pct"/>
            <w:vMerge w:val="continue"/>
            <w:noWrap w:val="0"/>
            <w:vAlign w:val="center"/>
          </w:tcPr>
          <w:p w14:paraId="0B99D447">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414D4FA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危险特性：</w:t>
            </w:r>
          </w:p>
        </w:tc>
        <w:tc>
          <w:tcPr>
            <w:tcW w:w="3644" w:type="pct"/>
            <w:noWrap w:val="0"/>
            <w:vAlign w:val="center"/>
          </w:tcPr>
          <w:p w14:paraId="0948EA2E">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能与一些活性金属粉末发生反应，放出氢气。遇氰化物能产生剧毒的氰化氢气体。与碱发生</w:t>
            </w:r>
            <w:r>
              <w:rPr>
                <w:rFonts w:hint="eastAsia" w:cs="Times New Roman"/>
                <w:color w:val="auto"/>
                <w:sz w:val="21"/>
                <w:szCs w:val="21"/>
                <w:lang w:eastAsia="zh-CN"/>
              </w:rPr>
              <w:t>中和反应</w:t>
            </w:r>
            <w:r>
              <w:rPr>
                <w:rFonts w:hint="eastAsia" w:ascii="Times New Roman" w:hAnsi="Times New Roman" w:eastAsia="宋体" w:cs="Times New Roman"/>
                <w:color w:val="auto"/>
                <w:sz w:val="21"/>
                <w:szCs w:val="21"/>
              </w:rPr>
              <w:t>，并放出大量的热。具有较强的腐蚀性。</w:t>
            </w:r>
          </w:p>
        </w:tc>
      </w:tr>
      <w:tr w14:paraId="4FE4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jc w:val="center"/>
        </w:trPr>
        <w:tc>
          <w:tcPr>
            <w:tcW w:w="308" w:type="pct"/>
            <w:vMerge w:val="continue"/>
            <w:noWrap w:val="0"/>
            <w:vAlign w:val="center"/>
          </w:tcPr>
          <w:p w14:paraId="4E4755C7">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69040A8C">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分解</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产物：</w:t>
            </w:r>
          </w:p>
        </w:tc>
        <w:tc>
          <w:tcPr>
            <w:tcW w:w="3644" w:type="pct"/>
            <w:noWrap w:val="0"/>
            <w:vAlign w:val="center"/>
          </w:tcPr>
          <w:p w14:paraId="2F0852B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氯化氢。                     稳定性：稳定 </w:t>
            </w:r>
          </w:p>
        </w:tc>
      </w:tr>
      <w:tr w14:paraId="1632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 w:hRule="atLeast"/>
          <w:jc w:val="center"/>
        </w:trPr>
        <w:tc>
          <w:tcPr>
            <w:tcW w:w="308" w:type="pct"/>
            <w:vMerge w:val="continue"/>
            <w:noWrap w:val="0"/>
            <w:vAlign w:val="center"/>
          </w:tcPr>
          <w:p w14:paraId="3E97C914">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6913517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聚合危害：</w:t>
            </w:r>
          </w:p>
        </w:tc>
        <w:tc>
          <w:tcPr>
            <w:tcW w:w="3644" w:type="pct"/>
            <w:noWrap w:val="0"/>
            <w:vAlign w:val="center"/>
          </w:tcPr>
          <w:p w14:paraId="40817065">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不能出现</w:t>
            </w:r>
          </w:p>
        </w:tc>
      </w:tr>
      <w:tr w14:paraId="4D89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 w:hRule="atLeast"/>
          <w:jc w:val="center"/>
        </w:trPr>
        <w:tc>
          <w:tcPr>
            <w:tcW w:w="308" w:type="pct"/>
            <w:vMerge w:val="continue"/>
            <w:noWrap w:val="0"/>
            <w:vAlign w:val="center"/>
          </w:tcPr>
          <w:p w14:paraId="261A5619">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683E88DA">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禁忌物：</w:t>
            </w:r>
          </w:p>
        </w:tc>
        <w:tc>
          <w:tcPr>
            <w:tcW w:w="3644" w:type="pct"/>
            <w:noWrap w:val="0"/>
            <w:vAlign w:val="center"/>
          </w:tcPr>
          <w:p w14:paraId="1748728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碱类、胺类、碱金属、易燃或可燃物。</w:t>
            </w:r>
          </w:p>
        </w:tc>
      </w:tr>
      <w:tr w14:paraId="13D0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jc w:val="center"/>
        </w:trPr>
        <w:tc>
          <w:tcPr>
            <w:tcW w:w="308" w:type="pct"/>
            <w:vMerge w:val="continue"/>
            <w:noWrap w:val="0"/>
            <w:vAlign w:val="center"/>
          </w:tcPr>
          <w:p w14:paraId="742A061B">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628372D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灭火方法：</w:t>
            </w:r>
          </w:p>
        </w:tc>
        <w:tc>
          <w:tcPr>
            <w:tcW w:w="3644" w:type="pct"/>
            <w:noWrap w:val="0"/>
            <w:vAlign w:val="center"/>
          </w:tcPr>
          <w:p w14:paraId="4BAEFEC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雾状水、砂土。</w:t>
            </w:r>
          </w:p>
        </w:tc>
      </w:tr>
      <w:tr w14:paraId="39B9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308" w:type="pct"/>
            <w:vMerge w:val="restart"/>
            <w:noWrap w:val="0"/>
            <w:vAlign w:val="center"/>
          </w:tcPr>
          <w:p w14:paraId="0F12D4FA">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包装与储运</w:t>
            </w:r>
          </w:p>
        </w:tc>
        <w:tc>
          <w:tcPr>
            <w:tcW w:w="1046" w:type="pct"/>
            <w:gridSpan w:val="2"/>
            <w:noWrap w:val="0"/>
            <w:vAlign w:val="center"/>
          </w:tcPr>
          <w:p w14:paraId="3E9043D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危险性类别：</w:t>
            </w:r>
          </w:p>
        </w:tc>
        <w:tc>
          <w:tcPr>
            <w:tcW w:w="3644" w:type="pct"/>
            <w:noWrap w:val="0"/>
            <w:vAlign w:val="center"/>
          </w:tcPr>
          <w:p w14:paraId="7C79E205">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第8.1类</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 xml:space="preserve">酸性腐蚀品 </w:t>
            </w:r>
          </w:p>
        </w:tc>
      </w:tr>
      <w:tr w14:paraId="3AC2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308" w:type="pct"/>
            <w:vMerge w:val="continue"/>
            <w:noWrap w:val="0"/>
            <w:vAlign w:val="center"/>
          </w:tcPr>
          <w:p w14:paraId="57A8E5CD">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0F00C40E">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危险货物包装标志：</w:t>
            </w:r>
          </w:p>
        </w:tc>
        <w:tc>
          <w:tcPr>
            <w:tcW w:w="3644" w:type="pct"/>
            <w:noWrap w:val="0"/>
            <w:vAlign w:val="center"/>
          </w:tcPr>
          <w:p w14:paraId="0F4600B7">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16</w:t>
            </w:r>
          </w:p>
        </w:tc>
      </w:tr>
      <w:tr w14:paraId="53C3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308" w:type="pct"/>
            <w:vMerge w:val="continue"/>
            <w:noWrap w:val="0"/>
            <w:vAlign w:val="center"/>
          </w:tcPr>
          <w:p w14:paraId="7DB57675">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09D8647B">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包装类别：</w:t>
            </w:r>
          </w:p>
        </w:tc>
        <w:tc>
          <w:tcPr>
            <w:tcW w:w="3644" w:type="pct"/>
            <w:noWrap w:val="0"/>
            <w:vAlign w:val="center"/>
          </w:tcPr>
          <w:p w14:paraId="603CA222">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Ⅱ</w:t>
            </w:r>
          </w:p>
        </w:tc>
      </w:tr>
      <w:tr w14:paraId="0847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308" w:type="pct"/>
            <w:vMerge w:val="continue"/>
            <w:noWrap w:val="0"/>
            <w:vAlign w:val="center"/>
          </w:tcPr>
          <w:p w14:paraId="65C2140D">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45ABC372">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储运注意事项：</w:t>
            </w:r>
          </w:p>
        </w:tc>
        <w:tc>
          <w:tcPr>
            <w:tcW w:w="3644" w:type="pct"/>
            <w:noWrap w:val="0"/>
            <w:vAlign w:val="center"/>
          </w:tcPr>
          <w:p w14:paraId="47ADD229">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储存于阴凉、干燥、通风处。应与碱类、金属粉末、卤素</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氟、氯、溴</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、易燃、可燃物等分开存放。不可混储混运。搬运时要轻装轻卸，防止包装及容器损坏。分装和搬运作业要注意个人防护。运输按规定路线行驶。</w:t>
            </w:r>
          </w:p>
        </w:tc>
      </w:tr>
      <w:tr w14:paraId="31F4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308" w:type="pct"/>
            <w:vMerge w:val="restart"/>
            <w:noWrap w:val="0"/>
            <w:vAlign w:val="center"/>
          </w:tcPr>
          <w:p w14:paraId="320024FA">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毒性危害</w:t>
            </w:r>
          </w:p>
        </w:tc>
        <w:tc>
          <w:tcPr>
            <w:tcW w:w="1046" w:type="pct"/>
            <w:gridSpan w:val="2"/>
            <w:noWrap w:val="0"/>
            <w:vAlign w:val="center"/>
          </w:tcPr>
          <w:p w14:paraId="17FCF86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接触限值：</w:t>
            </w:r>
          </w:p>
        </w:tc>
        <w:tc>
          <w:tcPr>
            <w:tcW w:w="3644" w:type="pct"/>
            <w:noWrap w:val="0"/>
            <w:vAlign w:val="center"/>
          </w:tcPr>
          <w:p w14:paraId="1D5AF8D7">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中国MAC；15mg/m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；苏联MAC：5mg/m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；美国TWA：OSHA</w:t>
            </w:r>
            <w:r>
              <w:rPr>
                <w:rFonts w:hint="default"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rPr>
              <w:t>5ppm，7.5[上限值] ACGIH 5ppm，7.5mg/m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[上限值]；美国STEL：未制定标准</w:t>
            </w:r>
          </w:p>
        </w:tc>
      </w:tr>
      <w:tr w14:paraId="46E3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308" w:type="pct"/>
            <w:vMerge w:val="continue"/>
            <w:noWrap w:val="0"/>
            <w:vAlign w:val="center"/>
          </w:tcPr>
          <w:p w14:paraId="07BECD47">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5571FF8A">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侵入途径：</w:t>
            </w:r>
          </w:p>
        </w:tc>
        <w:tc>
          <w:tcPr>
            <w:tcW w:w="3644" w:type="pct"/>
            <w:noWrap w:val="0"/>
            <w:vAlign w:val="center"/>
          </w:tcPr>
          <w:p w14:paraId="5D2D5B2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吸入</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食入</w:t>
            </w:r>
          </w:p>
        </w:tc>
      </w:tr>
      <w:tr w14:paraId="636E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308" w:type="pct"/>
            <w:vMerge w:val="continue"/>
            <w:noWrap w:val="0"/>
            <w:vAlign w:val="center"/>
          </w:tcPr>
          <w:p w14:paraId="4B54CA31">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4E7C149B">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毒性：</w:t>
            </w:r>
          </w:p>
        </w:tc>
        <w:tc>
          <w:tcPr>
            <w:tcW w:w="3644" w:type="pct"/>
            <w:noWrap w:val="0"/>
            <w:vAlign w:val="center"/>
          </w:tcPr>
          <w:p w14:paraId="2FF44D99">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LD50：900mg/kg</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兔经口</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。LC50：3124ppm 1小时</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大鼠吸入</w:t>
            </w:r>
            <w:r>
              <w:rPr>
                <w:rFonts w:hint="eastAsia" w:cs="Times New Roman"/>
                <w:color w:val="auto"/>
                <w:sz w:val="21"/>
                <w:szCs w:val="21"/>
                <w:lang w:eastAsia="zh-CN"/>
              </w:rPr>
              <w:t>）</w:t>
            </w:r>
          </w:p>
        </w:tc>
      </w:tr>
      <w:tr w14:paraId="2C68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8" w:type="pct"/>
            <w:vMerge w:val="continue"/>
            <w:noWrap w:val="0"/>
            <w:vAlign w:val="center"/>
          </w:tcPr>
          <w:p w14:paraId="34590C98">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2E23C507">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健康危害：</w:t>
            </w:r>
          </w:p>
        </w:tc>
        <w:tc>
          <w:tcPr>
            <w:tcW w:w="3644" w:type="pct"/>
            <w:noWrap w:val="0"/>
            <w:vAlign w:val="center"/>
          </w:tcPr>
          <w:p w14:paraId="23D1E6A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接触其蒸气或烟雾，引起眼结膜炎，鼻及口腔</w:t>
            </w:r>
            <w:r>
              <w:rPr>
                <w:rFonts w:hint="eastAsia" w:cs="Times New Roman"/>
                <w:color w:val="auto"/>
                <w:sz w:val="21"/>
                <w:szCs w:val="21"/>
                <w:lang w:eastAsia="zh-CN"/>
              </w:rPr>
              <w:t>黏</w:t>
            </w:r>
            <w:r>
              <w:rPr>
                <w:rFonts w:hint="eastAsia" w:ascii="Times New Roman" w:hAnsi="Times New Roman" w:eastAsia="宋体" w:cs="Times New Roman"/>
                <w:color w:val="auto"/>
                <w:sz w:val="21"/>
                <w:szCs w:val="21"/>
              </w:rPr>
              <w:t>膜有烧灼感，鼻衄、齿龈出血、气管炎；刺激皮肤发生皮炎，慢性支气管炎等病变。误服盐酸中毒，可引起消化道灼伤、溃疡形成，有可能胃穿孔、腹膜炎等。</w:t>
            </w:r>
          </w:p>
        </w:tc>
      </w:tr>
      <w:tr w14:paraId="04CE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8" w:type="pct"/>
            <w:vMerge w:val="restart"/>
            <w:noWrap w:val="0"/>
            <w:vAlign w:val="center"/>
          </w:tcPr>
          <w:p w14:paraId="3933ADEC">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急救</w:t>
            </w:r>
          </w:p>
        </w:tc>
        <w:tc>
          <w:tcPr>
            <w:tcW w:w="1046" w:type="pct"/>
            <w:gridSpan w:val="2"/>
            <w:noWrap w:val="0"/>
            <w:vAlign w:val="center"/>
          </w:tcPr>
          <w:p w14:paraId="3FF505B3">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皮肤接触：</w:t>
            </w:r>
          </w:p>
        </w:tc>
        <w:tc>
          <w:tcPr>
            <w:tcW w:w="3644" w:type="pct"/>
            <w:noWrap w:val="0"/>
            <w:vAlign w:val="center"/>
          </w:tcPr>
          <w:p w14:paraId="2B8C7489">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立即用水冲洗至少15分钟。或用2%碳酸氢钠溶液冲洗。若有灼伤，就医治疗。</w:t>
            </w:r>
          </w:p>
        </w:tc>
      </w:tr>
      <w:tr w14:paraId="319D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8" w:type="pct"/>
            <w:vMerge w:val="continue"/>
            <w:noWrap w:val="0"/>
            <w:vAlign w:val="center"/>
          </w:tcPr>
          <w:p w14:paraId="47FB1E87">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1E3E6A4E">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眼睛接触：</w:t>
            </w:r>
          </w:p>
        </w:tc>
        <w:tc>
          <w:tcPr>
            <w:tcW w:w="3644" w:type="pct"/>
            <w:noWrap w:val="0"/>
            <w:vAlign w:val="center"/>
          </w:tcPr>
          <w:p w14:paraId="020BFEDA">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立即提起眼睑，用流动清水冲洗10分钟或用2%碳酸氢钠溶液冲洗。</w:t>
            </w:r>
          </w:p>
        </w:tc>
      </w:tr>
      <w:tr w14:paraId="5F26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8" w:type="pct"/>
            <w:vMerge w:val="continue"/>
            <w:noWrap w:val="0"/>
            <w:vAlign w:val="center"/>
          </w:tcPr>
          <w:p w14:paraId="22463247">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057DDE5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吸入：</w:t>
            </w:r>
          </w:p>
        </w:tc>
        <w:tc>
          <w:tcPr>
            <w:tcW w:w="3644" w:type="pct"/>
            <w:noWrap w:val="0"/>
            <w:vAlign w:val="center"/>
          </w:tcPr>
          <w:p w14:paraId="16E1A623">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迅速脱离现场至空气新鲜处。呼吸困难时给输氧。给予</w:t>
            </w:r>
            <w:r>
              <w:rPr>
                <w:rFonts w:hint="eastAsia" w:cs="Times New Roman"/>
                <w:color w:val="auto"/>
                <w:sz w:val="21"/>
                <w:szCs w:val="21"/>
                <w:lang w:eastAsia="zh-CN"/>
              </w:rPr>
              <w:t>2%～4%</w:t>
            </w:r>
            <w:r>
              <w:rPr>
                <w:rFonts w:hint="eastAsia" w:ascii="Times New Roman" w:hAnsi="Times New Roman" w:eastAsia="宋体" w:cs="Times New Roman"/>
                <w:color w:val="auto"/>
                <w:sz w:val="21"/>
                <w:szCs w:val="21"/>
              </w:rPr>
              <w:t>碳酸氢钠溶液雾化吸入。就医。</w:t>
            </w:r>
          </w:p>
        </w:tc>
      </w:tr>
      <w:tr w14:paraId="7D45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8" w:type="pct"/>
            <w:vMerge w:val="continue"/>
            <w:noWrap w:val="0"/>
            <w:vAlign w:val="center"/>
          </w:tcPr>
          <w:p w14:paraId="3D6FF8A8">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1A60893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食入： </w:t>
            </w:r>
          </w:p>
        </w:tc>
        <w:tc>
          <w:tcPr>
            <w:tcW w:w="3644" w:type="pct"/>
            <w:noWrap w:val="0"/>
            <w:vAlign w:val="center"/>
          </w:tcPr>
          <w:p w14:paraId="574DE24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误服者立即漱口，给牛奶、蛋清、植物油等口服，不可催吐。立即就医。</w:t>
            </w:r>
          </w:p>
        </w:tc>
      </w:tr>
      <w:tr w14:paraId="28B5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308" w:type="pct"/>
            <w:vMerge w:val="restart"/>
            <w:noWrap w:val="0"/>
            <w:vAlign w:val="center"/>
          </w:tcPr>
          <w:p w14:paraId="4BE41F83">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防护措施</w:t>
            </w:r>
          </w:p>
        </w:tc>
        <w:tc>
          <w:tcPr>
            <w:tcW w:w="1046" w:type="pct"/>
            <w:gridSpan w:val="2"/>
            <w:noWrap w:val="0"/>
            <w:vAlign w:val="center"/>
          </w:tcPr>
          <w:p w14:paraId="11F66A5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工程控制：</w:t>
            </w:r>
          </w:p>
        </w:tc>
        <w:tc>
          <w:tcPr>
            <w:tcW w:w="3644" w:type="pct"/>
            <w:noWrap w:val="0"/>
            <w:vAlign w:val="center"/>
          </w:tcPr>
          <w:p w14:paraId="2CD9678B">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密闭操作，注意通风。尽可能机械化、自动化。</w:t>
            </w:r>
          </w:p>
        </w:tc>
      </w:tr>
      <w:tr w14:paraId="740A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308" w:type="pct"/>
            <w:vMerge w:val="continue"/>
            <w:noWrap w:val="0"/>
            <w:textDirection w:val="tbRlV"/>
            <w:vAlign w:val="center"/>
          </w:tcPr>
          <w:p w14:paraId="4A6964D3">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61EA74E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呼吸系统防护：</w:t>
            </w:r>
          </w:p>
        </w:tc>
        <w:tc>
          <w:tcPr>
            <w:tcW w:w="3644" w:type="pct"/>
            <w:noWrap w:val="0"/>
            <w:vAlign w:val="center"/>
          </w:tcPr>
          <w:p w14:paraId="12372393">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可能接触其蒸气或烟雾时，必须</w:t>
            </w:r>
            <w:r>
              <w:rPr>
                <w:rFonts w:hint="eastAsia" w:cs="Times New Roman"/>
                <w:color w:val="auto"/>
                <w:sz w:val="21"/>
                <w:szCs w:val="21"/>
                <w:lang w:eastAsia="zh-CN"/>
              </w:rPr>
              <w:t>佩戴防毒面具</w:t>
            </w:r>
            <w:r>
              <w:rPr>
                <w:rFonts w:hint="eastAsia" w:ascii="Times New Roman" w:hAnsi="Times New Roman" w:eastAsia="宋体" w:cs="Times New Roman"/>
                <w:color w:val="auto"/>
                <w:sz w:val="21"/>
                <w:szCs w:val="21"/>
              </w:rPr>
              <w:t>或</w:t>
            </w:r>
            <w:r>
              <w:rPr>
                <w:rFonts w:hint="eastAsia" w:cs="Times New Roman"/>
                <w:color w:val="auto"/>
                <w:sz w:val="21"/>
                <w:szCs w:val="21"/>
                <w:lang w:eastAsia="zh-CN"/>
              </w:rPr>
              <w:t>充气</w:t>
            </w:r>
            <w:r>
              <w:rPr>
                <w:rFonts w:hint="eastAsia" w:ascii="Times New Roman" w:hAnsi="Times New Roman" w:eastAsia="宋体" w:cs="Times New Roman"/>
                <w:color w:val="auto"/>
                <w:sz w:val="21"/>
                <w:szCs w:val="21"/>
              </w:rPr>
              <w:t>式头盔。紧急事态抢救或逃生时，建议佩</w:t>
            </w:r>
            <w:r>
              <w:rPr>
                <w:rFonts w:hint="eastAsia" w:cs="Times New Roman"/>
                <w:color w:val="auto"/>
                <w:sz w:val="21"/>
                <w:szCs w:val="21"/>
                <w:lang w:eastAsia="zh-CN"/>
              </w:rPr>
              <w:t>戴</w:t>
            </w:r>
            <w:r>
              <w:rPr>
                <w:rFonts w:hint="eastAsia" w:ascii="Times New Roman" w:hAnsi="Times New Roman" w:eastAsia="宋体" w:cs="Times New Roman"/>
                <w:color w:val="auto"/>
                <w:sz w:val="21"/>
                <w:szCs w:val="21"/>
              </w:rPr>
              <w:t>自给式呼吸器。</w:t>
            </w:r>
          </w:p>
        </w:tc>
      </w:tr>
      <w:tr w14:paraId="072C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308" w:type="pct"/>
            <w:vMerge w:val="continue"/>
            <w:noWrap w:val="0"/>
            <w:textDirection w:val="tbRlV"/>
            <w:vAlign w:val="center"/>
          </w:tcPr>
          <w:p w14:paraId="3F105F3B">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3EDC3B6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眼睛防护：</w:t>
            </w:r>
          </w:p>
        </w:tc>
        <w:tc>
          <w:tcPr>
            <w:tcW w:w="3644" w:type="pct"/>
            <w:noWrap w:val="0"/>
            <w:vAlign w:val="center"/>
          </w:tcPr>
          <w:p w14:paraId="4CCC917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戴化学安全防护眼镜。</w:t>
            </w:r>
          </w:p>
        </w:tc>
      </w:tr>
      <w:tr w14:paraId="185F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308" w:type="pct"/>
            <w:vMerge w:val="continue"/>
            <w:noWrap w:val="0"/>
            <w:textDirection w:val="tbRlV"/>
            <w:vAlign w:val="center"/>
          </w:tcPr>
          <w:p w14:paraId="66A5FBEC">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55EDC06E">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防护服：</w:t>
            </w:r>
          </w:p>
        </w:tc>
        <w:tc>
          <w:tcPr>
            <w:tcW w:w="3644" w:type="pct"/>
            <w:noWrap w:val="0"/>
            <w:vAlign w:val="center"/>
          </w:tcPr>
          <w:p w14:paraId="4BE0C116">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穿工作服</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防腐材料制作</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p>
        </w:tc>
      </w:tr>
      <w:tr w14:paraId="0156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308" w:type="pct"/>
            <w:vMerge w:val="continue"/>
            <w:noWrap w:val="0"/>
            <w:textDirection w:val="tbRlV"/>
            <w:vAlign w:val="center"/>
          </w:tcPr>
          <w:p w14:paraId="218C01D2">
            <w:pPr>
              <w:spacing w:line="260" w:lineRule="exact"/>
              <w:jc w:val="center"/>
              <w:rPr>
                <w:rFonts w:hint="eastAsia" w:ascii="Times New Roman" w:hAnsi="Times New Roman" w:eastAsia="宋体" w:cs="Times New Roman"/>
                <w:color w:val="auto"/>
                <w:sz w:val="21"/>
                <w:szCs w:val="21"/>
              </w:rPr>
            </w:pPr>
          </w:p>
        </w:tc>
        <w:tc>
          <w:tcPr>
            <w:tcW w:w="1046" w:type="pct"/>
            <w:gridSpan w:val="2"/>
            <w:noWrap w:val="0"/>
            <w:vAlign w:val="center"/>
          </w:tcPr>
          <w:p w14:paraId="21EF0AD6">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手防护：</w:t>
            </w:r>
          </w:p>
        </w:tc>
        <w:tc>
          <w:tcPr>
            <w:tcW w:w="3644" w:type="pct"/>
            <w:noWrap w:val="0"/>
            <w:vAlign w:val="center"/>
          </w:tcPr>
          <w:p w14:paraId="4707260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戴橡皮手套。</w:t>
            </w:r>
          </w:p>
        </w:tc>
      </w:tr>
      <w:tr w14:paraId="5BDC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796" w:type="pct"/>
            <w:gridSpan w:val="2"/>
            <w:noWrap w:val="0"/>
            <w:vAlign w:val="center"/>
          </w:tcPr>
          <w:p w14:paraId="3810D04D">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泄漏处置</w:t>
            </w:r>
          </w:p>
        </w:tc>
        <w:tc>
          <w:tcPr>
            <w:tcW w:w="4203" w:type="pct"/>
            <w:gridSpan w:val="2"/>
            <w:noWrap w:val="0"/>
            <w:vAlign w:val="center"/>
          </w:tcPr>
          <w:p w14:paraId="1FDE9AD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疏散泄漏污染区人员至安全区，禁止无关人员进入污染区，建议应急处理人员戴好防毒面具，穿化学防护服。不要直接接触泄漏物，禁止向泄漏物直接喷水，更不要让水进入包装容器内。用沙土、干燥石灰或苏打灰混合，然后收集运至废物处理场所处置。也可以用大量水冲洗，经稀释的洗水放入废水系统。如大量泄漏，利用围堤收容，然后收集、转移、回收或无害处理后废弃。</w:t>
            </w:r>
          </w:p>
        </w:tc>
      </w:tr>
      <w:tr w14:paraId="3BAE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796" w:type="pct"/>
            <w:gridSpan w:val="2"/>
            <w:noWrap w:val="0"/>
            <w:vAlign w:val="center"/>
          </w:tcPr>
          <w:p w14:paraId="2D6B5A44">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其  他</w:t>
            </w:r>
          </w:p>
        </w:tc>
        <w:tc>
          <w:tcPr>
            <w:tcW w:w="4203" w:type="pct"/>
            <w:gridSpan w:val="2"/>
            <w:noWrap w:val="0"/>
            <w:vAlign w:val="center"/>
          </w:tcPr>
          <w:p w14:paraId="58F5601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工作后，淋浴更衣。单独存放被毒物污染的衣服，洗后再用。保持良好的卫生习惯。</w:t>
            </w:r>
          </w:p>
        </w:tc>
      </w:tr>
    </w:tbl>
    <w:p w14:paraId="65093592">
      <w:pPr>
        <w:pStyle w:val="4"/>
        <w:numPr>
          <w:ilvl w:val="3"/>
          <w:numId w:val="10"/>
        </w:numPr>
        <w:tabs>
          <w:tab w:val="left" w:pos="1358"/>
          <w:tab w:val="left" w:pos="2153"/>
        </w:tabs>
        <w:ind w:left="1358"/>
        <w:outlineLvl w:val="4"/>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auto"/>
          <w:lang w:val="zh-CN" w:eastAsia="zh-CN"/>
        </w:rPr>
        <w:t>硫酸</w:t>
      </w:r>
      <w:r>
        <w:rPr>
          <w:rFonts w:hint="eastAsia" w:ascii="Times New Roman" w:hAnsi="Times New Roman" w:eastAsia="宋体" w:cs="Times New Roman"/>
          <w:color w:val="auto"/>
          <w:lang w:val="en-US" w:eastAsia="zh-CN"/>
        </w:rPr>
        <w:t>镍</w:t>
      </w:r>
      <w:r>
        <w:rPr>
          <w:rFonts w:hint="default" w:ascii="Times New Roman" w:hAnsi="Times New Roman" w:eastAsia="宋体" w:cs="Times New Roman"/>
          <w:color w:val="auto"/>
          <w:lang w:val="zh-CN" w:eastAsia="zh-CN"/>
        </w:rPr>
        <w:t>安全技术说明书</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829"/>
        <w:gridCol w:w="6607"/>
      </w:tblGrid>
      <w:tr w14:paraId="2FF4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restart"/>
            <w:noWrap w:val="0"/>
            <w:vAlign w:val="center"/>
          </w:tcPr>
          <w:p w14:paraId="26F8C950">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标识</w:t>
            </w:r>
          </w:p>
        </w:tc>
        <w:tc>
          <w:tcPr>
            <w:tcW w:w="1016" w:type="pct"/>
            <w:noWrap w:val="0"/>
            <w:vAlign w:val="center"/>
          </w:tcPr>
          <w:p w14:paraId="7A00BCB1">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中文名：</w:t>
            </w:r>
          </w:p>
        </w:tc>
        <w:tc>
          <w:tcPr>
            <w:tcW w:w="3674" w:type="pct"/>
            <w:noWrap w:val="0"/>
            <w:vAlign w:val="center"/>
          </w:tcPr>
          <w:p w14:paraId="1495F5E8">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硫酸镍            </w:t>
            </w:r>
          </w:p>
        </w:tc>
      </w:tr>
      <w:tr w14:paraId="2BC3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6D71BB79">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7033528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英文名：</w:t>
            </w:r>
          </w:p>
        </w:tc>
        <w:tc>
          <w:tcPr>
            <w:tcW w:w="3674" w:type="pct"/>
            <w:noWrap w:val="0"/>
            <w:vAlign w:val="center"/>
          </w:tcPr>
          <w:p w14:paraId="33280A68">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Nickel sulfate；Niokel monosulfate hexahydrate</w:t>
            </w:r>
          </w:p>
        </w:tc>
      </w:tr>
      <w:tr w14:paraId="2F95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6B309F65">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0ECB2A36">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分子式：</w:t>
            </w:r>
          </w:p>
        </w:tc>
        <w:tc>
          <w:tcPr>
            <w:tcW w:w="3674" w:type="pct"/>
            <w:noWrap w:val="0"/>
            <w:vAlign w:val="center"/>
          </w:tcPr>
          <w:p w14:paraId="5CFEEDFA">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NiSO</w:t>
            </w:r>
            <w:r>
              <w:rPr>
                <w:rFonts w:hint="eastAsia" w:ascii="Times New Roman" w:hAnsi="Times New Roman" w:eastAsia="宋体" w:cs="Times New Roman"/>
                <w:color w:val="auto"/>
                <w:sz w:val="21"/>
                <w:szCs w:val="21"/>
                <w:vertAlign w:val="subscript"/>
              </w:rPr>
              <w:t>4</w:t>
            </w:r>
            <w:r>
              <w:rPr>
                <w:rFonts w:hint="eastAsia" w:ascii="Times New Roman" w:hAnsi="Times New Roman" w:eastAsia="宋体" w:cs="Times New Roman"/>
                <w:color w:val="auto"/>
                <w:sz w:val="21"/>
                <w:szCs w:val="21"/>
              </w:rPr>
              <w:t>·6H</w:t>
            </w:r>
            <w:r>
              <w:rPr>
                <w:rFonts w:hint="eastAsia" w:ascii="Times New Roman" w:hAnsi="Times New Roman" w:eastAsia="宋体" w:cs="Times New Roman"/>
                <w:color w:val="auto"/>
                <w:sz w:val="21"/>
                <w:szCs w:val="21"/>
                <w:vertAlign w:val="subscript"/>
              </w:rPr>
              <w:t>2</w:t>
            </w:r>
            <w:r>
              <w:rPr>
                <w:rFonts w:hint="eastAsia" w:ascii="Times New Roman" w:hAnsi="Times New Roman" w:eastAsia="宋体" w:cs="Times New Roman"/>
                <w:color w:val="auto"/>
                <w:sz w:val="21"/>
                <w:szCs w:val="21"/>
              </w:rPr>
              <w:t>O                            分子量：262.86</w:t>
            </w:r>
          </w:p>
        </w:tc>
      </w:tr>
      <w:tr w14:paraId="310C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147C69EE">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7E7B2A3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CAS号：</w:t>
            </w:r>
          </w:p>
        </w:tc>
        <w:tc>
          <w:tcPr>
            <w:tcW w:w="3674" w:type="pct"/>
            <w:noWrap w:val="0"/>
            <w:vAlign w:val="center"/>
          </w:tcPr>
          <w:p w14:paraId="3098A7FC">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10101—97—0                   RTECS号：QR9600000</w:t>
            </w:r>
          </w:p>
        </w:tc>
      </w:tr>
      <w:tr w14:paraId="182F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restart"/>
            <w:noWrap w:val="0"/>
            <w:vAlign w:val="center"/>
          </w:tcPr>
          <w:p w14:paraId="6B108762">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理化性质</w:t>
            </w:r>
          </w:p>
        </w:tc>
        <w:tc>
          <w:tcPr>
            <w:tcW w:w="1016" w:type="pct"/>
            <w:noWrap w:val="0"/>
            <w:vAlign w:val="center"/>
          </w:tcPr>
          <w:p w14:paraId="6010CBF0">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外观与性状：</w:t>
            </w:r>
          </w:p>
        </w:tc>
        <w:tc>
          <w:tcPr>
            <w:tcW w:w="3674" w:type="pct"/>
            <w:noWrap w:val="0"/>
            <w:vAlign w:val="center"/>
          </w:tcPr>
          <w:p w14:paraId="437BA109">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绿色结晶，正方晶系。</w:t>
            </w:r>
          </w:p>
        </w:tc>
      </w:tr>
      <w:tr w14:paraId="30F9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4D50BC23">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0FD3F4C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主要用途：</w:t>
            </w:r>
          </w:p>
        </w:tc>
        <w:tc>
          <w:tcPr>
            <w:tcW w:w="3674" w:type="pct"/>
            <w:noWrap w:val="0"/>
            <w:vAlign w:val="center"/>
          </w:tcPr>
          <w:p w14:paraId="08881157">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主要用于电镀工业及制镍镉电池和其他镍盐，也用于有机合成和生产硬化油作为油漆的催化剂。</w:t>
            </w:r>
          </w:p>
        </w:tc>
      </w:tr>
      <w:tr w14:paraId="2E18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3A2199FF">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05D67B1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沸点</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p>
        </w:tc>
        <w:tc>
          <w:tcPr>
            <w:tcW w:w="3674" w:type="pct"/>
            <w:noWrap w:val="0"/>
            <w:vAlign w:val="center"/>
          </w:tcPr>
          <w:p w14:paraId="30286A79">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840</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无水</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 xml:space="preserve">                     相对密度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水=1)：2.07</w:t>
            </w:r>
          </w:p>
        </w:tc>
      </w:tr>
      <w:tr w14:paraId="62C6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74ED3F19">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7A372650">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溶解性：</w:t>
            </w:r>
          </w:p>
        </w:tc>
        <w:tc>
          <w:tcPr>
            <w:tcW w:w="3674" w:type="pct"/>
            <w:noWrap w:val="0"/>
            <w:vAlign w:val="center"/>
          </w:tcPr>
          <w:p w14:paraId="2D0C2F13">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易溶于水，溶于乙醇，微溶于酸、氨水。</w:t>
            </w:r>
          </w:p>
        </w:tc>
      </w:tr>
      <w:tr w14:paraId="6F4B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restart"/>
            <w:noWrap w:val="0"/>
            <w:vAlign w:val="center"/>
          </w:tcPr>
          <w:p w14:paraId="7EDF53D9">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燃烧爆炸危险性</w:t>
            </w:r>
          </w:p>
        </w:tc>
        <w:tc>
          <w:tcPr>
            <w:tcW w:w="1016" w:type="pct"/>
            <w:noWrap w:val="0"/>
            <w:vAlign w:val="center"/>
          </w:tcPr>
          <w:p w14:paraId="4E8ABEBE">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燃烧性：</w:t>
            </w:r>
          </w:p>
        </w:tc>
        <w:tc>
          <w:tcPr>
            <w:tcW w:w="3674" w:type="pct"/>
            <w:noWrap w:val="0"/>
            <w:vAlign w:val="center"/>
          </w:tcPr>
          <w:p w14:paraId="77F1BB82">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不燃 </w:t>
            </w:r>
          </w:p>
        </w:tc>
      </w:tr>
      <w:tr w14:paraId="4ABF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7991E2DE">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7728C4B6">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自燃温度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 xml:space="preserve"> ：</w:t>
            </w:r>
          </w:p>
        </w:tc>
        <w:tc>
          <w:tcPr>
            <w:tcW w:w="3674" w:type="pct"/>
            <w:noWrap w:val="0"/>
            <w:vAlign w:val="center"/>
          </w:tcPr>
          <w:p w14:paraId="7396544D">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引燃温度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：无意义</w:t>
            </w:r>
          </w:p>
        </w:tc>
      </w:tr>
      <w:tr w14:paraId="2AEA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70F888E2">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68DD652E">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危险特性：</w:t>
            </w:r>
          </w:p>
        </w:tc>
        <w:tc>
          <w:tcPr>
            <w:tcW w:w="3674" w:type="pct"/>
            <w:noWrap w:val="0"/>
            <w:vAlign w:val="center"/>
          </w:tcPr>
          <w:p w14:paraId="0DD20468">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受高热分解产生有毒的硫化物烟气。</w:t>
            </w:r>
          </w:p>
        </w:tc>
      </w:tr>
      <w:tr w14:paraId="550A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37AF3E6F">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711D797E">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分解</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产物：</w:t>
            </w:r>
          </w:p>
        </w:tc>
        <w:tc>
          <w:tcPr>
            <w:tcW w:w="3674" w:type="pct"/>
            <w:noWrap w:val="0"/>
            <w:vAlign w:val="center"/>
          </w:tcPr>
          <w:p w14:paraId="515DC5A3">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氧化硫。                    稳定性：稳定</w:t>
            </w:r>
          </w:p>
        </w:tc>
      </w:tr>
      <w:tr w14:paraId="4FF7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0BABBD28">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16FC99D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聚合危害：</w:t>
            </w:r>
          </w:p>
        </w:tc>
        <w:tc>
          <w:tcPr>
            <w:tcW w:w="3674" w:type="pct"/>
            <w:noWrap w:val="0"/>
            <w:vAlign w:val="center"/>
          </w:tcPr>
          <w:p w14:paraId="1E6522F2">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不能出现                    禁忌物：强氧化剂。</w:t>
            </w:r>
          </w:p>
        </w:tc>
      </w:tr>
      <w:tr w14:paraId="6DBE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6992B7DC">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259BE1FB">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灭火方法：</w:t>
            </w:r>
          </w:p>
        </w:tc>
        <w:tc>
          <w:tcPr>
            <w:tcW w:w="3674" w:type="pct"/>
            <w:noWrap w:val="0"/>
            <w:vAlign w:val="center"/>
          </w:tcPr>
          <w:p w14:paraId="1180A2E2">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不燃。火场周围可用的灭火介质。</w:t>
            </w:r>
          </w:p>
        </w:tc>
      </w:tr>
      <w:tr w14:paraId="2832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restart"/>
            <w:noWrap w:val="0"/>
            <w:vAlign w:val="center"/>
          </w:tcPr>
          <w:p w14:paraId="0209EF6E">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包装与储运</w:t>
            </w:r>
          </w:p>
        </w:tc>
        <w:tc>
          <w:tcPr>
            <w:tcW w:w="1016" w:type="pct"/>
            <w:noWrap w:val="0"/>
            <w:vAlign w:val="center"/>
          </w:tcPr>
          <w:p w14:paraId="365728F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危险性类别：</w:t>
            </w:r>
          </w:p>
        </w:tc>
        <w:tc>
          <w:tcPr>
            <w:tcW w:w="3674" w:type="pct"/>
            <w:noWrap w:val="0"/>
            <w:vAlign w:val="center"/>
          </w:tcPr>
          <w:p w14:paraId="619577F0">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第6．1类 毒害品</w:t>
            </w:r>
          </w:p>
        </w:tc>
      </w:tr>
      <w:tr w14:paraId="456B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1B765038">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77458C59">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危险货物包装标志：</w:t>
            </w:r>
          </w:p>
        </w:tc>
        <w:tc>
          <w:tcPr>
            <w:tcW w:w="3674" w:type="pct"/>
            <w:noWrap w:val="0"/>
            <w:vAlign w:val="center"/>
          </w:tcPr>
          <w:p w14:paraId="37DF084A">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                   包装类别： </w:t>
            </w:r>
          </w:p>
        </w:tc>
      </w:tr>
      <w:tr w14:paraId="184EE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402221FC">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2FB52F45">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储运注意事项：</w:t>
            </w:r>
          </w:p>
        </w:tc>
        <w:tc>
          <w:tcPr>
            <w:tcW w:w="3674" w:type="pct"/>
            <w:noWrap w:val="0"/>
            <w:vAlign w:val="center"/>
          </w:tcPr>
          <w:p w14:paraId="0D432A51">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储存于阴凉、干燥、通风良好的库房。远离火种、热源。包装必须完整密封，防止吸潮。应与氧化剂分开存放。搬运时要轻装轻卸，防止包装及容器损坏。</w:t>
            </w:r>
          </w:p>
        </w:tc>
      </w:tr>
      <w:tr w14:paraId="05F7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restart"/>
            <w:noWrap w:val="0"/>
            <w:vAlign w:val="center"/>
          </w:tcPr>
          <w:p w14:paraId="7BAD101F">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毒性危害</w:t>
            </w:r>
          </w:p>
        </w:tc>
        <w:tc>
          <w:tcPr>
            <w:tcW w:w="1016" w:type="pct"/>
            <w:noWrap w:val="0"/>
            <w:vAlign w:val="center"/>
          </w:tcPr>
          <w:p w14:paraId="1610C3B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接触限值：</w:t>
            </w:r>
          </w:p>
        </w:tc>
        <w:tc>
          <w:tcPr>
            <w:tcW w:w="3674" w:type="pct"/>
            <w:noWrap w:val="0"/>
            <w:vAlign w:val="center"/>
          </w:tcPr>
          <w:p w14:paraId="2DDC9089">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  国  MAC：0.5mg[Ni]/m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苏联</w:t>
            </w:r>
            <w:r>
              <w:rPr>
                <w:rFonts w:hint="eastAsia" w:ascii="Times New Roman" w:hAnsi="Times New Roman" w:eastAsia="宋体" w:cs="Times New Roman"/>
                <w:color w:val="auto"/>
                <w:sz w:val="21"/>
                <w:szCs w:val="21"/>
              </w:rPr>
              <w:t>MAC：未制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p>
          <w:p w14:paraId="576C01FD">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美国TLV—TWA：ACGIH 0.1mg[Ni]/m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；美国TLV—STEL：未制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p>
        </w:tc>
      </w:tr>
      <w:tr w14:paraId="1A85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05167DAA">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2996374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侵入途径：</w:t>
            </w:r>
          </w:p>
        </w:tc>
        <w:tc>
          <w:tcPr>
            <w:tcW w:w="3674" w:type="pct"/>
            <w:noWrap w:val="0"/>
            <w:vAlign w:val="center"/>
          </w:tcPr>
          <w:p w14:paraId="3608993E">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吸入  食入</w:t>
            </w:r>
          </w:p>
        </w:tc>
      </w:tr>
      <w:tr w14:paraId="78FF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5A682DEF">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25E6E006">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毒性：</w:t>
            </w:r>
          </w:p>
        </w:tc>
        <w:tc>
          <w:tcPr>
            <w:tcW w:w="3674" w:type="pct"/>
            <w:noWrap w:val="0"/>
            <w:vAlign w:val="center"/>
          </w:tcPr>
          <w:p w14:paraId="1CA5009E">
            <w:pPr>
              <w:spacing w:line="260" w:lineRule="exact"/>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LD50：</w:t>
            </w:r>
            <w:r>
              <w:rPr>
                <w:rFonts w:hint="eastAsia" w:ascii="Times New Roman" w:hAnsi="Times New Roman" w:eastAsia="宋体" w:cs="Times New Roman"/>
                <w:color w:val="auto"/>
                <w:sz w:val="21"/>
                <w:szCs w:val="21"/>
                <w:lang w:val="en-US" w:eastAsia="zh-CN"/>
              </w:rPr>
              <w:t>275</w:t>
            </w:r>
            <w:r>
              <w:rPr>
                <w:rFonts w:hint="default" w:ascii="Times New Roman" w:hAnsi="Times New Roman" w:eastAsia="宋体" w:cs="Times New Roman"/>
                <w:color w:val="auto"/>
                <w:sz w:val="21"/>
                <w:szCs w:val="21"/>
                <w:lang w:val="en-US" w:eastAsia="zh-CN"/>
              </w:rPr>
              <w:t>mg/km（大鼠口径）；</w:t>
            </w:r>
          </w:p>
        </w:tc>
      </w:tr>
      <w:tr w14:paraId="1F4A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6714B85D">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1D20C7CB">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健康危害：</w:t>
            </w:r>
          </w:p>
        </w:tc>
        <w:tc>
          <w:tcPr>
            <w:tcW w:w="3674" w:type="pct"/>
            <w:noWrap w:val="0"/>
            <w:vAlign w:val="center"/>
          </w:tcPr>
          <w:p w14:paraId="50A71436">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吸入后对呼吸道有刺激性。对本品敏感的个体，可引起哮喘和肺嗜酸细胞增多症，可致支气管炎。粉尘对眼睛有刺激性。皮肤接触可引起变应性皮肤损害，主要表现为皮炎和湿疹。皮损多局限于局部，亦可蔓延至全身，常伴有剧烈的瘙痒，故称为“</w:t>
            </w:r>
            <w:r>
              <w:rPr>
                <w:rFonts w:hint="eastAsia" w:cs="Times New Roman"/>
                <w:color w:val="auto"/>
                <w:sz w:val="21"/>
                <w:szCs w:val="21"/>
                <w:lang w:eastAsia="zh-CN"/>
              </w:rPr>
              <w:t>瘙</w:t>
            </w:r>
            <w:r>
              <w:rPr>
                <w:rFonts w:hint="eastAsia" w:ascii="Times New Roman" w:hAnsi="Times New Roman" w:eastAsia="宋体" w:cs="Times New Roman"/>
                <w:color w:val="auto"/>
                <w:sz w:val="21"/>
                <w:szCs w:val="21"/>
              </w:rPr>
              <w:t>痒症”。摄入大量本品可引起恶心、呕吐和眩晕。镍及其盐类为确认的职业性致癌物。</w:t>
            </w:r>
          </w:p>
        </w:tc>
      </w:tr>
      <w:tr w14:paraId="630E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restart"/>
            <w:noWrap w:val="0"/>
            <w:vAlign w:val="center"/>
          </w:tcPr>
          <w:p w14:paraId="7009C95C">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急救</w:t>
            </w:r>
          </w:p>
        </w:tc>
        <w:tc>
          <w:tcPr>
            <w:tcW w:w="1016" w:type="pct"/>
            <w:noWrap w:val="0"/>
            <w:vAlign w:val="center"/>
          </w:tcPr>
          <w:p w14:paraId="3613660A">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皮肤接触：</w:t>
            </w:r>
          </w:p>
        </w:tc>
        <w:tc>
          <w:tcPr>
            <w:tcW w:w="3674" w:type="pct"/>
            <w:noWrap w:val="0"/>
            <w:vAlign w:val="center"/>
          </w:tcPr>
          <w:p w14:paraId="12457FD5">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脱去污染的衣着，用大量流动清水彻底冲洗。</w:t>
            </w:r>
          </w:p>
        </w:tc>
      </w:tr>
      <w:tr w14:paraId="7DEE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4A026E15">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7F04D39B">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眼睛接触：</w:t>
            </w:r>
          </w:p>
        </w:tc>
        <w:tc>
          <w:tcPr>
            <w:tcW w:w="3674" w:type="pct"/>
            <w:noWrap w:val="0"/>
            <w:vAlign w:val="center"/>
          </w:tcPr>
          <w:p w14:paraId="044A4084">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立即翻开上下眼睑</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，用流动清水或生理盐水冲洗。就医。</w:t>
            </w:r>
          </w:p>
        </w:tc>
      </w:tr>
      <w:tr w14:paraId="69B4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4859A3F0">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770476C1">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吸入：</w:t>
            </w:r>
          </w:p>
        </w:tc>
        <w:tc>
          <w:tcPr>
            <w:tcW w:w="3674" w:type="pct"/>
            <w:noWrap w:val="0"/>
            <w:vAlign w:val="center"/>
          </w:tcPr>
          <w:p w14:paraId="708704DA">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迅速脱离现场至空气新鲜处。保持呼吸道通畅。呼吸困难时给输氧。呼吸停止时，立即进行人工呼吸。就医。</w:t>
            </w:r>
          </w:p>
        </w:tc>
      </w:tr>
      <w:tr w14:paraId="3D83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vAlign w:val="center"/>
          </w:tcPr>
          <w:p w14:paraId="2826399F">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67F8EA26">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食入：</w:t>
            </w:r>
          </w:p>
        </w:tc>
        <w:tc>
          <w:tcPr>
            <w:tcW w:w="3674" w:type="pct"/>
            <w:noWrap w:val="0"/>
            <w:vAlign w:val="center"/>
          </w:tcPr>
          <w:p w14:paraId="24F246E6">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误服者</w:t>
            </w:r>
            <w:r>
              <w:rPr>
                <w:rFonts w:hint="eastAsia" w:cs="Times New Roman"/>
                <w:color w:val="auto"/>
                <w:sz w:val="21"/>
                <w:szCs w:val="21"/>
                <w:lang w:eastAsia="zh-CN"/>
              </w:rPr>
              <w:t>漱口</w:t>
            </w:r>
            <w:r>
              <w:rPr>
                <w:rFonts w:hint="eastAsia" w:ascii="Times New Roman" w:hAnsi="Times New Roman" w:eastAsia="宋体" w:cs="Times New Roman"/>
                <w:color w:val="auto"/>
                <w:sz w:val="21"/>
                <w:szCs w:val="21"/>
              </w:rPr>
              <w:t>，给饮牛奶或蛋清，就医。</w:t>
            </w:r>
          </w:p>
        </w:tc>
      </w:tr>
      <w:tr w14:paraId="3EFA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restart"/>
            <w:noWrap w:val="0"/>
            <w:vAlign w:val="center"/>
          </w:tcPr>
          <w:p w14:paraId="74A8BEB9">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防护措施</w:t>
            </w:r>
          </w:p>
        </w:tc>
        <w:tc>
          <w:tcPr>
            <w:tcW w:w="1016" w:type="pct"/>
            <w:noWrap w:val="0"/>
            <w:vAlign w:val="center"/>
          </w:tcPr>
          <w:p w14:paraId="6D2F0487">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工程控制：</w:t>
            </w:r>
          </w:p>
        </w:tc>
        <w:tc>
          <w:tcPr>
            <w:tcW w:w="3674" w:type="pct"/>
            <w:noWrap w:val="0"/>
            <w:vAlign w:val="center"/>
          </w:tcPr>
          <w:p w14:paraId="004CF33A">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生产过程密闭，加强通风。</w:t>
            </w:r>
          </w:p>
        </w:tc>
      </w:tr>
      <w:tr w14:paraId="1799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textDirection w:val="tbRlV"/>
            <w:vAlign w:val="center"/>
          </w:tcPr>
          <w:p w14:paraId="48F95F95">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372E3029">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呼吸系统防护：</w:t>
            </w:r>
          </w:p>
        </w:tc>
        <w:tc>
          <w:tcPr>
            <w:tcW w:w="3674" w:type="pct"/>
            <w:noWrap w:val="0"/>
            <w:vAlign w:val="center"/>
          </w:tcPr>
          <w:p w14:paraId="14FD3D19">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作业工人应戴口罩。</w:t>
            </w:r>
          </w:p>
        </w:tc>
      </w:tr>
      <w:tr w14:paraId="5C42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textDirection w:val="tbRlV"/>
            <w:vAlign w:val="center"/>
          </w:tcPr>
          <w:p w14:paraId="3ECC3109">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73E22D20">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眼睛防护：</w:t>
            </w:r>
          </w:p>
        </w:tc>
        <w:tc>
          <w:tcPr>
            <w:tcW w:w="3674" w:type="pct"/>
            <w:noWrap w:val="0"/>
            <w:vAlign w:val="center"/>
          </w:tcPr>
          <w:p w14:paraId="7951870B">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可采用安全面罩。</w:t>
            </w:r>
          </w:p>
        </w:tc>
      </w:tr>
      <w:tr w14:paraId="2633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textDirection w:val="tbRlV"/>
            <w:vAlign w:val="center"/>
          </w:tcPr>
          <w:p w14:paraId="190C42E8">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546BFD07">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防护服：</w:t>
            </w:r>
          </w:p>
        </w:tc>
        <w:tc>
          <w:tcPr>
            <w:tcW w:w="3674" w:type="pct"/>
            <w:noWrap w:val="0"/>
            <w:vAlign w:val="center"/>
          </w:tcPr>
          <w:p w14:paraId="05EC6ED9">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穿工作服。</w:t>
            </w:r>
          </w:p>
        </w:tc>
      </w:tr>
      <w:tr w14:paraId="56C8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8" w:type="pct"/>
            <w:vMerge w:val="continue"/>
            <w:noWrap w:val="0"/>
            <w:textDirection w:val="tbRlV"/>
            <w:vAlign w:val="center"/>
          </w:tcPr>
          <w:p w14:paraId="10537E4D">
            <w:pPr>
              <w:spacing w:line="260" w:lineRule="exact"/>
              <w:jc w:val="center"/>
              <w:rPr>
                <w:rFonts w:hint="eastAsia" w:ascii="Times New Roman" w:hAnsi="Times New Roman" w:eastAsia="宋体" w:cs="Times New Roman"/>
                <w:color w:val="auto"/>
                <w:sz w:val="21"/>
                <w:szCs w:val="21"/>
              </w:rPr>
            </w:pPr>
          </w:p>
        </w:tc>
        <w:tc>
          <w:tcPr>
            <w:tcW w:w="1016" w:type="pct"/>
            <w:noWrap w:val="0"/>
            <w:vAlign w:val="center"/>
          </w:tcPr>
          <w:p w14:paraId="3779A19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手防护：</w:t>
            </w:r>
          </w:p>
        </w:tc>
        <w:tc>
          <w:tcPr>
            <w:tcW w:w="3674" w:type="pct"/>
            <w:noWrap w:val="0"/>
            <w:vAlign w:val="center"/>
          </w:tcPr>
          <w:p w14:paraId="138014E1">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必要时戴防护手套。</w:t>
            </w:r>
          </w:p>
        </w:tc>
      </w:tr>
      <w:tr w14:paraId="46CA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25" w:type="pct"/>
            <w:gridSpan w:val="2"/>
            <w:noWrap w:val="0"/>
            <w:vAlign w:val="center"/>
          </w:tcPr>
          <w:p w14:paraId="2073E83A">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泄漏处置：</w:t>
            </w:r>
          </w:p>
        </w:tc>
        <w:tc>
          <w:tcPr>
            <w:tcW w:w="3674" w:type="pct"/>
            <w:noWrap w:val="0"/>
            <w:vAlign w:val="center"/>
          </w:tcPr>
          <w:p w14:paraId="302A66BB">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戴好防毒面具和手套。用大量水冲洗，经稀释的洗液放入废水系统。如大量泄漏，收集回收或无害处理后废弃。</w:t>
            </w:r>
          </w:p>
        </w:tc>
      </w:tr>
      <w:tr w14:paraId="5D84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25" w:type="pct"/>
            <w:gridSpan w:val="2"/>
            <w:noWrap w:val="0"/>
            <w:vAlign w:val="center"/>
          </w:tcPr>
          <w:p w14:paraId="0161B539">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其他：</w:t>
            </w:r>
          </w:p>
        </w:tc>
        <w:tc>
          <w:tcPr>
            <w:tcW w:w="3674" w:type="pct"/>
            <w:noWrap w:val="0"/>
            <w:vAlign w:val="center"/>
          </w:tcPr>
          <w:p w14:paraId="4D65E7B2">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工作后，淋浴更衣。保持良好的卫生习惯。</w:t>
            </w:r>
          </w:p>
        </w:tc>
      </w:tr>
      <w:bookmarkEnd w:id="73"/>
    </w:tbl>
    <w:p w14:paraId="6CA2C1C8">
      <w:pPr>
        <w:pStyle w:val="4"/>
        <w:numPr>
          <w:ilvl w:val="3"/>
          <w:numId w:val="10"/>
        </w:numPr>
        <w:tabs>
          <w:tab w:val="left" w:pos="1358"/>
          <w:tab w:val="left" w:pos="2153"/>
        </w:tabs>
        <w:ind w:left="1358"/>
        <w:outlineLvl w:val="4"/>
        <w:rPr>
          <w:rFonts w:hint="default" w:ascii="Times New Roman" w:hAnsi="Times New Roman" w:eastAsia="宋体" w:cs="Times New Roman"/>
          <w:color w:val="auto"/>
          <w:spacing w:val="10"/>
          <w:sz w:val="24"/>
          <w:szCs w:val="32"/>
          <w:lang w:val="en-US" w:eastAsia="zh-CN"/>
        </w:rPr>
      </w:pPr>
      <w:r>
        <w:rPr>
          <w:rFonts w:hint="eastAsia" w:ascii="Times New Roman" w:hAnsi="Times New Roman" w:cs="Times New Roman"/>
          <w:color w:val="auto"/>
          <w:lang w:val="en-US" w:eastAsia="zh-CN"/>
        </w:rPr>
        <w:t>氢氧化锂</w:t>
      </w:r>
      <w:r>
        <w:rPr>
          <w:rFonts w:hint="default" w:ascii="Times New Roman" w:hAnsi="Times New Roman" w:eastAsia="宋体" w:cs="Times New Roman"/>
          <w:color w:val="auto"/>
          <w:lang w:val="zh-CN" w:eastAsia="zh-CN"/>
        </w:rPr>
        <w:t>安全技术说明书</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829"/>
        <w:gridCol w:w="6609"/>
      </w:tblGrid>
      <w:tr w14:paraId="005F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0A486FE2">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标识</w:t>
            </w:r>
          </w:p>
        </w:tc>
        <w:tc>
          <w:tcPr>
            <w:tcW w:w="1017" w:type="pct"/>
            <w:noWrap w:val="0"/>
            <w:vAlign w:val="center"/>
          </w:tcPr>
          <w:p w14:paraId="259A4570">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中文名：</w:t>
            </w:r>
          </w:p>
        </w:tc>
        <w:tc>
          <w:tcPr>
            <w:tcW w:w="3676" w:type="pct"/>
            <w:noWrap w:val="0"/>
            <w:vAlign w:val="center"/>
          </w:tcPr>
          <w:p w14:paraId="58028749">
            <w:pPr>
              <w:spacing w:line="260" w:lineRule="exact"/>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氢氧化锂</w:t>
            </w:r>
          </w:p>
        </w:tc>
      </w:tr>
      <w:tr w14:paraId="19E1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0697ACD3">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3FB58FF9">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英文名：</w:t>
            </w:r>
          </w:p>
        </w:tc>
        <w:tc>
          <w:tcPr>
            <w:tcW w:w="3676" w:type="pct"/>
            <w:noWrap w:val="0"/>
            <w:vAlign w:val="center"/>
          </w:tcPr>
          <w:p w14:paraId="6EB578E3">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lithium hydroxide</w:t>
            </w:r>
          </w:p>
        </w:tc>
      </w:tr>
      <w:tr w14:paraId="4EB3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6526BDC7">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1A9C1056">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分子式：</w:t>
            </w:r>
          </w:p>
        </w:tc>
        <w:tc>
          <w:tcPr>
            <w:tcW w:w="3676" w:type="pct"/>
            <w:noWrap w:val="0"/>
            <w:vAlign w:val="center"/>
          </w:tcPr>
          <w:p w14:paraId="004151B7">
            <w:pPr>
              <w:spacing w:line="26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LiOH                            分子量：</w:t>
            </w:r>
            <w:r>
              <w:rPr>
                <w:rFonts w:hint="eastAsia" w:cs="Times New Roman"/>
                <w:color w:val="auto"/>
                <w:sz w:val="21"/>
                <w:szCs w:val="21"/>
                <w:lang w:val="en-US" w:eastAsia="zh-CN"/>
              </w:rPr>
              <w:t>23.94</w:t>
            </w:r>
          </w:p>
        </w:tc>
      </w:tr>
      <w:tr w14:paraId="3A08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49FA2F0B">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3E883843">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CAS号：</w:t>
            </w:r>
          </w:p>
        </w:tc>
        <w:tc>
          <w:tcPr>
            <w:tcW w:w="3676" w:type="pct"/>
            <w:noWrap w:val="0"/>
            <w:vAlign w:val="center"/>
          </w:tcPr>
          <w:p w14:paraId="50819981">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1310-66-3</w:t>
            </w:r>
          </w:p>
        </w:tc>
      </w:tr>
      <w:tr w14:paraId="7A7F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75EDCD83">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理化性质</w:t>
            </w:r>
          </w:p>
        </w:tc>
        <w:tc>
          <w:tcPr>
            <w:tcW w:w="1017" w:type="pct"/>
            <w:noWrap w:val="0"/>
            <w:vAlign w:val="center"/>
          </w:tcPr>
          <w:p w14:paraId="28DAFB79">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外观与性状：</w:t>
            </w:r>
          </w:p>
        </w:tc>
        <w:tc>
          <w:tcPr>
            <w:tcW w:w="3676" w:type="pct"/>
            <w:noWrap w:val="0"/>
            <w:vAlign w:val="center"/>
          </w:tcPr>
          <w:p w14:paraId="72A39AC8">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白色粉末。</w:t>
            </w:r>
          </w:p>
        </w:tc>
      </w:tr>
      <w:tr w14:paraId="4B5D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056FEFDF">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7F06D900">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主要用途：</w:t>
            </w:r>
          </w:p>
        </w:tc>
        <w:tc>
          <w:tcPr>
            <w:tcW w:w="3676" w:type="pct"/>
            <w:noWrap w:val="0"/>
            <w:vAlign w:val="center"/>
          </w:tcPr>
          <w:p w14:paraId="03F54EA9">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主要用于制造锂肥皂、润滑脂、锂盐、碱性蓄电池、显影液等。</w:t>
            </w:r>
          </w:p>
        </w:tc>
      </w:tr>
      <w:tr w14:paraId="73FA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654B6894">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6DA97800">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沸点</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p>
        </w:tc>
        <w:tc>
          <w:tcPr>
            <w:tcW w:w="3676" w:type="pct"/>
            <w:noWrap w:val="0"/>
            <w:vAlign w:val="center"/>
          </w:tcPr>
          <w:p w14:paraId="5CB5CBFD">
            <w:pPr>
              <w:spacing w:line="260" w:lineRule="exac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1626</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无水</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 xml:space="preserve">                     相对密度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水=1)：2.</w:t>
            </w:r>
            <w:r>
              <w:rPr>
                <w:rFonts w:hint="eastAsia" w:cs="Times New Roman"/>
                <w:color w:val="auto"/>
                <w:sz w:val="21"/>
                <w:szCs w:val="21"/>
                <w:lang w:val="en-US" w:eastAsia="zh-CN"/>
              </w:rPr>
              <w:t>54</w:t>
            </w:r>
          </w:p>
        </w:tc>
      </w:tr>
      <w:tr w14:paraId="6297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57B8FD4D">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36606FFE">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溶解性：</w:t>
            </w:r>
          </w:p>
        </w:tc>
        <w:tc>
          <w:tcPr>
            <w:tcW w:w="3676" w:type="pct"/>
            <w:noWrap w:val="0"/>
            <w:vAlign w:val="center"/>
          </w:tcPr>
          <w:p w14:paraId="0E39E315">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溶于水</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微溶于醇。</w:t>
            </w:r>
          </w:p>
        </w:tc>
      </w:tr>
      <w:tr w14:paraId="7B19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0DD532A9">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燃烧爆炸危险性</w:t>
            </w:r>
          </w:p>
        </w:tc>
        <w:tc>
          <w:tcPr>
            <w:tcW w:w="1017" w:type="pct"/>
            <w:noWrap w:val="0"/>
            <w:vAlign w:val="center"/>
          </w:tcPr>
          <w:p w14:paraId="570F9033">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燃烧性：</w:t>
            </w:r>
          </w:p>
        </w:tc>
        <w:tc>
          <w:tcPr>
            <w:tcW w:w="3676" w:type="pct"/>
            <w:noWrap w:val="0"/>
            <w:vAlign w:val="center"/>
          </w:tcPr>
          <w:p w14:paraId="592406BE">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不燃</w:t>
            </w:r>
          </w:p>
        </w:tc>
      </w:tr>
      <w:tr w14:paraId="4183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087F8846">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6C3314A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自燃温度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 xml:space="preserve"> ：</w:t>
            </w:r>
          </w:p>
        </w:tc>
        <w:tc>
          <w:tcPr>
            <w:tcW w:w="3676" w:type="pct"/>
            <w:noWrap w:val="0"/>
            <w:vAlign w:val="center"/>
          </w:tcPr>
          <w:p w14:paraId="5F29A01B">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引燃温度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：无意义</w:t>
            </w:r>
          </w:p>
        </w:tc>
      </w:tr>
      <w:tr w14:paraId="545A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349F1678">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1FE9D89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危险特性：</w:t>
            </w:r>
          </w:p>
        </w:tc>
        <w:tc>
          <w:tcPr>
            <w:tcW w:w="3676" w:type="pct"/>
            <w:noWrap w:val="0"/>
            <w:vAlign w:val="center"/>
          </w:tcPr>
          <w:p w14:paraId="105656EF">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腐蚀性极强。与酸发生中和反应并放热。在水中形成腐蚀性溶液。</w:t>
            </w:r>
          </w:p>
        </w:tc>
      </w:tr>
      <w:tr w14:paraId="08F0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75C0A6B6">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6F1F62A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分解</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产物：</w:t>
            </w:r>
          </w:p>
        </w:tc>
        <w:tc>
          <w:tcPr>
            <w:tcW w:w="3676" w:type="pct"/>
            <w:noWrap w:val="0"/>
            <w:vAlign w:val="center"/>
          </w:tcPr>
          <w:p w14:paraId="5009D244">
            <w:pPr>
              <w:spacing w:line="260" w:lineRule="exact"/>
              <w:rPr>
                <w:rFonts w:hint="eastAsia" w:ascii="Times New Roman" w:hAnsi="Times New Roman" w:eastAsia="宋体" w:cs="Times New Roman"/>
                <w:color w:val="auto"/>
                <w:sz w:val="21"/>
                <w:szCs w:val="21"/>
              </w:rPr>
            </w:pPr>
            <w:r>
              <w:rPr>
                <w:rFonts w:hint="eastAsia" w:cs="Times New Roman"/>
                <w:color w:val="auto"/>
                <w:sz w:val="21"/>
                <w:szCs w:val="21"/>
                <w:lang w:val="en-US" w:eastAsia="zh-CN"/>
              </w:rPr>
              <w:t>可能产生有害的毒性烟雾</w:t>
            </w:r>
            <w:r>
              <w:rPr>
                <w:rFonts w:hint="eastAsia" w:ascii="Times New Roman" w:hAnsi="Times New Roman" w:eastAsia="宋体" w:cs="Times New Roman"/>
                <w:color w:val="auto"/>
                <w:sz w:val="21"/>
                <w:szCs w:val="21"/>
              </w:rPr>
              <w:t>。                   稳定性：稳定</w:t>
            </w:r>
          </w:p>
        </w:tc>
      </w:tr>
      <w:tr w14:paraId="3BAD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5F9CA6E1">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0CC1CC55">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聚合危害：</w:t>
            </w:r>
          </w:p>
        </w:tc>
        <w:tc>
          <w:tcPr>
            <w:tcW w:w="3676" w:type="pct"/>
            <w:noWrap w:val="0"/>
            <w:vAlign w:val="center"/>
          </w:tcPr>
          <w:p w14:paraId="1A574F0A">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不能出现                    禁忌物：强氧化剂</w:t>
            </w:r>
            <w:r>
              <w:rPr>
                <w:rFonts w:hint="eastAsia" w:cs="Times New Roman"/>
                <w:color w:val="auto"/>
                <w:sz w:val="21"/>
                <w:szCs w:val="21"/>
                <w:lang w:eastAsia="zh-CN"/>
              </w:rPr>
              <w:t>、</w:t>
            </w:r>
            <w:r>
              <w:rPr>
                <w:rFonts w:hint="eastAsia" w:cs="Times New Roman"/>
                <w:color w:val="auto"/>
                <w:sz w:val="21"/>
                <w:szCs w:val="21"/>
                <w:lang w:val="en-US" w:eastAsia="zh-CN"/>
              </w:rPr>
              <w:t>强酸、二氧化碳</w:t>
            </w:r>
            <w:r>
              <w:rPr>
                <w:rFonts w:hint="eastAsia" w:ascii="Times New Roman" w:hAnsi="Times New Roman" w:eastAsia="宋体" w:cs="Times New Roman"/>
                <w:color w:val="auto"/>
                <w:sz w:val="21"/>
                <w:szCs w:val="21"/>
              </w:rPr>
              <w:t>。</w:t>
            </w:r>
          </w:p>
        </w:tc>
      </w:tr>
      <w:tr w14:paraId="11A8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1CC07658">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421FD7A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灭火方法：</w:t>
            </w:r>
          </w:p>
        </w:tc>
        <w:tc>
          <w:tcPr>
            <w:tcW w:w="3676" w:type="pct"/>
            <w:noWrap w:val="0"/>
            <w:vAlign w:val="center"/>
          </w:tcPr>
          <w:p w14:paraId="50BD52C4">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不燃。火场周围可用的灭火介质。</w:t>
            </w:r>
          </w:p>
        </w:tc>
      </w:tr>
      <w:tr w14:paraId="348E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0DAD46FB">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包装与储运</w:t>
            </w:r>
          </w:p>
        </w:tc>
        <w:tc>
          <w:tcPr>
            <w:tcW w:w="1017" w:type="pct"/>
            <w:noWrap w:val="0"/>
            <w:vAlign w:val="center"/>
          </w:tcPr>
          <w:p w14:paraId="37042252">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危险性类别：</w:t>
            </w:r>
          </w:p>
        </w:tc>
        <w:tc>
          <w:tcPr>
            <w:tcW w:w="3676" w:type="pct"/>
            <w:noWrap w:val="0"/>
            <w:vAlign w:val="center"/>
          </w:tcPr>
          <w:p w14:paraId="76C278A8">
            <w:pPr>
              <w:spacing w:line="26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第</w:t>
            </w:r>
            <w:r>
              <w:rPr>
                <w:rFonts w:hint="eastAsia" w:cs="Times New Roman"/>
                <w:color w:val="auto"/>
                <w:sz w:val="21"/>
                <w:szCs w:val="21"/>
                <w:lang w:val="en-US" w:eastAsia="zh-CN"/>
              </w:rPr>
              <w:t>8</w:t>
            </w:r>
            <w:r>
              <w:rPr>
                <w:rFonts w:hint="eastAsia" w:ascii="Times New Roman" w:hAnsi="Times New Roman" w:eastAsia="宋体" w:cs="Times New Roman"/>
                <w:color w:val="auto"/>
                <w:sz w:val="21"/>
                <w:szCs w:val="21"/>
              </w:rPr>
              <w:t>．</w:t>
            </w: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rPr>
              <w:t xml:space="preserve">类 </w:t>
            </w:r>
            <w:r>
              <w:rPr>
                <w:rFonts w:hint="eastAsia" w:cs="Times New Roman"/>
                <w:color w:val="auto"/>
                <w:sz w:val="21"/>
                <w:szCs w:val="21"/>
                <w:lang w:val="en-US" w:eastAsia="zh-CN"/>
              </w:rPr>
              <w:t>碱性腐蚀品</w:t>
            </w:r>
          </w:p>
        </w:tc>
      </w:tr>
      <w:tr w14:paraId="7872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0BC9163F">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6ED1AEFC">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危险货物包装标志：</w:t>
            </w:r>
          </w:p>
        </w:tc>
        <w:tc>
          <w:tcPr>
            <w:tcW w:w="3676" w:type="pct"/>
            <w:noWrap w:val="0"/>
            <w:vAlign w:val="center"/>
          </w:tcPr>
          <w:p w14:paraId="01C17EA2">
            <w:pPr>
              <w:spacing w:line="260" w:lineRule="exact"/>
              <w:rPr>
                <w:rFonts w:hint="eastAsia" w:ascii="Times New Roman" w:hAnsi="Times New Roman" w:eastAsia="宋体" w:cs="Times New Roman"/>
                <w:color w:val="auto"/>
                <w:sz w:val="21"/>
                <w:szCs w:val="21"/>
              </w:rPr>
            </w:pPr>
            <w:r>
              <w:rPr>
                <w:rFonts w:hint="eastAsia" w:cs="Times New Roman"/>
                <w:color w:val="auto"/>
                <w:sz w:val="21"/>
                <w:szCs w:val="21"/>
                <w:lang w:val="en-US" w:eastAsia="zh-CN"/>
              </w:rPr>
              <w:t>20</w:t>
            </w:r>
            <w:r>
              <w:rPr>
                <w:rFonts w:hint="eastAsia" w:ascii="Times New Roman" w:hAnsi="Times New Roman" w:eastAsia="宋体" w:cs="Times New Roman"/>
                <w:color w:val="auto"/>
                <w:sz w:val="21"/>
                <w:szCs w:val="21"/>
              </w:rPr>
              <w:t xml:space="preserve">                 包装类别：Ⅱ</w:t>
            </w:r>
          </w:p>
        </w:tc>
      </w:tr>
      <w:tr w14:paraId="7650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49624BC0">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1AC0A0A7">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储运注意事项：</w:t>
            </w:r>
          </w:p>
        </w:tc>
        <w:tc>
          <w:tcPr>
            <w:tcW w:w="3676" w:type="pct"/>
            <w:noWrap w:val="0"/>
            <w:vAlign w:val="center"/>
          </w:tcPr>
          <w:p w14:paraId="567F4962">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储存于</w:t>
            </w:r>
            <w:r>
              <w:rPr>
                <w:rFonts w:hint="eastAsia" w:cs="Times New Roman"/>
                <w:color w:val="auto"/>
                <w:sz w:val="21"/>
                <w:szCs w:val="21"/>
                <w:lang w:eastAsia="zh-CN"/>
              </w:rPr>
              <w:t>干燥</w:t>
            </w:r>
            <w:r>
              <w:rPr>
                <w:rFonts w:hint="eastAsia" w:ascii="Times New Roman" w:hAnsi="Times New Roman" w:eastAsia="宋体" w:cs="Times New Roman"/>
                <w:color w:val="auto"/>
                <w:sz w:val="21"/>
                <w:szCs w:val="21"/>
              </w:rPr>
              <w:t>清洁的仓间内。保持容器密封。防止受潮和雨淋。应与酸类、氧化剂等分开存放。操作现场不得吸烟、饮水、进食。搬运时要轻装轻卸，防止包装及容器损坏。雨天不宜运输。分装和搬运作业要注意个人防护。</w:t>
            </w:r>
          </w:p>
        </w:tc>
      </w:tr>
      <w:tr w14:paraId="17AB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51DE5457">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毒性危害</w:t>
            </w:r>
          </w:p>
        </w:tc>
        <w:tc>
          <w:tcPr>
            <w:tcW w:w="1017" w:type="pct"/>
            <w:noWrap w:val="0"/>
            <w:vAlign w:val="center"/>
          </w:tcPr>
          <w:p w14:paraId="266ED67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接触限值：</w:t>
            </w:r>
          </w:p>
        </w:tc>
        <w:tc>
          <w:tcPr>
            <w:tcW w:w="3676" w:type="pct"/>
            <w:noWrap w:val="0"/>
            <w:vAlign w:val="center"/>
          </w:tcPr>
          <w:p w14:paraId="569E42E8">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  国  MAC：未制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r>
              <w:rPr>
                <w:rFonts w:hint="eastAsia" w:cs="Times New Roman"/>
                <w:color w:val="auto"/>
                <w:sz w:val="21"/>
                <w:szCs w:val="21"/>
                <w:lang w:eastAsia="zh-CN"/>
              </w:rPr>
              <w:t>苏联</w:t>
            </w:r>
            <w:r>
              <w:rPr>
                <w:rFonts w:hint="eastAsia" w:ascii="Times New Roman" w:hAnsi="Times New Roman" w:eastAsia="宋体" w:cs="Times New Roman"/>
                <w:color w:val="auto"/>
                <w:sz w:val="21"/>
                <w:szCs w:val="21"/>
              </w:rPr>
              <w:t>MAC：未制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p>
          <w:p w14:paraId="260062BC">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美国TLV—TWA：未制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标准；美国TLV—STEL：未制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p>
        </w:tc>
      </w:tr>
      <w:tr w14:paraId="2C12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72C0C12E">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2F60AF03">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侵入途径：</w:t>
            </w:r>
          </w:p>
        </w:tc>
        <w:tc>
          <w:tcPr>
            <w:tcW w:w="3676" w:type="pct"/>
            <w:noWrap w:val="0"/>
            <w:vAlign w:val="center"/>
          </w:tcPr>
          <w:p w14:paraId="50A362A9">
            <w:pPr>
              <w:spacing w:line="26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吸入  食入</w:t>
            </w:r>
            <w:r>
              <w:rPr>
                <w:rFonts w:hint="eastAsia" w:cs="Times New Roman"/>
                <w:color w:val="auto"/>
                <w:sz w:val="21"/>
                <w:szCs w:val="21"/>
                <w:lang w:val="en-US" w:eastAsia="zh-CN"/>
              </w:rPr>
              <w:t xml:space="preserve">  经皮吸收</w:t>
            </w:r>
          </w:p>
        </w:tc>
      </w:tr>
      <w:tr w14:paraId="78D9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06639CB2">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3AFC26C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毒性：</w:t>
            </w:r>
          </w:p>
        </w:tc>
        <w:tc>
          <w:tcPr>
            <w:tcW w:w="3676" w:type="pct"/>
            <w:noWrap w:val="0"/>
            <w:vAlign w:val="center"/>
          </w:tcPr>
          <w:p w14:paraId="3725CBCD">
            <w:pPr>
              <w:spacing w:line="260" w:lineRule="exact"/>
              <w:rPr>
                <w:rFonts w:hint="eastAsia" w:ascii="Times New Roman" w:hAnsi="Times New Roman" w:eastAsia="宋体" w:cs="Times New Roman"/>
                <w:color w:val="auto"/>
                <w:sz w:val="21"/>
                <w:szCs w:val="21"/>
              </w:rPr>
            </w:pPr>
            <w:r>
              <w:rPr>
                <w:rFonts w:hint="eastAsia" w:cs="Times New Roman"/>
                <w:color w:val="auto"/>
                <w:sz w:val="21"/>
                <w:szCs w:val="21"/>
                <w:lang w:val="en-US" w:eastAsia="zh-CN"/>
              </w:rPr>
              <w:t>/</w:t>
            </w:r>
          </w:p>
        </w:tc>
      </w:tr>
      <w:tr w14:paraId="2924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03DA59F7">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68A1DC6E">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健康危害：</w:t>
            </w:r>
          </w:p>
        </w:tc>
        <w:tc>
          <w:tcPr>
            <w:tcW w:w="3676" w:type="pct"/>
            <w:noWrap w:val="0"/>
            <w:vAlign w:val="center"/>
          </w:tcPr>
          <w:p w14:paraId="4F873176">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本品腐蚀性极强，能灼伤眼睛、上呼吸道， 并对口腔</w:t>
            </w:r>
            <w:r>
              <w:rPr>
                <w:rFonts w:hint="eastAsia" w:cs="Times New Roman"/>
                <w:color w:val="auto"/>
                <w:sz w:val="21"/>
                <w:szCs w:val="21"/>
                <w:lang w:eastAsia="zh-CN"/>
              </w:rPr>
              <w:t>黏膜</w:t>
            </w:r>
            <w:r>
              <w:rPr>
                <w:rFonts w:hint="eastAsia" w:ascii="Times New Roman" w:hAnsi="Times New Roman" w:eastAsia="宋体" w:cs="Times New Roman"/>
                <w:color w:val="auto"/>
                <w:sz w:val="21"/>
                <w:szCs w:val="21"/>
              </w:rPr>
              <w:t>、皮肤等有严重的刺激性。吸入，可.引起喉、支气管炎症、痉挛，化学性肺炎、肺水肿等。</w:t>
            </w:r>
          </w:p>
        </w:tc>
      </w:tr>
      <w:tr w14:paraId="6443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2B65B8BC">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急救</w:t>
            </w:r>
          </w:p>
        </w:tc>
        <w:tc>
          <w:tcPr>
            <w:tcW w:w="1017" w:type="pct"/>
            <w:noWrap w:val="0"/>
            <w:vAlign w:val="center"/>
          </w:tcPr>
          <w:p w14:paraId="32A14A2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皮肤接触：</w:t>
            </w:r>
          </w:p>
        </w:tc>
        <w:tc>
          <w:tcPr>
            <w:tcW w:w="3676" w:type="pct"/>
            <w:noWrap w:val="0"/>
            <w:vAlign w:val="center"/>
          </w:tcPr>
          <w:p w14:paraId="513BFAA4">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用肥皂水及清水彻底冲洗。就医。若有灼伤，按碱灼伤处理。</w:t>
            </w:r>
          </w:p>
        </w:tc>
      </w:tr>
      <w:tr w14:paraId="6C8F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3AA1AD89">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0BA91163">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眼睛接触：</w:t>
            </w:r>
          </w:p>
        </w:tc>
        <w:tc>
          <w:tcPr>
            <w:tcW w:w="3676" w:type="pct"/>
            <w:noWrap w:val="0"/>
            <w:vAlign w:val="center"/>
          </w:tcPr>
          <w:p w14:paraId="529C7F08">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拉开眼睑，用流动清水冲洗15分钟。就医。</w:t>
            </w:r>
          </w:p>
        </w:tc>
      </w:tr>
      <w:tr w14:paraId="47D7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0712E254">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6A480F61">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吸入：</w:t>
            </w:r>
          </w:p>
        </w:tc>
        <w:tc>
          <w:tcPr>
            <w:tcW w:w="3676" w:type="pct"/>
            <w:noWrap w:val="0"/>
            <w:vAlign w:val="center"/>
          </w:tcPr>
          <w:p w14:paraId="75E00DFE">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迅速脱离现场至空气新鲜处。保持呼吸道通畅。呼吸困难时给输氧。呼吸停止时，立即进行人工呼吸。就医。</w:t>
            </w:r>
          </w:p>
        </w:tc>
      </w:tr>
      <w:tr w14:paraId="4453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23BE5BF2">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1D3DBED9">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食入：</w:t>
            </w:r>
          </w:p>
        </w:tc>
        <w:tc>
          <w:tcPr>
            <w:tcW w:w="3676" w:type="pct"/>
            <w:noWrap w:val="0"/>
            <w:vAlign w:val="center"/>
          </w:tcPr>
          <w:p w14:paraId="654F2D28">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误服者</w:t>
            </w:r>
            <w:r>
              <w:rPr>
                <w:rFonts w:hint="eastAsia" w:cs="Times New Roman"/>
                <w:color w:val="auto"/>
                <w:sz w:val="21"/>
                <w:szCs w:val="21"/>
                <w:lang w:eastAsia="zh-CN"/>
              </w:rPr>
              <w:t>漱口</w:t>
            </w:r>
            <w:r>
              <w:rPr>
                <w:rFonts w:hint="eastAsia" w:ascii="Times New Roman" w:hAnsi="Times New Roman" w:eastAsia="宋体" w:cs="Times New Roman"/>
                <w:color w:val="auto"/>
                <w:sz w:val="21"/>
                <w:szCs w:val="21"/>
              </w:rPr>
              <w:t>，给饮牛奶或蛋清，就医。</w:t>
            </w:r>
          </w:p>
        </w:tc>
      </w:tr>
      <w:tr w14:paraId="17E5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57DC060D">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防护措施</w:t>
            </w:r>
          </w:p>
        </w:tc>
        <w:tc>
          <w:tcPr>
            <w:tcW w:w="1017" w:type="pct"/>
            <w:noWrap w:val="0"/>
            <w:vAlign w:val="center"/>
          </w:tcPr>
          <w:p w14:paraId="1F649E9E">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工程控制：</w:t>
            </w:r>
          </w:p>
        </w:tc>
        <w:tc>
          <w:tcPr>
            <w:tcW w:w="3676" w:type="pct"/>
            <w:noWrap w:val="0"/>
            <w:vAlign w:val="center"/>
          </w:tcPr>
          <w:p w14:paraId="5A797007">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生产过程密闭，加强通风。</w:t>
            </w:r>
          </w:p>
        </w:tc>
      </w:tr>
      <w:tr w14:paraId="5BAC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textDirection w:val="tbRlV"/>
            <w:vAlign w:val="center"/>
          </w:tcPr>
          <w:p w14:paraId="1B38CE13">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008F68D3">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呼吸系统防护：</w:t>
            </w:r>
          </w:p>
        </w:tc>
        <w:tc>
          <w:tcPr>
            <w:tcW w:w="3676" w:type="pct"/>
            <w:noWrap w:val="0"/>
            <w:vAlign w:val="center"/>
          </w:tcPr>
          <w:p w14:paraId="323C949E">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作业工人应戴口罩。</w:t>
            </w:r>
          </w:p>
        </w:tc>
      </w:tr>
      <w:tr w14:paraId="2BA0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textDirection w:val="tbRlV"/>
            <w:vAlign w:val="center"/>
          </w:tcPr>
          <w:p w14:paraId="29CE2368">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1088E0B5">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眼睛防护：</w:t>
            </w:r>
          </w:p>
        </w:tc>
        <w:tc>
          <w:tcPr>
            <w:tcW w:w="3676" w:type="pct"/>
            <w:noWrap w:val="0"/>
            <w:vAlign w:val="center"/>
          </w:tcPr>
          <w:p w14:paraId="378F266C">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可采用安全面罩。</w:t>
            </w:r>
          </w:p>
        </w:tc>
      </w:tr>
      <w:tr w14:paraId="25D7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textDirection w:val="tbRlV"/>
            <w:vAlign w:val="center"/>
          </w:tcPr>
          <w:p w14:paraId="057E53FF">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325C7EFA">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防护服：</w:t>
            </w:r>
          </w:p>
        </w:tc>
        <w:tc>
          <w:tcPr>
            <w:tcW w:w="3676" w:type="pct"/>
            <w:noWrap w:val="0"/>
            <w:vAlign w:val="center"/>
          </w:tcPr>
          <w:p w14:paraId="36FBA826">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穿</w:t>
            </w:r>
            <w:r>
              <w:rPr>
                <w:rFonts w:hint="eastAsia" w:cs="Times New Roman"/>
                <w:color w:val="auto"/>
                <w:sz w:val="21"/>
                <w:szCs w:val="21"/>
                <w:lang w:val="en-US" w:eastAsia="zh-CN"/>
              </w:rPr>
              <w:t>防腐</w:t>
            </w:r>
            <w:r>
              <w:rPr>
                <w:rFonts w:hint="eastAsia" w:ascii="Times New Roman" w:hAnsi="Times New Roman" w:eastAsia="宋体" w:cs="Times New Roman"/>
                <w:color w:val="auto"/>
                <w:sz w:val="21"/>
                <w:szCs w:val="21"/>
              </w:rPr>
              <w:t>工作服。</w:t>
            </w:r>
          </w:p>
        </w:tc>
      </w:tr>
      <w:tr w14:paraId="7D8E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textDirection w:val="tbRlV"/>
            <w:vAlign w:val="center"/>
          </w:tcPr>
          <w:p w14:paraId="08B15BB9">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7D7F79E6">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手防护：</w:t>
            </w:r>
          </w:p>
        </w:tc>
        <w:tc>
          <w:tcPr>
            <w:tcW w:w="3676" w:type="pct"/>
            <w:noWrap w:val="0"/>
            <w:vAlign w:val="center"/>
          </w:tcPr>
          <w:p w14:paraId="68EE8A28">
            <w:pPr>
              <w:spacing w:line="260" w:lineRule="exact"/>
              <w:rPr>
                <w:rFonts w:hint="eastAsia" w:ascii="Times New Roman" w:hAnsi="Times New Roman" w:eastAsia="宋体" w:cs="Times New Roman"/>
                <w:color w:val="auto"/>
                <w:sz w:val="21"/>
                <w:szCs w:val="21"/>
              </w:rPr>
            </w:pPr>
            <w:r>
              <w:rPr>
                <w:rFonts w:hint="eastAsia" w:cs="Times New Roman"/>
                <w:color w:val="auto"/>
                <w:sz w:val="21"/>
                <w:szCs w:val="21"/>
                <w:lang w:val="en-US" w:eastAsia="zh-CN"/>
              </w:rPr>
              <w:t>戴橡胶</w:t>
            </w:r>
            <w:r>
              <w:rPr>
                <w:rFonts w:hint="eastAsia" w:ascii="Times New Roman" w:hAnsi="Times New Roman" w:eastAsia="宋体" w:cs="Times New Roman"/>
                <w:color w:val="auto"/>
                <w:sz w:val="21"/>
                <w:szCs w:val="21"/>
              </w:rPr>
              <w:t>手套。</w:t>
            </w:r>
          </w:p>
        </w:tc>
      </w:tr>
      <w:tr w14:paraId="12C1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23" w:type="pct"/>
            <w:gridSpan w:val="2"/>
            <w:noWrap w:val="0"/>
            <w:vAlign w:val="center"/>
          </w:tcPr>
          <w:p w14:paraId="41F3731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泄漏处置：</w:t>
            </w:r>
          </w:p>
        </w:tc>
        <w:tc>
          <w:tcPr>
            <w:tcW w:w="3676" w:type="pct"/>
            <w:noWrap w:val="0"/>
            <w:vAlign w:val="center"/>
          </w:tcPr>
          <w:p w14:paraId="562DB287">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隔离泄漏污染区，周围设警告标志，建议应急处理人员戴好防毒面具，穿化学防护服。不要直接接触泄漏物，小心扫起，慢慢倒入大量水中,经稀释的污水放入废水系统。如大量泄漏，收集回收或无害处理后废弃。</w:t>
            </w:r>
          </w:p>
        </w:tc>
      </w:tr>
      <w:tr w14:paraId="0107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23" w:type="pct"/>
            <w:gridSpan w:val="2"/>
            <w:noWrap w:val="0"/>
            <w:vAlign w:val="center"/>
          </w:tcPr>
          <w:p w14:paraId="501F04E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其他：</w:t>
            </w:r>
          </w:p>
        </w:tc>
        <w:tc>
          <w:tcPr>
            <w:tcW w:w="3676" w:type="pct"/>
            <w:noWrap w:val="0"/>
            <w:vAlign w:val="center"/>
          </w:tcPr>
          <w:p w14:paraId="09647B91">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工作现场禁止吸烟、进食和饮水。工作后，淋浴更衣。单独存放被毒物污染的衣服，洗后再用。严禁皮肤直接接触。车间应配备急救设备及药品。</w:t>
            </w:r>
          </w:p>
        </w:tc>
      </w:tr>
    </w:tbl>
    <w:p w14:paraId="68B2FAAA">
      <w:pPr>
        <w:pStyle w:val="4"/>
        <w:numPr>
          <w:ilvl w:val="3"/>
          <w:numId w:val="10"/>
        </w:numPr>
        <w:tabs>
          <w:tab w:val="left" w:pos="1358"/>
          <w:tab w:val="left" w:pos="2153"/>
        </w:tabs>
        <w:ind w:left="1358"/>
        <w:outlineLvl w:val="4"/>
        <w:rPr>
          <w:rFonts w:hint="default" w:ascii="Times New Roman" w:hAnsi="Times New Roman" w:eastAsia="宋体" w:cs="Times New Roman"/>
          <w:color w:val="auto"/>
          <w:spacing w:val="10"/>
          <w:sz w:val="24"/>
          <w:szCs w:val="32"/>
          <w:lang w:val="en-US" w:eastAsia="zh-CN"/>
        </w:rPr>
      </w:pPr>
      <w:r>
        <w:rPr>
          <w:rFonts w:hint="eastAsia" w:ascii="Times New Roman" w:hAnsi="Times New Roman" w:cs="Times New Roman"/>
          <w:color w:val="auto"/>
          <w:lang w:val="en-US" w:eastAsia="zh-CN"/>
        </w:rPr>
        <w:t>氟硅酸钠</w:t>
      </w:r>
      <w:r>
        <w:rPr>
          <w:rFonts w:hint="default" w:ascii="Times New Roman" w:hAnsi="Times New Roman" w:eastAsia="宋体" w:cs="Times New Roman"/>
          <w:color w:val="auto"/>
          <w:lang w:val="zh-CN" w:eastAsia="zh-CN"/>
        </w:rPr>
        <w:t>安全技术说明书</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829"/>
        <w:gridCol w:w="6609"/>
      </w:tblGrid>
      <w:tr w14:paraId="24BC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6E3DDCE9">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标识</w:t>
            </w:r>
          </w:p>
        </w:tc>
        <w:tc>
          <w:tcPr>
            <w:tcW w:w="1017" w:type="pct"/>
            <w:noWrap w:val="0"/>
            <w:vAlign w:val="center"/>
          </w:tcPr>
          <w:p w14:paraId="1E5CCE9A">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中文名：</w:t>
            </w:r>
          </w:p>
        </w:tc>
        <w:tc>
          <w:tcPr>
            <w:tcW w:w="3676" w:type="pct"/>
            <w:noWrap w:val="0"/>
            <w:vAlign w:val="center"/>
          </w:tcPr>
          <w:p w14:paraId="6F03D7FF">
            <w:pPr>
              <w:spacing w:line="260" w:lineRule="exact"/>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氟硅酸钠</w:t>
            </w:r>
          </w:p>
        </w:tc>
      </w:tr>
      <w:tr w14:paraId="4348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43D006BD">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67B0B41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英文名：</w:t>
            </w:r>
          </w:p>
        </w:tc>
        <w:tc>
          <w:tcPr>
            <w:tcW w:w="3676" w:type="pct"/>
            <w:noWrap w:val="0"/>
            <w:vAlign w:val="center"/>
          </w:tcPr>
          <w:p w14:paraId="741FA5AF">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sodium silicofluorate</w:t>
            </w:r>
          </w:p>
        </w:tc>
      </w:tr>
      <w:tr w14:paraId="5863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4318D335">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03D870E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分子式：</w:t>
            </w:r>
          </w:p>
        </w:tc>
        <w:tc>
          <w:tcPr>
            <w:tcW w:w="3676" w:type="pct"/>
            <w:noWrap w:val="0"/>
            <w:vAlign w:val="center"/>
          </w:tcPr>
          <w:p w14:paraId="7D1AF04F">
            <w:pPr>
              <w:spacing w:line="26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Na</w:t>
            </w:r>
            <w:r>
              <w:rPr>
                <w:rFonts w:hint="eastAsia" w:ascii="Times New Roman" w:hAnsi="Times New Roman" w:eastAsia="宋体" w:cs="Times New Roman"/>
                <w:color w:val="auto"/>
                <w:sz w:val="21"/>
                <w:szCs w:val="21"/>
                <w:vertAlign w:val="subscript"/>
              </w:rPr>
              <w:t>2</w:t>
            </w:r>
            <w:r>
              <w:rPr>
                <w:rFonts w:hint="eastAsia" w:ascii="Times New Roman" w:hAnsi="Times New Roman" w:eastAsia="宋体" w:cs="Times New Roman"/>
                <w:color w:val="auto"/>
                <w:sz w:val="21"/>
                <w:szCs w:val="21"/>
              </w:rPr>
              <w:t>SiF</w:t>
            </w:r>
            <w:r>
              <w:rPr>
                <w:rFonts w:hint="eastAsia" w:ascii="Times New Roman" w:hAnsi="Times New Roman" w:eastAsia="宋体" w:cs="Times New Roman"/>
                <w:color w:val="auto"/>
                <w:sz w:val="21"/>
                <w:szCs w:val="21"/>
                <w:vertAlign w:val="subscript"/>
              </w:rPr>
              <w:t>6</w:t>
            </w:r>
            <w:r>
              <w:rPr>
                <w:rFonts w:hint="eastAsia" w:ascii="Times New Roman" w:hAnsi="Times New Roman" w:eastAsia="宋体" w:cs="Times New Roman"/>
                <w:color w:val="auto"/>
                <w:sz w:val="21"/>
                <w:szCs w:val="21"/>
              </w:rPr>
              <w:t xml:space="preserve">                           分子量：</w:t>
            </w:r>
            <w:r>
              <w:rPr>
                <w:rFonts w:hint="eastAsia" w:cs="Times New Roman"/>
                <w:color w:val="auto"/>
                <w:sz w:val="21"/>
                <w:szCs w:val="21"/>
                <w:lang w:val="en-US" w:eastAsia="zh-CN"/>
              </w:rPr>
              <w:t>188.06</w:t>
            </w:r>
          </w:p>
        </w:tc>
      </w:tr>
      <w:tr w14:paraId="70EA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234A4F22">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4C978E91">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CAS号：</w:t>
            </w:r>
          </w:p>
        </w:tc>
        <w:tc>
          <w:tcPr>
            <w:tcW w:w="3676" w:type="pct"/>
            <w:noWrap w:val="0"/>
            <w:vAlign w:val="center"/>
          </w:tcPr>
          <w:p w14:paraId="5FCE489F">
            <w:pPr>
              <w:spacing w:line="260" w:lineRule="exac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16949-65-8</w:t>
            </w:r>
          </w:p>
        </w:tc>
      </w:tr>
      <w:tr w14:paraId="3D14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28D643CA">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理化性质</w:t>
            </w:r>
          </w:p>
        </w:tc>
        <w:tc>
          <w:tcPr>
            <w:tcW w:w="1017" w:type="pct"/>
            <w:noWrap w:val="0"/>
            <w:vAlign w:val="center"/>
          </w:tcPr>
          <w:p w14:paraId="7483E375">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外观与性状：</w:t>
            </w:r>
          </w:p>
        </w:tc>
        <w:tc>
          <w:tcPr>
            <w:tcW w:w="3676" w:type="pct"/>
            <w:noWrap w:val="0"/>
            <w:vAlign w:val="center"/>
          </w:tcPr>
          <w:p w14:paraId="16008FCF">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白色颗粒粉末, 无臭无味, 有吸湿性。</w:t>
            </w:r>
          </w:p>
        </w:tc>
      </w:tr>
      <w:tr w14:paraId="47FD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2371011E">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07BCB4D5">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主要用途：</w:t>
            </w:r>
          </w:p>
        </w:tc>
        <w:tc>
          <w:tcPr>
            <w:tcW w:w="3676" w:type="pct"/>
            <w:noWrap w:val="0"/>
            <w:vAlign w:val="center"/>
          </w:tcPr>
          <w:p w14:paraId="78401C9B">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用作搪瓷乳白剂、农业杀虫剂、木材防腐剂等。</w:t>
            </w:r>
          </w:p>
        </w:tc>
      </w:tr>
      <w:tr w14:paraId="01F3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533BAF4B">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40C9CE8A">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沸点</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p>
        </w:tc>
        <w:tc>
          <w:tcPr>
            <w:tcW w:w="3676" w:type="pct"/>
            <w:noWrap w:val="0"/>
            <w:vAlign w:val="center"/>
          </w:tcPr>
          <w:p w14:paraId="29128FC1">
            <w:pPr>
              <w:spacing w:line="260" w:lineRule="exac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无资料</w:t>
            </w:r>
            <w:r>
              <w:rPr>
                <w:rFonts w:hint="eastAsia" w:ascii="Times New Roman" w:hAnsi="Times New Roman" w:eastAsia="宋体" w:cs="Times New Roman"/>
                <w:color w:val="auto"/>
                <w:sz w:val="21"/>
                <w:szCs w:val="21"/>
              </w:rPr>
              <w:t xml:space="preserve">                     相对密度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水=1)：</w:t>
            </w:r>
            <w:r>
              <w:rPr>
                <w:rFonts w:hint="eastAsia" w:cs="Times New Roman"/>
                <w:color w:val="auto"/>
                <w:sz w:val="21"/>
                <w:szCs w:val="21"/>
                <w:lang w:val="en-US" w:eastAsia="zh-CN"/>
              </w:rPr>
              <w:t>2.68</w:t>
            </w:r>
          </w:p>
        </w:tc>
      </w:tr>
      <w:tr w14:paraId="1636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53848559">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0923590B">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溶解性：</w:t>
            </w:r>
          </w:p>
        </w:tc>
        <w:tc>
          <w:tcPr>
            <w:tcW w:w="3676" w:type="pct"/>
            <w:noWrap w:val="0"/>
            <w:vAlign w:val="center"/>
          </w:tcPr>
          <w:p w14:paraId="34F4BF55">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微溶于水，不溶于乙醇，溶于乙醚等。</w:t>
            </w:r>
          </w:p>
        </w:tc>
      </w:tr>
      <w:tr w14:paraId="1186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43379286">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燃烧爆炸危险性</w:t>
            </w:r>
          </w:p>
        </w:tc>
        <w:tc>
          <w:tcPr>
            <w:tcW w:w="1017" w:type="pct"/>
            <w:noWrap w:val="0"/>
            <w:vAlign w:val="center"/>
          </w:tcPr>
          <w:p w14:paraId="19DA91C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燃烧性：</w:t>
            </w:r>
          </w:p>
        </w:tc>
        <w:tc>
          <w:tcPr>
            <w:tcW w:w="3676" w:type="pct"/>
            <w:noWrap w:val="0"/>
            <w:vAlign w:val="center"/>
          </w:tcPr>
          <w:p w14:paraId="4A88EE3F">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不燃</w:t>
            </w:r>
          </w:p>
        </w:tc>
      </w:tr>
      <w:tr w14:paraId="1B3C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672C5F16">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56DF0EE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自燃温度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 xml:space="preserve"> ：</w:t>
            </w:r>
          </w:p>
        </w:tc>
        <w:tc>
          <w:tcPr>
            <w:tcW w:w="3676" w:type="pct"/>
            <w:noWrap w:val="0"/>
            <w:vAlign w:val="center"/>
          </w:tcPr>
          <w:p w14:paraId="5281547F">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引燃温度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：无意义</w:t>
            </w:r>
          </w:p>
        </w:tc>
      </w:tr>
      <w:tr w14:paraId="4FA7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5E394F33">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43243615">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危险特性：</w:t>
            </w:r>
          </w:p>
        </w:tc>
        <w:tc>
          <w:tcPr>
            <w:tcW w:w="3676" w:type="pct"/>
            <w:noWrap w:val="0"/>
            <w:vAlign w:val="center"/>
          </w:tcPr>
          <w:p w14:paraId="5ADD05B4">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与酸类反应，散发出腐蚀性和刺激性的氟化氢和四氟化硅气体。</w:t>
            </w:r>
          </w:p>
        </w:tc>
      </w:tr>
      <w:tr w14:paraId="151E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39ECBEEC">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750A6002">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分解</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产物：</w:t>
            </w:r>
          </w:p>
        </w:tc>
        <w:tc>
          <w:tcPr>
            <w:tcW w:w="3676" w:type="pct"/>
            <w:noWrap w:val="0"/>
            <w:vAlign w:val="center"/>
          </w:tcPr>
          <w:p w14:paraId="0B019CEB">
            <w:pPr>
              <w:spacing w:line="260" w:lineRule="exact"/>
              <w:rPr>
                <w:rFonts w:hint="eastAsia" w:ascii="Times New Roman" w:hAnsi="Times New Roman" w:eastAsia="宋体" w:cs="Times New Roman"/>
                <w:color w:val="auto"/>
                <w:sz w:val="21"/>
                <w:szCs w:val="21"/>
              </w:rPr>
            </w:pPr>
            <w:r>
              <w:rPr>
                <w:rFonts w:hint="eastAsia" w:cs="Times New Roman"/>
                <w:color w:val="auto"/>
                <w:sz w:val="21"/>
                <w:szCs w:val="21"/>
                <w:lang w:val="en-US" w:eastAsia="zh-CN"/>
              </w:rPr>
              <w:t>氟化氢、氧化硅、氧化钠</w:t>
            </w:r>
            <w:r>
              <w:rPr>
                <w:rFonts w:hint="eastAsia" w:ascii="Times New Roman" w:hAnsi="Times New Roman" w:eastAsia="宋体" w:cs="Times New Roman"/>
                <w:color w:val="auto"/>
                <w:sz w:val="21"/>
                <w:szCs w:val="21"/>
              </w:rPr>
              <w:t>。                   稳定性：稳定</w:t>
            </w:r>
          </w:p>
        </w:tc>
      </w:tr>
      <w:tr w14:paraId="7778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3F16389A">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1268C5E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聚合危害：</w:t>
            </w:r>
          </w:p>
        </w:tc>
        <w:tc>
          <w:tcPr>
            <w:tcW w:w="3676" w:type="pct"/>
            <w:noWrap w:val="0"/>
            <w:vAlign w:val="center"/>
          </w:tcPr>
          <w:p w14:paraId="1279C832">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w:t>
            </w:r>
            <w:r>
              <w:rPr>
                <w:rFonts w:hint="eastAsia" w:cs="Times New Roman"/>
                <w:color w:val="auto"/>
                <w:sz w:val="21"/>
                <w:szCs w:val="21"/>
                <w:lang w:val="en-US" w:eastAsia="zh-CN"/>
              </w:rPr>
              <w:t>聚合</w:t>
            </w:r>
            <w:r>
              <w:rPr>
                <w:rFonts w:hint="eastAsia" w:ascii="Times New Roman" w:hAnsi="Times New Roman" w:eastAsia="宋体" w:cs="Times New Roman"/>
                <w:color w:val="auto"/>
                <w:sz w:val="21"/>
                <w:szCs w:val="21"/>
              </w:rPr>
              <w:t xml:space="preserve">                    禁忌物：强氧化剂。</w:t>
            </w:r>
          </w:p>
        </w:tc>
      </w:tr>
      <w:tr w14:paraId="572B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1B983BEF">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1A77CB36">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灭火方法：</w:t>
            </w:r>
          </w:p>
        </w:tc>
        <w:tc>
          <w:tcPr>
            <w:tcW w:w="3676" w:type="pct"/>
            <w:noWrap w:val="0"/>
            <w:vAlign w:val="center"/>
          </w:tcPr>
          <w:p w14:paraId="7395280E">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不燃。火场周围可用的灭火介质。</w:t>
            </w:r>
          </w:p>
        </w:tc>
      </w:tr>
      <w:tr w14:paraId="47E1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597827CE">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包装与储运</w:t>
            </w:r>
          </w:p>
        </w:tc>
        <w:tc>
          <w:tcPr>
            <w:tcW w:w="1017" w:type="pct"/>
            <w:noWrap w:val="0"/>
            <w:vAlign w:val="center"/>
          </w:tcPr>
          <w:p w14:paraId="7F280A39">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危险性类别：</w:t>
            </w:r>
          </w:p>
        </w:tc>
        <w:tc>
          <w:tcPr>
            <w:tcW w:w="3676" w:type="pct"/>
            <w:noWrap w:val="0"/>
            <w:vAlign w:val="center"/>
          </w:tcPr>
          <w:p w14:paraId="265B1170">
            <w:pPr>
              <w:spacing w:line="26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第 6.1 类 毒害品</w:t>
            </w:r>
          </w:p>
        </w:tc>
      </w:tr>
      <w:tr w14:paraId="00F9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6BA8229B">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1F49D956">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危险货物包装标志：</w:t>
            </w:r>
          </w:p>
        </w:tc>
        <w:tc>
          <w:tcPr>
            <w:tcW w:w="3676" w:type="pct"/>
            <w:noWrap w:val="0"/>
            <w:vAlign w:val="center"/>
          </w:tcPr>
          <w:p w14:paraId="4ED72B98">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                 包装类别：</w:t>
            </w:r>
            <w:r>
              <w:rPr>
                <w:rFonts w:hint="eastAsia" w:cs="Times New Roman"/>
                <w:color w:val="auto"/>
                <w:sz w:val="21"/>
                <w:szCs w:val="21"/>
                <w:lang w:eastAsia="zh-CN"/>
              </w:rPr>
              <w:t>Ⅲ</w:t>
            </w:r>
          </w:p>
        </w:tc>
      </w:tr>
      <w:tr w14:paraId="43E0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21C2EC0D">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6895CE8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储运注意事项：</w:t>
            </w:r>
          </w:p>
        </w:tc>
        <w:tc>
          <w:tcPr>
            <w:tcW w:w="3676" w:type="pct"/>
            <w:noWrap w:val="0"/>
            <w:vAlign w:val="center"/>
          </w:tcPr>
          <w:p w14:paraId="420CF42E">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储存于阴凉、通风的库房。远离火种、热源。应与氧化剂、食用化学品分开存放，切忌混储。储区应备有合适的材料收容泄漏物。</w:t>
            </w:r>
          </w:p>
        </w:tc>
      </w:tr>
      <w:tr w14:paraId="0EE9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349A3A73">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毒性危害</w:t>
            </w:r>
          </w:p>
        </w:tc>
        <w:tc>
          <w:tcPr>
            <w:tcW w:w="1017" w:type="pct"/>
            <w:noWrap w:val="0"/>
            <w:vAlign w:val="center"/>
          </w:tcPr>
          <w:p w14:paraId="2A9A24A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接触限值：</w:t>
            </w:r>
          </w:p>
        </w:tc>
        <w:tc>
          <w:tcPr>
            <w:tcW w:w="3676" w:type="pct"/>
            <w:noWrap w:val="0"/>
            <w:vAlign w:val="center"/>
          </w:tcPr>
          <w:p w14:paraId="3510FAF2">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  国  MAC：未制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r>
              <w:rPr>
                <w:rFonts w:hint="eastAsia" w:cs="Times New Roman"/>
                <w:color w:val="auto"/>
                <w:sz w:val="21"/>
                <w:szCs w:val="21"/>
                <w:lang w:eastAsia="zh-CN"/>
              </w:rPr>
              <w:t>苏联</w:t>
            </w:r>
            <w:r>
              <w:rPr>
                <w:rFonts w:hint="eastAsia" w:ascii="Times New Roman" w:hAnsi="Times New Roman" w:eastAsia="宋体" w:cs="Times New Roman"/>
                <w:color w:val="auto"/>
                <w:sz w:val="21"/>
                <w:szCs w:val="21"/>
              </w:rPr>
              <w:t>MAC：未制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p>
          <w:p w14:paraId="269320CB">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美国TLV—TWA：未制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标准；美国TLV—STEL：未制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p>
        </w:tc>
      </w:tr>
      <w:tr w14:paraId="24AF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305C5773">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5FC6CD00">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侵入途径：</w:t>
            </w:r>
          </w:p>
        </w:tc>
        <w:tc>
          <w:tcPr>
            <w:tcW w:w="3676" w:type="pct"/>
            <w:noWrap w:val="0"/>
            <w:vAlign w:val="center"/>
          </w:tcPr>
          <w:p w14:paraId="67442D82">
            <w:pPr>
              <w:spacing w:line="26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吸入  食入</w:t>
            </w:r>
          </w:p>
        </w:tc>
      </w:tr>
      <w:tr w14:paraId="4BED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29565A2B">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5FCCA8B7">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毒性：</w:t>
            </w:r>
          </w:p>
        </w:tc>
        <w:tc>
          <w:tcPr>
            <w:tcW w:w="3676" w:type="pct"/>
            <w:noWrap w:val="0"/>
            <w:vAlign w:val="center"/>
          </w:tcPr>
          <w:p w14:paraId="1CF63B28">
            <w:pPr>
              <w:spacing w:line="260" w:lineRule="exact"/>
              <w:rPr>
                <w:rFonts w:hint="eastAsia" w:ascii="Times New Roman" w:hAnsi="Times New Roman" w:eastAsia="宋体" w:cs="Times New Roman"/>
                <w:color w:val="auto"/>
                <w:sz w:val="21"/>
                <w:szCs w:val="21"/>
              </w:rPr>
            </w:pPr>
            <w:r>
              <w:rPr>
                <w:rFonts w:hint="eastAsia" w:cs="Times New Roman"/>
                <w:color w:val="auto"/>
                <w:sz w:val="21"/>
                <w:szCs w:val="21"/>
                <w:lang w:val="en-US" w:eastAsia="zh-CN"/>
              </w:rPr>
              <w:t>/</w:t>
            </w:r>
          </w:p>
        </w:tc>
      </w:tr>
      <w:tr w14:paraId="1B77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4D58437A">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474E3B6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健康危害：</w:t>
            </w:r>
          </w:p>
        </w:tc>
        <w:tc>
          <w:tcPr>
            <w:tcW w:w="3676" w:type="pct"/>
            <w:noWrap w:val="0"/>
            <w:vAlign w:val="center"/>
          </w:tcPr>
          <w:p w14:paraId="2F1D1077">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误服引起恶心、呕吐、腹痛、腹泻等急性胃肠炎样的急性中毒症状，吐泻物中常含血，严重者可发生抽搐、休克、急性心力衰竭等。可致死。皮肤接触可致皮炎或干裂。</w:t>
            </w:r>
          </w:p>
        </w:tc>
      </w:tr>
      <w:tr w14:paraId="6AE5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68F5677F">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急救</w:t>
            </w:r>
          </w:p>
        </w:tc>
        <w:tc>
          <w:tcPr>
            <w:tcW w:w="1017" w:type="pct"/>
            <w:noWrap w:val="0"/>
            <w:vAlign w:val="center"/>
          </w:tcPr>
          <w:p w14:paraId="284A1D8E">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皮肤接触：</w:t>
            </w:r>
          </w:p>
        </w:tc>
        <w:tc>
          <w:tcPr>
            <w:tcW w:w="3676" w:type="pct"/>
            <w:noWrap w:val="0"/>
            <w:vAlign w:val="center"/>
          </w:tcPr>
          <w:p w14:paraId="1C30811D">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脱去污染的衣着，用流动清水冲洗。如有不适感，就医。</w:t>
            </w:r>
          </w:p>
        </w:tc>
      </w:tr>
      <w:tr w14:paraId="7D15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01D647A7">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7BB326C2">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眼睛接触：</w:t>
            </w:r>
          </w:p>
        </w:tc>
        <w:tc>
          <w:tcPr>
            <w:tcW w:w="3676" w:type="pct"/>
            <w:noWrap w:val="0"/>
            <w:vAlign w:val="center"/>
          </w:tcPr>
          <w:p w14:paraId="7D3E4A4A">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拉开眼睑，用流动清水冲洗15分钟。就医。</w:t>
            </w:r>
          </w:p>
        </w:tc>
      </w:tr>
      <w:tr w14:paraId="6CB0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1EFA9E03">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75D177A9">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吸入：</w:t>
            </w:r>
          </w:p>
        </w:tc>
        <w:tc>
          <w:tcPr>
            <w:tcW w:w="3676" w:type="pct"/>
            <w:noWrap w:val="0"/>
            <w:vAlign w:val="center"/>
          </w:tcPr>
          <w:p w14:paraId="20149357">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迅速脱离现场至空气新鲜处。保持呼吸道通畅。呼吸困难时给输氧。呼吸停止时，立即进行人工呼吸。就医。</w:t>
            </w:r>
          </w:p>
        </w:tc>
      </w:tr>
      <w:tr w14:paraId="33D5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5743C547">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3DBD5B15">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食入：</w:t>
            </w:r>
          </w:p>
        </w:tc>
        <w:tc>
          <w:tcPr>
            <w:tcW w:w="3676" w:type="pct"/>
            <w:noWrap w:val="0"/>
            <w:vAlign w:val="center"/>
          </w:tcPr>
          <w:p w14:paraId="3608577F">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饮足量温水，催吐。洗胃，给饮牛奶或者蛋清，就医。</w:t>
            </w:r>
          </w:p>
        </w:tc>
      </w:tr>
      <w:tr w14:paraId="6A93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265F824B">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防护措施</w:t>
            </w:r>
          </w:p>
        </w:tc>
        <w:tc>
          <w:tcPr>
            <w:tcW w:w="1017" w:type="pct"/>
            <w:noWrap w:val="0"/>
            <w:vAlign w:val="center"/>
          </w:tcPr>
          <w:p w14:paraId="34E3E496">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工程控制：</w:t>
            </w:r>
          </w:p>
        </w:tc>
        <w:tc>
          <w:tcPr>
            <w:tcW w:w="3676" w:type="pct"/>
            <w:noWrap w:val="0"/>
            <w:vAlign w:val="center"/>
          </w:tcPr>
          <w:p w14:paraId="1AC9D61D">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密闭操作，局部排风。</w:t>
            </w:r>
          </w:p>
        </w:tc>
      </w:tr>
      <w:tr w14:paraId="3F6B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textDirection w:val="tbRlV"/>
            <w:vAlign w:val="center"/>
          </w:tcPr>
          <w:p w14:paraId="3EBB74F6">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67243FF5">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呼吸系统防护：</w:t>
            </w:r>
          </w:p>
        </w:tc>
        <w:tc>
          <w:tcPr>
            <w:tcW w:w="3676" w:type="pct"/>
            <w:noWrap w:val="0"/>
            <w:vAlign w:val="center"/>
          </w:tcPr>
          <w:p w14:paraId="73B85AC2">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作业工人应戴口罩。</w:t>
            </w:r>
          </w:p>
        </w:tc>
      </w:tr>
      <w:tr w14:paraId="2E12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textDirection w:val="tbRlV"/>
            <w:vAlign w:val="center"/>
          </w:tcPr>
          <w:p w14:paraId="62A80C60">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7536F39A">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眼睛防护：</w:t>
            </w:r>
          </w:p>
        </w:tc>
        <w:tc>
          <w:tcPr>
            <w:tcW w:w="3676" w:type="pct"/>
            <w:noWrap w:val="0"/>
            <w:vAlign w:val="center"/>
          </w:tcPr>
          <w:p w14:paraId="237ABB48">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戴化学安全防护眼镜。</w:t>
            </w:r>
          </w:p>
        </w:tc>
      </w:tr>
      <w:tr w14:paraId="2AC9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textDirection w:val="tbRlV"/>
            <w:vAlign w:val="center"/>
          </w:tcPr>
          <w:p w14:paraId="3270D4D8">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2874ABD6">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防护服：</w:t>
            </w:r>
          </w:p>
        </w:tc>
        <w:tc>
          <w:tcPr>
            <w:tcW w:w="3676" w:type="pct"/>
            <w:noWrap w:val="0"/>
            <w:vAlign w:val="center"/>
          </w:tcPr>
          <w:p w14:paraId="52386828">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穿防毒物渗透工作服。</w:t>
            </w:r>
          </w:p>
        </w:tc>
      </w:tr>
      <w:tr w14:paraId="4C4F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textDirection w:val="tbRlV"/>
            <w:vAlign w:val="center"/>
          </w:tcPr>
          <w:p w14:paraId="311BF567">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51BD9B87">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手防护：</w:t>
            </w:r>
          </w:p>
        </w:tc>
        <w:tc>
          <w:tcPr>
            <w:tcW w:w="3676" w:type="pct"/>
            <w:noWrap w:val="0"/>
            <w:vAlign w:val="center"/>
          </w:tcPr>
          <w:p w14:paraId="579C62D4">
            <w:pPr>
              <w:spacing w:line="260" w:lineRule="exact"/>
              <w:rPr>
                <w:rFonts w:hint="eastAsia" w:ascii="Times New Roman" w:hAnsi="Times New Roman" w:eastAsia="宋体" w:cs="Times New Roman"/>
                <w:color w:val="auto"/>
                <w:sz w:val="21"/>
                <w:szCs w:val="21"/>
              </w:rPr>
            </w:pPr>
            <w:r>
              <w:rPr>
                <w:rFonts w:hint="eastAsia" w:cs="Times New Roman"/>
                <w:color w:val="auto"/>
                <w:sz w:val="21"/>
                <w:szCs w:val="21"/>
                <w:lang w:val="en-US" w:eastAsia="zh-CN"/>
              </w:rPr>
              <w:t>戴乳胶</w:t>
            </w:r>
            <w:r>
              <w:rPr>
                <w:rFonts w:hint="eastAsia" w:ascii="Times New Roman" w:hAnsi="Times New Roman" w:eastAsia="宋体" w:cs="Times New Roman"/>
                <w:color w:val="auto"/>
                <w:sz w:val="21"/>
                <w:szCs w:val="21"/>
              </w:rPr>
              <w:t>手套。</w:t>
            </w:r>
          </w:p>
        </w:tc>
      </w:tr>
      <w:tr w14:paraId="2FA2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23" w:type="pct"/>
            <w:gridSpan w:val="2"/>
            <w:noWrap w:val="0"/>
            <w:vAlign w:val="center"/>
          </w:tcPr>
          <w:p w14:paraId="4B57497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泄漏处置：</w:t>
            </w:r>
          </w:p>
        </w:tc>
        <w:tc>
          <w:tcPr>
            <w:tcW w:w="3676" w:type="pct"/>
            <w:noWrap w:val="0"/>
            <w:vAlign w:val="center"/>
          </w:tcPr>
          <w:p w14:paraId="7812C701">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隔离泄漏污染区，限制出入。建议应急处理人员戴防尘面具（全面罩），穿防毒服。穿上适当的防护服前严禁接触破裂的容器和泄漏物，尽可能切断泄漏源。用塑料布覆盖泄漏物，减少飞散。勿使水进入包装容器内，用洁净的铲子收集泄漏物，置于干净、干燥、盖子较松的容器中，将容器移离泄漏区。避免扬尘，小心扫起，置于袋中转移至安全场所。若大量泄漏，用塑料布、帆布覆盖。收集回收或运至废物处理场所处置。</w:t>
            </w:r>
          </w:p>
        </w:tc>
      </w:tr>
      <w:tr w14:paraId="0E939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23" w:type="pct"/>
            <w:gridSpan w:val="2"/>
            <w:noWrap w:val="0"/>
            <w:vAlign w:val="center"/>
          </w:tcPr>
          <w:p w14:paraId="4D93182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其他：</w:t>
            </w:r>
          </w:p>
        </w:tc>
        <w:tc>
          <w:tcPr>
            <w:tcW w:w="3676" w:type="pct"/>
            <w:noWrap w:val="0"/>
            <w:vAlign w:val="center"/>
          </w:tcPr>
          <w:p w14:paraId="75FDA612">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工作现场禁止吸烟、进食和饮水。工作后，淋浴更衣。单独存放被毒物污染的衣服，洗后再用。严禁皮肤直接接触。车间应配备急救设备及药品。</w:t>
            </w:r>
          </w:p>
        </w:tc>
      </w:tr>
    </w:tbl>
    <w:p w14:paraId="7649CC45">
      <w:pPr>
        <w:pStyle w:val="4"/>
        <w:numPr>
          <w:ilvl w:val="3"/>
          <w:numId w:val="10"/>
        </w:numPr>
        <w:tabs>
          <w:tab w:val="left" w:pos="1358"/>
          <w:tab w:val="left" w:pos="2153"/>
        </w:tabs>
        <w:ind w:left="1358"/>
        <w:outlineLvl w:val="4"/>
        <w:rPr>
          <w:rFonts w:hint="default" w:ascii="Times New Roman" w:hAnsi="Times New Roman" w:eastAsia="宋体" w:cs="Times New Roman"/>
          <w:color w:val="auto"/>
          <w:spacing w:val="10"/>
          <w:sz w:val="24"/>
          <w:szCs w:val="32"/>
          <w:lang w:val="en-US" w:eastAsia="zh-CN"/>
        </w:rPr>
      </w:pPr>
      <w:r>
        <w:rPr>
          <w:rFonts w:hint="eastAsia" w:ascii="Times New Roman" w:hAnsi="Times New Roman" w:cs="Times New Roman"/>
          <w:color w:val="auto"/>
          <w:lang w:val="en-US" w:eastAsia="zh-CN"/>
        </w:rPr>
        <w:t>氟硅酸镁</w:t>
      </w:r>
      <w:r>
        <w:rPr>
          <w:rFonts w:hint="default" w:ascii="Times New Roman" w:hAnsi="Times New Roman" w:eastAsia="宋体" w:cs="Times New Roman"/>
          <w:color w:val="auto"/>
          <w:lang w:val="zh-CN" w:eastAsia="zh-CN"/>
        </w:rPr>
        <w:t>安全技术说明书</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829"/>
        <w:gridCol w:w="6609"/>
      </w:tblGrid>
      <w:tr w14:paraId="2457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6EA198DC">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标识</w:t>
            </w:r>
          </w:p>
        </w:tc>
        <w:tc>
          <w:tcPr>
            <w:tcW w:w="1017" w:type="pct"/>
            <w:noWrap w:val="0"/>
            <w:vAlign w:val="center"/>
          </w:tcPr>
          <w:p w14:paraId="502517CC">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中文名：</w:t>
            </w:r>
          </w:p>
        </w:tc>
        <w:tc>
          <w:tcPr>
            <w:tcW w:w="3676" w:type="pct"/>
            <w:noWrap w:val="0"/>
            <w:vAlign w:val="center"/>
          </w:tcPr>
          <w:p w14:paraId="28589DFE">
            <w:pPr>
              <w:spacing w:line="260" w:lineRule="exact"/>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氟硅酸镁</w:t>
            </w:r>
          </w:p>
        </w:tc>
      </w:tr>
      <w:tr w14:paraId="756C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1DDA05DE">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12D91D11">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英文名：</w:t>
            </w:r>
          </w:p>
        </w:tc>
        <w:tc>
          <w:tcPr>
            <w:tcW w:w="3676" w:type="pct"/>
            <w:noWrap w:val="0"/>
            <w:vAlign w:val="center"/>
          </w:tcPr>
          <w:p w14:paraId="03F32A55">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magneesium fluosilicate</w:t>
            </w:r>
          </w:p>
        </w:tc>
      </w:tr>
      <w:tr w14:paraId="25DA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50FD7C87">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2233DB0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分子式：</w:t>
            </w:r>
          </w:p>
        </w:tc>
        <w:tc>
          <w:tcPr>
            <w:tcW w:w="3676" w:type="pct"/>
            <w:noWrap w:val="0"/>
            <w:vAlign w:val="center"/>
          </w:tcPr>
          <w:p w14:paraId="1D4B4E98">
            <w:pPr>
              <w:spacing w:line="26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MgSiF6                           分子量：</w:t>
            </w:r>
            <w:r>
              <w:rPr>
                <w:rFonts w:hint="eastAsia" w:cs="Times New Roman"/>
                <w:color w:val="auto"/>
                <w:sz w:val="21"/>
                <w:szCs w:val="21"/>
                <w:lang w:val="en-US" w:eastAsia="zh-CN"/>
              </w:rPr>
              <w:t>274.47</w:t>
            </w:r>
          </w:p>
        </w:tc>
      </w:tr>
      <w:tr w14:paraId="74DF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5CBD1B7C">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5AEA8A0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CAS号：</w:t>
            </w:r>
          </w:p>
        </w:tc>
        <w:tc>
          <w:tcPr>
            <w:tcW w:w="3676" w:type="pct"/>
            <w:noWrap w:val="0"/>
            <w:vAlign w:val="center"/>
          </w:tcPr>
          <w:p w14:paraId="54F7BC3C">
            <w:pPr>
              <w:spacing w:line="260" w:lineRule="exac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16949-65-8</w:t>
            </w:r>
          </w:p>
        </w:tc>
      </w:tr>
      <w:tr w14:paraId="6553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710F1CED">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理化性质</w:t>
            </w:r>
          </w:p>
        </w:tc>
        <w:tc>
          <w:tcPr>
            <w:tcW w:w="1017" w:type="pct"/>
            <w:noWrap w:val="0"/>
            <w:vAlign w:val="center"/>
          </w:tcPr>
          <w:p w14:paraId="0BC256F1">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外观与性状：</w:t>
            </w:r>
          </w:p>
        </w:tc>
        <w:tc>
          <w:tcPr>
            <w:tcW w:w="3676" w:type="pct"/>
            <w:noWrap w:val="0"/>
            <w:vAlign w:val="center"/>
          </w:tcPr>
          <w:p w14:paraId="7DE7DAA8">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白色易风化无臭结晶</w:t>
            </w:r>
          </w:p>
        </w:tc>
      </w:tr>
      <w:tr w14:paraId="0B08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64A7A4EA">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41D23014">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主要用途：</w:t>
            </w:r>
          </w:p>
        </w:tc>
        <w:tc>
          <w:tcPr>
            <w:tcW w:w="3676" w:type="pct"/>
            <w:noWrap w:val="0"/>
            <w:vAlign w:val="center"/>
          </w:tcPr>
          <w:p w14:paraId="50B9553C">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用作混凝土增强剂、混凝土缓硬剂、橡胶胶乳凝固剂、防腐剂和纺织品防蛀剂。</w:t>
            </w:r>
          </w:p>
        </w:tc>
      </w:tr>
      <w:tr w14:paraId="61C0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19809DD2">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48992D00">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沸点</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p>
        </w:tc>
        <w:tc>
          <w:tcPr>
            <w:tcW w:w="3676" w:type="pct"/>
            <w:noWrap w:val="0"/>
            <w:vAlign w:val="center"/>
          </w:tcPr>
          <w:p w14:paraId="6817A12B">
            <w:pPr>
              <w:spacing w:line="260" w:lineRule="exac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无资料</w:t>
            </w:r>
            <w:r>
              <w:rPr>
                <w:rFonts w:hint="eastAsia" w:ascii="Times New Roman" w:hAnsi="Times New Roman" w:eastAsia="宋体" w:cs="Times New Roman"/>
                <w:color w:val="auto"/>
                <w:sz w:val="21"/>
                <w:szCs w:val="21"/>
              </w:rPr>
              <w:t xml:space="preserve">                     相对密度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水=1)：</w:t>
            </w:r>
            <w:r>
              <w:rPr>
                <w:rFonts w:hint="eastAsia" w:cs="Times New Roman"/>
                <w:color w:val="auto"/>
                <w:sz w:val="21"/>
                <w:szCs w:val="21"/>
                <w:lang w:val="en-US" w:eastAsia="zh-CN"/>
              </w:rPr>
              <w:t>1.788</w:t>
            </w:r>
          </w:p>
        </w:tc>
      </w:tr>
      <w:tr w14:paraId="7D80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523A4CED">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09F1445B">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溶解性：</w:t>
            </w:r>
          </w:p>
        </w:tc>
        <w:tc>
          <w:tcPr>
            <w:tcW w:w="3676" w:type="pct"/>
            <w:noWrap w:val="0"/>
            <w:vAlign w:val="center"/>
          </w:tcPr>
          <w:p w14:paraId="427A3D63">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溶于水，不溶于醇。</w:t>
            </w:r>
          </w:p>
        </w:tc>
      </w:tr>
      <w:tr w14:paraId="5447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75D5BADA">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燃烧爆炸危险性</w:t>
            </w:r>
          </w:p>
        </w:tc>
        <w:tc>
          <w:tcPr>
            <w:tcW w:w="1017" w:type="pct"/>
            <w:noWrap w:val="0"/>
            <w:vAlign w:val="center"/>
          </w:tcPr>
          <w:p w14:paraId="48BB2891">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燃烧性：</w:t>
            </w:r>
          </w:p>
        </w:tc>
        <w:tc>
          <w:tcPr>
            <w:tcW w:w="3676" w:type="pct"/>
            <w:noWrap w:val="0"/>
            <w:vAlign w:val="center"/>
          </w:tcPr>
          <w:p w14:paraId="650AD96B">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不燃</w:t>
            </w:r>
          </w:p>
        </w:tc>
      </w:tr>
      <w:tr w14:paraId="57A9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306" w:type="pct"/>
            <w:vMerge w:val="continue"/>
            <w:noWrap w:val="0"/>
            <w:vAlign w:val="center"/>
          </w:tcPr>
          <w:p w14:paraId="1132E644">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7169A9A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自燃温度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 xml:space="preserve"> ：</w:t>
            </w:r>
          </w:p>
        </w:tc>
        <w:tc>
          <w:tcPr>
            <w:tcW w:w="3676" w:type="pct"/>
            <w:noWrap w:val="0"/>
            <w:vAlign w:val="center"/>
          </w:tcPr>
          <w:p w14:paraId="3C39B9D9">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引燃温度</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：无意义</w:t>
            </w:r>
          </w:p>
        </w:tc>
      </w:tr>
      <w:tr w14:paraId="3A9B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7C224C5D">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34FFCBA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危险特性：</w:t>
            </w:r>
          </w:p>
        </w:tc>
        <w:tc>
          <w:tcPr>
            <w:tcW w:w="3676" w:type="pct"/>
            <w:noWrap w:val="0"/>
            <w:vAlign w:val="center"/>
          </w:tcPr>
          <w:p w14:paraId="7FF30A15">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与酸反应，放出有毒的腐蚀性烟气。受高热分解放出有毒的气体。</w:t>
            </w:r>
          </w:p>
        </w:tc>
      </w:tr>
      <w:tr w14:paraId="3F35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19395FB7">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3F0CFD0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燃烧</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分解</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产物：</w:t>
            </w:r>
          </w:p>
        </w:tc>
        <w:tc>
          <w:tcPr>
            <w:tcW w:w="3676" w:type="pct"/>
            <w:noWrap w:val="0"/>
            <w:vAlign w:val="center"/>
          </w:tcPr>
          <w:p w14:paraId="2D30CA4A">
            <w:pPr>
              <w:spacing w:line="260" w:lineRule="exact"/>
              <w:rPr>
                <w:rFonts w:hint="eastAsia" w:ascii="Times New Roman" w:hAnsi="Times New Roman" w:eastAsia="宋体" w:cs="Times New Roman"/>
                <w:color w:val="auto"/>
                <w:sz w:val="21"/>
                <w:szCs w:val="21"/>
              </w:rPr>
            </w:pPr>
            <w:r>
              <w:rPr>
                <w:rFonts w:hint="eastAsia" w:cs="Times New Roman"/>
                <w:color w:val="auto"/>
                <w:sz w:val="21"/>
                <w:szCs w:val="21"/>
                <w:lang w:val="en-US" w:eastAsia="zh-CN"/>
              </w:rPr>
              <w:t>氧化镁、氟化氢、氧化硅</w:t>
            </w:r>
            <w:r>
              <w:rPr>
                <w:rFonts w:hint="eastAsia" w:ascii="Times New Roman" w:hAnsi="Times New Roman" w:eastAsia="宋体" w:cs="Times New Roman"/>
                <w:color w:val="auto"/>
                <w:sz w:val="21"/>
                <w:szCs w:val="21"/>
              </w:rPr>
              <w:t>。                   稳定性：稳定</w:t>
            </w:r>
          </w:p>
        </w:tc>
      </w:tr>
      <w:tr w14:paraId="6F697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429657AC">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58B32C0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聚合危害：</w:t>
            </w:r>
          </w:p>
        </w:tc>
        <w:tc>
          <w:tcPr>
            <w:tcW w:w="3676" w:type="pct"/>
            <w:noWrap w:val="0"/>
            <w:vAlign w:val="center"/>
          </w:tcPr>
          <w:p w14:paraId="0DC8961B">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w:t>
            </w:r>
            <w:r>
              <w:rPr>
                <w:rFonts w:hint="eastAsia" w:cs="Times New Roman"/>
                <w:color w:val="auto"/>
                <w:sz w:val="21"/>
                <w:szCs w:val="21"/>
                <w:lang w:val="en-US" w:eastAsia="zh-CN"/>
              </w:rPr>
              <w:t>能出现</w:t>
            </w:r>
            <w:r>
              <w:rPr>
                <w:rFonts w:hint="eastAsia" w:ascii="Times New Roman" w:hAnsi="Times New Roman" w:eastAsia="宋体" w:cs="Times New Roman"/>
                <w:color w:val="auto"/>
                <w:sz w:val="21"/>
                <w:szCs w:val="21"/>
              </w:rPr>
              <w:t xml:space="preserve">                    禁忌物：强酸。</w:t>
            </w:r>
          </w:p>
        </w:tc>
      </w:tr>
      <w:tr w14:paraId="5AC5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2C90A008">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797972BA">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灭火方法：</w:t>
            </w:r>
          </w:p>
        </w:tc>
        <w:tc>
          <w:tcPr>
            <w:tcW w:w="3676" w:type="pct"/>
            <w:noWrap w:val="0"/>
            <w:vAlign w:val="center"/>
          </w:tcPr>
          <w:p w14:paraId="104F3D7D">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尽可能将容器从火场移至空旷处。灭火剂：雾状水、泡沫、干粉、二氧化碳、砂土。</w:t>
            </w:r>
          </w:p>
        </w:tc>
      </w:tr>
      <w:tr w14:paraId="323C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166C060D">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包装与储运</w:t>
            </w:r>
          </w:p>
        </w:tc>
        <w:tc>
          <w:tcPr>
            <w:tcW w:w="1017" w:type="pct"/>
            <w:noWrap w:val="0"/>
            <w:vAlign w:val="center"/>
          </w:tcPr>
          <w:p w14:paraId="3F092D6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危险性类别：</w:t>
            </w:r>
          </w:p>
        </w:tc>
        <w:tc>
          <w:tcPr>
            <w:tcW w:w="3676" w:type="pct"/>
            <w:noWrap w:val="0"/>
            <w:vAlign w:val="center"/>
          </w:tcPr>
          <w:p w14:paraId="490FDB09">
            <w:pPr>
              <w:spacing w:line="26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第 6.1 类 毒害品</w:t>
            </w:r>
          </w:p>
        </w:tc>
      </w:tr>
      <w:tr w14:paraId="2562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705C0663">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1406DFC0">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危险货物包装标志：</w:t>
            </w:r>
          </w:p>
        </w:tc>
        <w:tc>
          <w:tcPr>
            <w:tcW w:w="3676" w:type="pct"/>
            <w:noWrap w:val="0"/>
            <w:vAlign w:val="center"/>
          </w:tcPr>
          <w:p w14:paraId="0BE1DD02">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 xml:space="preserve">                 包装类别：</w:t>
            </w:r>
            <w:r>
              <w:rPr>
                <w:rFonts w:hint="eastAsia" w:cs="Times New Roman"/>
                <w:color w:val="auto"/>
                <w:sz w:val="21"/>
                <w:szCs w:val="21"/>
                <w:lang w:eastAsia="zh-CN"/>
              </w:rPr>
              <w:t>Ⅲ</w:t>
            </w:r>
          </w:p>
        </w:tc>
      </w:tr>
      <w:tr w14:paraId="6772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4A55F247">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21F7E68D">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储运注意事项：</w:t>
            </w:r>
          </w:p>
        </w:tc>
        <w:tc>
          <w:tcPr>
            <w:tcW w:w="3676" w:type="pct"/>
            <w:noWrap w:val="0"/>
            <w:vAlign w:val="center"/>
          </w:tcPr>
          <w:p w14:paraId="39415845">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储存于阴凉、通风仓间内。远离火种、热源。专人保管。保持容器密封。应与氧化剂、酸类、食用化工原料分开存放。操作现场不得吸烟、饮水、进食。搬运时要轻装轻卸，防止包装及容器损坏。分装和搬运作业要注意个人防护。</w:t>
            </w:r>
          </w:p>
        </w:tc>
      </w:tr>
      <w:tr w14:paraId="06DC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43D1696F">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毒性危害</w:t>
            </w:r>
          </w:p>
        </w:tc>
        <w:tc>
          <w:tcPr>
            <w:tcW w:w="1017" w:type="pct"/>
            <w:noWrap w:val="0"/>
            <w:vAlign w:val="center"/>
          </w:tcPr>
          <w:p w14:paraId="3C63F67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接触限值：</w:t>
            </w:r>
          </w:p>
        </w:tc>
        <w:tc>
          <w:tcPr>
            <w:tcW w:w="3676" w:type="pct"/>
            <w:noWrap w:val="0"/>
            <w:vAlign w:val="center"/>
          </w:tcPr>
          <w:p w14:paraId="7B1B76FC">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  国  MAC：未制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r>
              <w:rPr>
                <w:rFonts w:hint="eastAsia" w:cs="Times New Roman"/>
                <w:color w:val="auto"/>
                <w:sz w:val="21"/>
                <w:szCs w:val="21"/>
                <w:lang w:eastAsia="zh-CN"/>
              </w:rPr>
              <w:t>苏联</w:t>
            </w:r>
            <w:r>
              <w:rPr>
                <w:rFonts w:hint="eastAsia" w:ascii="Times New Roman" w:hAnsi="Times New Roman" w:eastAsia="宋体" w:cs="Times New Roman"/>
                <w:color w:val="auto"/>
                <w:sz w:val="21"/>
                <w:szCs w:val="21"/>
              </w:rPr>
              <w:t>MAC：未制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p>
          <w:p w14:paraId="125C2EDA">
            <w:pPr>
              <w:spacing w:line="26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美国TLV—TWA：</w:t>
            </w:r>
            <w:r>
              <w:rPr>
                <w:rFonts w:hint="eastAsia" w:cs="Times New Roman"/>
                <w:color w:val="auto"/>
                <w:sz w:val="21"/>
                <w:szCs w:val="21"/>
                <w:lang w:val="en-US" w:eastAsia="zh-CN"/>
              </w:rPr>
              <w:t>2.5mg(F)/</w:t>
            </w:r>
          </w:p>
        </w:tc>
      </w:tr>
      <w:tr w14:paraId="7040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75E0E6EE">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3D96E82C">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侵入途径：</w:t>
            </w:r>
          </w:p>
        </w:tc>
        <w:tc>
          <w:tcPr>
            <w:tcW w:w="3676" w:type="pct"/>
            <w:noWrap w:val="0"/>
            <w:vAlign w:val="center"/>
          </w:tcPr>
          <w:p w14:paraId="6845FB0D">
            <w:pPr>
              <w:spacing w:line="26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吸入  食入</w:t>
            </w:r>
          </w:p>
        </w:tc>
      </w:tr>
      <w:tr w14:paraId="5B21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378B7DC4">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58ECD0A2">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毒性：</w:t>
            </w:r>
          </w:p>
        </w:tc>
        <w:tc>
          <w:tcPr>
            <w:tcW w:w="3676" w:type="pct"/>
            <w:noWrap w:val="0"/>
            <w:vAlign w:val="center"/>
          </w:tcPr>
          <w:p w14:paraId="7A925646">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LD50：200 mg/kg(豚鼠经口),LC50：无资料</w:t>
            </w:r>
          </w:p>
        </w:tc>
      </w:tr>
      <w:tr w14:paraId="09F0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5EC68FBC">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2EF35745">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健康危害：</w:t>
            </w:r>
          </w:p>
        </w:tc>
        <w:tc>
          <w:tcPr>
            <w:tcW w:w="3676" w:type="pct"/>
            <w:noWrap w:val="0"/>
            <w:vAlign w:val="center"/>
          </w:tcPr>
          <w:p w14:paraId="1D26A863">
            <w:pPr>
              <w:spacing w:line="26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吸入或误服会中毒</w:t>
            </w:r>
            <w:r>
              <w:rPr>
                <w:rFonts w:hint="eastAsia" w:cs="Times New Roman"/>
                <w:color w:val="auto"/>
                <w:sz w:val="21"/>
                <w:szCs w:val="21"/>
                <w:lang w:eastAsia="zh-CN"/>
              </w:rPr>
              <w:t>。</w:t>
            </w:r>
          </w:p>
        </w:tc>
      </w:tr>
      <w:tr w14:paraId="25FD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7408B0D5">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急救</w:t>
            </w:r>
          </w:p>
        </w:tc>
        <w:tc>
          <w:tcPr>
            <w:tcW w:w="1017" w:type="pct"/>
            <w:noWrap w:val="0"/>
            <w:vAlign w:val="center"/>
          </w:tcPr>
          <w:p w14:paraId="4E04E8F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皮肤接触：</w:t>
            </w:r>
          </w:p>
        </w:tc>
        <w:tc>
          <w:tcPr>
            <w:tcW w:w="3676" w:type="pct"/>
            <w:noWrap w:val="0"/>
            <w:vAlign w:val="center"/>
          </w:tcPr>
          <w:p w14:paraId="4E37F871">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脱去污染的衣着，用流动清水冲洗。如有不适感，就医。</w:t>
            </w:r>
          </w:p>
        </w:tc>
      </w:tr>
      <w:tr w14:paraId="1E1A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3CF793AF">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4F46818F">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眼睛接触：</w:t>
            </w:r>
          </w:p>
        </w:tc>
        <w:tc>
          <w:tcPr>
            <w:tcW w:w="3676" w:type="pct"/>
            <w:noWrap w:val="0"/>
            <w:vAlign w:val="center"/>
          </w:tcPr>
          <w:p w14:paraId="5E6D99C1">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拉开眼睑，用流动清水冲洗15分钟。就医。</w:t>
            </w:r>
          </w:p>
        </w:tc>
      </w:tr>
      <w:tr w14:paraId="3BF9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2FEC1675">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0F594BF2">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吸入：</w:t>
            </w:r>
          </w:p>
        </w:tc>
        <w:tc>
          <w:tcPr>
            <w:tcW w:w="3676" w:type="pct"/>
            <w:noWrap w:val="0"/>
            <w:vAlign w:val="center"/>
          </w:tcPr>
          <w:p w14:paraId="56366BE1">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迅速脱离现场至空气新鲜处。保持呼吸道通畅。呼吸困难时给输氧。呼吸停止时，立即进行人工呼吸。就医。</w:t>
            </w:r>
          </w:p>
        </w:tc>
      </w:tr>
      <w:tr w14:paraId="2891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vAlign w:val="center"/>
          </w:tcPr>
          <w:p w14:paraId="3DEC79F1">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5C91A94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食入：</w:t>
            </w:r>
          </w:p>
        </w:tc>
        <w:tc>
          <w:tcPr>
            <w:tcW w:w="3676" w:type="pct"/>
            <w:noWrap w:val="0"/>
            <w:vAlign w:val="center"/>
          </w:tcPr>
          <w:p w14:paraId="054B7EC3">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饮足量温水，催吐。洗胃，给饮牛奶或者蛋清，就医。</w:t>
            </w:r>
          </w:p>
        </w:tc>
      </w:tr>
      <w:tr w14:paraId="4D92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restart"/>
            <w:noWrap w:val="0"/>
            <w:vAlign w:val="center"/>
          </w:tcPr>
          <w:p w14:paraId="3EE4FF73">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防护措施</w:t>
            </w:r>
          </w:p>
        </w:tc>
        <w:tc>
          <w:tcPr>
            <w:tcW w:w="1017" w:type="pct"/>
            <w:noWrap w:val="0"/>
            <w:vAlign w:val="center"/>
          </w:tcPr>
          <w:p w14:paraId="1A90014C">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工程控制：</w:t>
            </w:r>
          </w:p>
        </w:tc>
        <w:tc>
          <w:tcPr>
            <w:tcW w:w="3676" w:type="pct"/>
            <w:noWrap w:val="0"/>
            <w:vAlign w:val="center"/>
          </w:tcPr>
          <w:p w14:paraId="65743898">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密闭操作，局部排风。</w:t>
            </w:r>
          </w:p>
        </w:tc>
      </w:tr>
      <w:tr w14:paraId="46C6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textDirection w:val="tbRlV"/>
            <w:vAlign w:val="center"/>
          </w:tcPr>
          <w:p w14:paraId="4E36D241">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58733E07">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呼吸系统防护：</w:t>
            </w:r>
          </w:p>
        </w:tc>
        <w:tc>
          <w:tcPr>
            <w:tcW w:w="3676" w:type="pct"/>
            <w:noWrap w:val="0"/>
            <w:vAlign w:val="center"/>
          </w:tcPr>
          <w:p w14:paraId="35F62F3E">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作业工人应戴口罩。</w:t>
            </w:r>
          </w:p>
        </w:tc>
      </w:tr>
      <w:tr w14:paraId="7DA8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textDirection w:val="tbRlV"/>
            <w:vAlign w:val="center"/>
          </w:tcPr>
          <w:p w14:paraId="3B1837FE">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698CBFBE">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眼睛防护：</w:t>
            </w:r>
          </w:p>
        </w:tc>
        <w:tc>
          <w:tcPr>
            <w:tcW w:w="3676" w:type="pct"/>
            <w:noWrap w:val="0"/>
            <w:vAlign w:val="center"/>
          </w:tcPr>
          <w:p w14:paraId="591044B1">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戴化学安全防护眼镜。</w:t>
            </w:r>
          </w:p>
        </w:tc>
      </w:tr>
      <w:tr w14:paraId="1E32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textDirection w:val="tbRlV"/>
            <w:vAlign w:val="center"/>
          </w:tcPr>
          <w:p w14:paraId="0740223F">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00A6C94C">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防护服：</w:t>
            </w:r>
          </w:p>
        </w:tc>
        <w:tc>
          <w:tcPr>
            <w:tcW w:w="3676" w:type="pct"/>
            <w:noWrap w:val="0"/>
            <w:vAlign w:val="center"/>
          </w:tcPr>
          <w:p w14:paraId="2A379167">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穿防毒物渗透工作服。</w:t>
            </w:r>
          </w:p>
        </w:tc>
      </w:tr>
      <w:tr w14:paraId="25B0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 w:type="pct"/>
            <w:vMerge w:val="continue"/>
            <w:noWrap w:val="0"/>
            <w:textDirection w:val="tbRlV"/>
            <w:vAlign w:val="center"/>
          </w:tcPr>
          <w:p w14:paraId="7CA1642E">
            <w:pPr>
              <w:spacing w:line="260" w:lineRule="exact"/>
              <w:jc w:val="center"/>
              <w:rPr>
                <w:rFonts w:hint="eastAsia" w:ascii="Times New Roman" w:hAnsi="Times New Roman" w:eastAsia="宋体" w:cs="Times New Roman"/>
                <w:color w:val="auto"/>
                <w:sz w:val="21"/>
                <w:szCs w:val="21"/>
              </w:rPr>
            </w:pPr>
          </w:p>
        </w:tc>
        <w:tc>
          <w:tcPr>
            <w:tcW w:w="1017" w:type="pct"/>
            <w:noWrap w:val="0"/>
            <w:vAlign w:val="center"/>
          </w:tcPr>
          <w:p w14:paraId="0F348868">
            <w:pPr>
              <w:spacing w:line="260" w:lineRule="exact"/>
              <w:jc w:val="lef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手防护：</w:t>
            </w:r>
          </w:p>
        </w:tc>
        <w:tc>
          <w:tcPr>
            <w:tcW w:w="3676" w:type="pct"/>
            <w:noWrap w:val="0"/>
            <w:vAlign w:val="center"/>
          </w:tcPr>
          <w:p w14:paraId="5011862B">
            <w:pPr>
              <w:spacing w:line="260" w:lineRule="exact"/>
              <w:rPr>
                <w:rFonts w:hint="eastAsia" w:ascii="Times New Roman" w:hAnsi="Times New Roman" w:eastAsia="宋体" w:cs="Times New Roman"/>
                <w:color w:val="auto"/>
                <w:sz w:val="21"/>
                <w:szCs w:val="21"/>
              </w:rPr>
            </w:pPr>
            <w:r>
              <w:rPr>
                <w:rFonts w:hint="eastAsia" w:cs="Times New Roman"/>
                <w:color w:val="auto"/>
                <w:sz w:val="21"/>
                <w:szCs w:val="21"/>
                <w:lang w:val="en-US" w:eastAsia="zh-CN"/>
              </w:rPr>
              <w:t>戴乳胶</w:t>
            </w:r>
            <w:r>
              <w:rPr>
                <w:rFonts w:hint="eastAsia" w:ascii="Times New Roman" w:hAnsi="Times New Roman" w:eastAsia="宋体" w:cs="Times New Roman"/>
                <w:color w:val="auto"/>
                <w:sz w:val="21"/>
                <w:szCs w:val="21"/>
              </w:rPr>
              <w:t>手套。</w:t>
            </w:r>
          </w:p>
        </w:tc>
      </w:tr>
      <w:tr w14:paraId="03EE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23" w:type="pct"/>
            <w:gridSpan w:val="2"/>
            <w:noWrap w:val="0"/>
            <w:vAlign w:val="center"/>
          </w:tcPr>
          <w:p w14:paraId="5EE447A5">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泄漏处置：</w:t>
            </w:r>
          </w:p>
        </w:tc>
        <w:tc>
          <w:tcPr>
            <w:tcW w:w="3676" w:type="pct"/>
            <w:noWrap w:val="0"/>
            <w:vAlign w:val="center"/>
          </w:tcPr>
          <w:p w14:paraId="57908E18">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隔离泄漏污染区，限制出入。建议应急处理人员戴防尘口罩，穿防毒服。不要直接接触泄漏物。小量泄漏：小心扫起，转移至安全场所。大量泄漏：收集回收或运至废物处理场所处置。</w:t>
            </w:r>
          </w:p>
        </w:tc>
      </w:tr>
      <w:tr w14:paraId="495A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23" w:type="pct"/>
            <w:gridSpan w:val="2"/>
            <w:noWrap w:val="0"/>
            <w:vAlign w:val="center"/>
          </w:tcPr>
          <w:p w14:paraId="37B9B54D">
            <w:pPr>
              <w:spacing w:line="260" w:lineRule="exact"/>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其他：</w:t>
            </w:r>
          </w:p>
        </w:tc>
        <w:tc>
          <w:tcPr>
            <w:tcW w:w="3676" w:type="pct"/>
            <w:noWrap w:val="0"/>
            <w:vAlign w:val="center"/>
          </w:tcPr>
          <w:p w14:paraId="6FA613B9">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工作现场禁止吸烟、进食和饮水。工作后，淋浴更衣。</w:t>
            </w:r>
            <w:r>
              <w:rPr>
                <w:rFonts w:hint="eastAsia" w:cs="Times New Roman"/>
                <w:color w:val="auto"/>
                <w:sz w:val="21"/>
                <w:szCs w:val="21"/>
                <w:lang w:val="en-US" w:eastAsia="zh-CN"/>
              </w:rPr>
              <w:t>注意个人清洁卫生</w:t>
            </w:r>
            <w:r>
              <w:rPr>
                <w:rFonts w:hint="eastAsia" w:ascii="Times New Roman" w:hAnsi="Times New Roman" w:eastAsia="宋体" w:cs="Times New Roman"/>
                <w:color w:val="auto"/>
                <w:sz w:val="21"/>
                <w:szCs w:val="21"/>
              </w:rPr>
              <w:t>。</w:t>
            </w:r>
          </w:p>
        </w:tc>
      </w:tr>
    </w:tbl>
    <w:p w14:paraId="0353D362">
      <w:pPr>
        <w:pStyle w:val="4"/>
        <w:numPr>
          <w:ilvl w:val="3"/>
          <w:numId w:val="10"/>
        </w:numPr>
        <w:tabs>
          <w:tab w:val="left" w:pos="1358"/>
          <w:tab w:val="left" w:pos="2153"/>
        </w:tabs>
        <w:ind w:left="1358"/>
        <w:outlineLvl w:val="4"/>
        <w:rPr>
          <w:color w:val="auto"/>
        </w:rPr>
      </w:pPr>
      <w:r>
        <w:rPr>
          <w:rFonts w:hint="eastAsia" w:ascii="Times New Roman" w:hAnsi="Times New Roman" w:eastAsia="宋体" w:cs="Times New Roman"/>
          <w:color w:val="auto"/>
          <w:lang w:val="en-US" w:eastAsia="zh-CN"/>
        </w:rPr>
        <w:t>氟化钠</w:t>
      </w:r>
      <w:r>
        <w:rPr>
          <w:rFonts w:hint="default" w:ascii="Times New Roman" w:hAnsi="Times New Roman" w:eastAsia="宋体" w:cs="Times New Roman"/>
          <w:color w:val="auto"/>
          <w:lang w:val="zh-CN" w:eastAsia="zh-CN"/>
        </w:rPr>
        <w:t>安全技术说明书</w:t>
      </w:r>
    </w:p>
    <w:tbl>
      <w:tblPr>
        <w:tblStyle w:val="19"/>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1900"/>
        <w:gridCol w:w="6776"/>
      </w:tblGrid>
      <w:tr w14:paraId="7188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2" w:hRule="atLeast"/>
        </w:trPr>
        <w:tc>
          <w:tcPr>
            <w:tcW w:w="548" w:type="dxa"/>
            <w:vMerge w:val="restart"/>
            <w:noWrap w:val="0"/>
            <w:textDirection w:val="tbRlV"/>
            <w:vAlign w:val="center"/>
          </w:tcPr>
          <w:p w14:paraId="0EA9C628">
            <w:pPr>
              <w:spacing w:line="280" w:lineRule="exact"/>
              <w:ind w:left="113" w:right="113"/>
              <w:jc w:val="center"/>
              <w:rPr>
                <w:rFonts w:hint="eastAsia"/>
                <w:b w:val="0"/>
                <w:bCs w:val="0"/>
                <w:color w:val="auto"/>
                <w:sz w:val="21"/>
                <w:szCs w:val="21"/>
              </w:rPr>
            </w:pPr>
            <w:r>
              <w:rPr>
                <w:rFonts w:hint="eastAsia"/>
                <w:b w:val="0"/>
                <w:bCs w:val="0"/>
                <w:color w:val="auto"/>
                <w:sz w:val="21"/>
                <w:szCs w:val="21"/>
              </w:rPr>
              <w:t>标识</w:t>
            </w:r>
          </w:p>
        </w:tc>
        <w:tc>
          <w:tcPr>
            <w:tcW w:w="1900" w:type="dxa"/>
            <w:noWrap w:val="0"/>
            <w:vAlign w:val="center"/>
          </w:tcPr>
          <w:p w14:paraId="4BE322AE">
            <w:pPr>
              <w:spacing w:line="280" w:lineRule="exact"/>
              <w:rPr>
                <w:rFonts w:hint="eastAsia"/>
                <w:b w:val="0"/>
                <w:bCs w:val="0"/>
                <w:color w:val="auto"/>
                <w:sz w:val="21"/>
                <w:szCs w:val="21"/>
              </w:rPr>
            </w:pPr>
            <w:r>
              <w:rPr>
                <w:rFonts w:hint="eastAsia"/>
                <w:b w:val="0"/>
                <w:bCs w:val="0"/>
                <w:color w:val="auto"/>
                <w:sz w:val="21"/>
                <w:szCs w:val="21"/>
              </w:rPr>
              <w:t>中文名：</w:t>
            </w:r>
          </w:p>
        </w:tc>
        <w:tc>
          <w:tcPr>
            <w:tcW w:w="6776" w:type="dxa"/>
            <w:noWrap w:val="0"/>
            <w:vAlign w:val="center"/>
          </w:tcPr>
          <w:p w14:paraId="46116FAB">
            <w:pPr>
              <w:spacing w:line="280" w:lineRule="exact"/>
              <w:rPr>
                <w:rFonts w:hint="eastAsia"/>
                <w:b w:val="0"/>
                <w:bCs w:val="0"/>
                <w:color w:val="auto"/>
                <w:sz w:val="21"/>
                <w:szCs w:val="21"/>
              </w:rPr>
            </w:pPr>
            <w:r>
              <w:rPr>
                <w:rFonts w:hint="eastAsia"/>
                <w:b w:val="0"/>
                <w:bCs w:val="0"/>
                <w:color w:val="auto"/>
                <w:sz w:val="21"/>
                <w:szCs w:val="21"/>
              </w:rPr>
              <w:t xml:space="preserve">氟化钠               英文名：Sodium fluoride </w:t>
            </w:r>
          </w:p>
        </w:tc>
      </w:tr>
      <w:tr w14:paraId="7C8C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548" w:type="dxa"/>
            <w:vMerge w:val="continue"/>
            <w:noWrap w:val="0"/>
            <w:textDirection w:val="tbRlV"/>
            <w:vAlign w:val="center"/>
          </w:tcPr>
          <w:p w14:paraId="3772299A">
            <w:pPr>
              <w:spacing w:line="280" w:lineRule="exact"/>
              <w:ind w:left="113" w:right="113"/>
              <w:jc w:val="center"/>
              <w:rPr>
                <w:rFonts w:hint="eastAsia"/>
                <w:b w:val="0"/>
                <w:bCs w:val="0"/>
                <w:color w:val="auto"/>
                <w:sz w:val="21"/>
                <w:szCs w:val="21"/>
              </w:rPr>
            </w:pPr>
          </w:p>
        </w:tc>
        <w:tc>
          <w:tcPr>
            <w:tcW w:w="1900" w:type="dxa"/>
            <w:noWrap w:val="0"/>
            <w:vAlign w:val="center"/>
          </w:tcPr>
          <w:p w14:paraId="73C88643">
            <w:pPr>
              <w:spacing w:line="280" w:lineRule="exact"/>
              <w:rPr>
                <w:rFonts w:hint="eastAsia"/>
                <w:b w:val="0"/>
                <w:bCs w:val="0"/>
                <w:color w:val="auto"/>
                <w:sz w:val="21"/>
                <w:szCs w:val="21"/>
              </w:rPr>
            </w:pPr>
            <w:r>
              <w:rPr>
                <w:rFonts w:hint="eastAsia"/>
                <w:b w:val="0"/>
                <w:bCs w:val="0"/>
                <w:color w:val="auto"/>
                <w:sz w:val="21"/>
                <w:szCs w:val="21"/>
              </w:rPr>
              <w:t>分子式：</w:t>
            </w:r>
          </w:p>
        </w:tc>
        <w:tc>
          <w:tcPr>
            <w:tcW w:w="6776" w:type="dxa"/>
            <w:noWrap w:val="0"/>
            <w:vAlign w:val="center"/>
          </w:tcPr>
          <w:p w14:paraId="43000E9C">
            <w:pPr>
              <w:spacing w:line="280" w:lineRule="exact"/>
              <w:rPr>
                <w:rFonts w:hint="eastAsia"/>
                <w:b w:val="0"/>
                <w:bCs w:val="0"/>
                <w:color w:val="auto"/>
                <w:sz w:val="21"/>
                <w:szCs w:val="21"/>
              </w:rPr>
            </w:pPr>
            <w:r>
              <w:rPr>
                <w:rFonts w:hint="eastAsia"/>
                <w:b w:val="0"/>
                <w:bCs w:val="0"/>
                <w:color w:val="auto"/>
                <w:sz w:val="21"/>
                <w:szCs w:val="21"/>
              </w:rPr>
              <w:t>NaF                  分子量：42</w:t>
            </w:r>
          </w:p>
        </w:tc>
      </w:tr>
      <w:tr w14:paraId="2B0B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48" w:type="dxa"/>
            <w:vMerge w:val="continue"/>
            <w:noWrap w:val="0"/>
            <w:textDirection w:val="tbRlV"/>
            <w:vAlign w:val="center"/>
          </w:tcPr>
          <w:p w14:paraId="22826954">
            <w:pPr>
              <w:spacing w:line="280" w:lineRule="exact"/>
              <w:ind w:left="113" w:right="113"/>
              <w:jc w:val="center"/>
              <w:rPr>
                <w:rFonts w:hint="eastAsia"/>
                <w:b w:val="0"/>
                <w:bCs w:val="0"/>
                <w:color w:val="auto"/>
                <w:sz w:val="21"/>
                <w:szCs w:val="21"/>
              </w:rPr>
            </w:pPr>
          </w:p>
        </w:tc>
        <w:tc>
          <w:tcPr>
            <w:tcW w:w="1900" w:type="dxa"/>
            <w:noWrap w:val="0"/>
            <w:vAlign w:val="center"/>
          </w:tcPr>
          <w:p w14:paraId="0859D9B9">
            <w:pPr>
              <w:spacing w:line="280" w:lineRule="exact"/>
              <w:rPr>
                <w:rFonts w:hint="eastAsia"/>
                <w:b w:val="0"/>
                <w:bCs w:val="0"/>
                <w:color w:val="auto"/>
                <w:sz w:val="21"/>
                <w:szCs w:val="21"/>
              </w:rPr>
            </w:pPr>
            <w:r>
              <w:rPr>
                <w:rFonts w:hint="eastAsia"/>
                <w:b w:val="0"/>
                <w:bCs w:val="0"/>
                <w:color w:val="auto"/>
                <w:sz w:val="21"/>
                <w:szCs w:val="21"/>
              </w:rPr>
              <w:t>CAS号：</w:t>
            </w:r>
          </w:p>
        </w:tc>
        <w:tc>
          <w:tcPr>
            <w:tcW w:w="6776" w:type="dxa"/>
            <w:noWrap w:val="0"/>
            <w:vAlign w:val="center"/>
          </w:tcPr>
          <w:p w14:paraId="5D51C48E">
            <w:pPr>
              <w:spacing w:line="280" w:lineRule="exact"/>
              <w:rPr>
                <w:rFonts w:hint="eastAsia"/>
                <w:b w:val="0"/>
                <w:bCs w:val="0"/>
                <w:color w:val="auto"/>
                <w:sz w:val="21"/>
                <w:szCs w:val="21"/>
              </w:rPr>
            </w:pPr>
            <w:r>
              <w:rPr>
                <w:rFonts w:hint="eastAsia"/>
                <w:b w:val="0"/>
                <w:bCs w:val="0"/>
                <w:color w:val="auto"/>
                <w:sz w:val="21"/>
                <w:szCs w:val="21"/>
              </w:rPr>
              <w:t>7681-49-4             RTECS号：WB0350000</w:t>
            </w:r>
          </w:p>
        </w:tc>
      </w:tr>
      <w:tr w14:paraId="0E93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 w:hRule="atLeast"/>
        </w:trPr>
        <w:tc>
          <w:tcPr>
            <w:tcW w:w="548" w:type="dxa"/>
            <w:vMerge w:val="continue"/>
            <w:noWrap w:val="0"/>
            <w:textDirection w:val="tbRlV"/>
            <w:vAlign w:val="center"/>
          </w:tcPr>
          <w:p w14:paraId="7126D63B">
            <w:pPr>
              <w:spacing w:line="280" w:lineRule="exact"/>
              <w:ind w:left="113" w:right="113"/>
              <w:jc w:val="center"/>
              <w:rPr>
                <w:rFonts w:hint="eastAsia"/>
                <w:b w:val="0"/>
                <w:bCs w:val="0"/>
                <w:color w:val="auto"/>
                <w:sz w:val="21"/>
                <w:szCs w:val="21"/>
              </w:rPr>
            </w:pPr>
          </w:p>
        </w:tc>
        <w:tc>
          <w:tcPr>
            <w:tcW w:w="1900" w:type="dxa"/>
            <w:noWrap w:val="0"/>
            <w:vAlign w:val="center"/>
          </w:tcPr>
          <w:p w14:paraId="5073767C">
            <w:pPr>
              <w:spacing w:line="280" w:lineRule="exact"/>
              <w:rPr>
                <w:rFonts w:hint="eastAsia"/>
                <w:b w:val="0"/>
                <w:bCs w:val="0"/>
                <w:color w:val="auto"/>
                <w:sz w:val="21"/>
                <w:szCs w:val="21"/>
              </w:rPr>
            </w:pPr>
            <w:r>
              <w:rPr>
                <w:rFonts w:hint="eastAsia"/>
                <w:b w:val="0"/>
                <w:bCs w:val="0"/>
                <w:color w:val="auto"/>
                <w:sz w:val="21"/>
                <w:szCs w:val="21"/>
              </w:rPr>
              <w:t>UN编号：</w:t>
            </w:r>
          </w:p>
        </w:tc>
        <w:tc>
          <w:tcPr>
            <w:tcW w:w="6776" w:type="dxa"/>
            <w:noWrap w:val="0"/>
            <w:vAlign w:val="center"/>
          </w:tcPr>
          <w:p w14:paraId="6884A81C">
            <w:pPr>
              <w:spacing w:line="280" w:lineRule="exact"/>
              <w:rPr>
                <w:rFonts w:hint="eastAsia"/>
                <w:b w:val="0"/>
                <w:bCs w:val="0"/>
                <w:color w:val="auto"/>
                <w:sz w:val="21"/>
                <w:szCs w:val="21"/>
              </w:rPr>
            </w:pPr>
            <w:r>
              <w:rPr>
                <w:rFonts w:hint="eastAsia"/>
                <w:b w:val="0"/>
                <w:bCs w:val="0"/>
                <w:color w:val="auto"/>
                <w:sz w:val="21"/>
                <w:szCs w:val="21"/>
              </w:rPr>
              <w:t xml:space="preserve"> 1690                危险货物编号：61513      </w:t>
            </w:r>
          </w:p>
        </w:tc>
      </w:tr>
      <w:tr w14:paraId="6601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 w:hRule="atLeast"/>
        </w:trPr>
        <w:tc>
          <w:tcPr>
            <w:tcW w:w="548" w:type="dxa"/>
            <w:vMerge w:val="continue"/>
            <w:noWrap w:val="0"/>
            <w:textDirection w:val="tbRlV"/>
            <w:vAlign w:val="center"/>
          </w:tcPr>
          <w:p w14:paraId="4C61939F">
            <w:pPr>
              <w:spacing w:line="280" w:lineRule="exact"/>
              <w:ind w:left="113" w:right="113"/>
              <w:jc w:val="center"/>
              <w:rPr>
                <w:rFonts w:hint="eastAsia"/>
                <w:b w:val="0"/>
                <w:bCs w:val="0"/>
                <w:color w:val="auto"/>
                <w:sz w:val="21"/>
                <w:szCs w:val="21"/>
              </w:rPr>
            </w:pPr>
          </w:p>
        </w:tc>
        <w:tc>
          <w:tcPr>
            <w:tcW w:w="1900" w:type="dxa"/>
            <w:noWrap w:val="0"/>
            <w:vAlign w:val="center"/>
          </w:tcPr>
          <w:p w14:paraId="312F0A3E">
            <w:pPr>
              <w:spacing w:line="280" w:lineRule="exact"/>
              <w:rPr>
                <w:rFonts w:hint="eastAsia"/>
                <w:b w:val="0"/>
                <w:bCs w:val="0"/>
                <w:color w:val="auto"/>
                <w:sz w:val="21"/>
                <w:szCs w:val="21"/>
              </w:rPr>
            </w:pPr>
            <w:r>
              <w:rPr>
                <w:rFonts w:hint="eastAsia"/>
                <w:b w:val="0"/>
                <w:bCs w:val="0"/>
                <w:color w:val="auto"/>
                <w:sz w:val="21"/>
                <w:szCs w:val="21"/>
              </w:rPr>
              <w:t>IMDG规则页码：</w:t>
            </w:r>
          </w:p>
        </w:tc>
        <w:tc>
          <w:tcPr>
            <w:tcW w:w="6776" w:type="dxa"/>
            <w:noWrap w:val="0"/>
            <w:vAlign w:val="center"/>
          </w:tcPr>
          <w:p w14:paraId="46E6067A">
            <w:pPr>
              <w:spacing w:line="280" w:lineRule="exact"/>
              <w:rPr>
                <w:rFonts w:hint="eastAsia"/>
                <w:b w:val="0"/>
                <w:bCs w:val="0"/>
                <w:color w:val="auto"/>
                <w:sz w:val="21"/>
                <w:szCs w:val="21"/>
              </w:rPr>
            </w:pPr>
            <w:r>
              <w:rPr>
                <w:rFonts w:hint="eastAsia"/>
                <w:b w:val="0"/>
                <w:bCs w:val="0"/>
                <w:color w:val="auto"/>
                <w:sz w:val="21"/>
                <w:szCs w:val="21"/>
              </w:rPr>
              <w:t>6258</w:t>
            </w:r>
          </w:p>
        </w:tc>
      </w:tr>
      <w:tr w14:paraId="678E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trPr>
        <w:tc>
          <w:tcPr>
            <w:tcW w:w="548" w:type="dxa"/>
            <w:vMerge w:val="restart"/>
            <w:noWrap w:val="0"/>
            <w:textDirection w:val="tbRlV"/>
            <w:vAlign w:val="center"/>
          </w:tcPr>
          <w:p w14:paraId="4EC64A0B">
            <w:pPr>
              <w:spacing w:line="280" w:lineRule="exact"/>
              <w:ind w:left="113" w:right="113"/>
              <w:jc w:val="center"/>
              <w:rPr>
                <w:rFonts w:hint="eastAsia"/>
                <w:b w:val="0"/>
                <w:bCs w:val="0"/>
                <w:color w:val="auto"/>
                <w:sz w:val="21"/>
                <w:szCs w:val="21"/>
              </w:rPr>
            </w:pPr>
            <w:r>
              <w:rPr>
                <w:rFonts w:hint="eastAsia"/>
                <w:b w:val="0"/>
                <w:bCs w:val="0"/>
                <w:color w:val="auto"/>
                <w:sz w:val="21"/>
                <w:szCs w:val="21"/>
              </w:rPr>
              <w:t>理化性质</w:t>
            </w:r>
          </w:p>
        </w:tc>
        <w:tc>
          <w:tcPr>
            <w:tcW w:w="1900" w:type="dxa"/>
            <w:noWrap w:val="0"/>
            <w:vAlign w:val="center"/>
          </w:tcPr>
          <w:p w14:paraId="17A47A0C">
            <w:pPr>
              <w:spacing w:line="280" w:lineRule="exact"/>
              <w:rPr>
                <w:rFonts w:hint="eastAsia"/>
                <w:b w:val="0"/>
                <w:bCs w:val="0"/>
                <w:color w:val="auto"/>
                <w:sz w:val="21"/>
                <w:szCs w:val="21"/>
              </w:rPr>
            </w:pPr>
            <w:r>
              <w:rPr>
                <w:rFonts w:hint="eastAsia"/>
                <w:b w:val="0"/>
                <w:bCs w:val="0"/>
                <w:color w:val="auto"/>
                <w:sz w:val="21"/>
                <w:szCs w:val="21"/>
              </w:rPr>
              <w:t>外观与性状：</w:t>
            </w:r>
          </w:p>
        </w:tc>
        <w:tc>
          <w:tcPr>
            <w:tcW w:w="6776" w:type="dxa"/>
            <w:noWrap w:val="0"/>
            <w:vAlign w:val="center"/>
          </w:tcPr>
          <w:p w14:paraId="62DC36DF">
            <w:pPr>
              <w:spacing w:line="280" w:lineRule="exact"/>
              <w:rPr>
                <w:rFonts w:hint="eastAsia"/>
                <w:b w:val="0"/>
                <w:bCs w:val="0"/>
                <w:color w:val="auto"/>
                <w:sz w:val="21"/>
                <w:szCs w:val="21"/>
              </w:rPr>
            </w:pPr>
            <w:r>
              <w:rPr>
                <w:rFonts w:hint="eastAsia"/>
                <w:b w:val="0"/>
                <w:bCs w:val="0"/>
                <w:color w:val="auto"/>
                <w:sz w:val="21"/>
                <w:szCs w:val="21"/>
              </w:rPr>
              <w:t>白色粉末或结晶，无臭。</w:t>
            </w:r>
          </w:p>
        </w:tc>
      </w:tr>
      <w:tr w14:paraId="73E8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548" w:type="dxa"/>
            <w:vMerge w:val="continue"/>
            <w:noWrap w:val="0"/>
            <w:textDirection w:val="tbRlV"/>
            <w:vAlign w:val="center"/>
          </w:tcPr>
          <w:p w14:paraId="6DAFEFF1">
            <w:pPr>
              <w:spacing w:line="280" w:lineRule="exact"/>
              <w:ind w:left="113" w:right="113"/>
              <w:jc w:val="center"/>
              <w:rPr>
                <w:rFonts w:hint="eastAsia"/>
                <w:b w:val="0"/>
                <w:bCs w:val="0"/>
                <w:color w:val="auto"/>
                <w:sz w:val="21"/>
                <w:szCs w:val="21"/>
              </w:rPr>
            </w:pPr>
          </w:p>
        </w:tc>
        <w:tc>
          <w:tcPr>
            <w:tcW w:w="1900" w:type="dxa"/>
            <w:noWrap w:val="0"/>
            <w:vAlign w:val="center"/>
          </w:tcPr>
          <w:p w14:paraId="50FA8720">
            <w:pPr>
              <w:spacing w:line="280" w:lineRule="exact"/>
              <w:rPr>
                <w:rFonts w:hint="eastAsia"/>
                <w:b w:val="0"/>
                <w:bCs w:val="0"/>
                <w:color w:val="auto"/>
                <w:sz w:val="21"/>
                <w:szCs w:val="21"/>
              </w:rPr>
            </w:pPr>
            <w:r>
              <w:rPr>
                <w:rFonts w:hint="eastAsia"/>
                <w:b w:val="0"/>
                <w:bCs w:val="0"/>
                <w:color w:val="auto"/>
                <w:sz w:val="21"/>
                <w:szCs w:val="21"/>
              </w:rPr>
              <w:t>主要用途：</w:t>
            </w:r>
          </w:p>
        </w:tc>
        <w:tc>
          <w:tcPr>
            <w:tcW w:w="6776" w:type="dxa"/>
            <w:noWrap w:val="0"/>
            <w:vAlign w:val="center"/>
          </w:tcPr>
          <w:p w14:paraId="56F05628">
            <w:pPr>
              <w:spacing w:line="280" w:lineRule="exact"/>
              <w:rPr>
                <w:rFonts w:hint="eastAsia"/>
                <w:b w:val="0"/>
                <w:bCs w:val="0"/>
                <w:color w:val="auto"/>
                <w:sz w:val="21"/>
                <w:szCs w:val="21"/>
              </w:rPr>
            </w:pPr>
            <w:r>
              <w:rPr>
                <w:rFonts w:hint="eastAsia"/>
                <w:b w:val="0"/>
                <w:bCs w:val="0"/>
                <w:color w:val="auto"/>
                <w:sz w:val="21"/>
                <w:szCs w:val="21"/>
              </w:rPr>
              <w:t>用作杀虫剂、木材防腐剂。</w:t>
            </w:r>
          </w:p>
        </w:tc>
      </w:tr>
      <w:tr w14:paraId="223A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548" w:type="dxa"/>
            <w:vMerge w:val="continue"/>
            <w:noWrap w:val="0"/>
            <w:textDirection w:val="tbRlV"/>
            <w:vAlign w:val="center"/>
          </w:tcPr>
          <w:p w14:paraId="3C80A6C1">
            <w:pPr>
              <w:spacing w:line="280" w:lineRule="exact"/>
              <w:ind w:left="113" w:right="113"/>
              <w:jc w:val="center"/>
              <w:rPr>
                <w:rFonts w:hint="eastAsia"/>
                <w:b w:val="0"/>
                <w:bCs w:val="0"/>
                <w:color w:val="auto"/>
                <w:sz w:val="21"/>
                <w:szCs w:val="21"/>
              </w:rPr>
            </w:pPr>
          </w:p>
        </w:tc>
        <w:tc>
          <w:tcPr>
            <w:tcW w:w="1900" w:type="dxa"/>
            <w:noWrap w:val="0"/>
            <w:vAlign w:val="center"/>
          </w:tcPr>
          <w:p w14:paraId="6A6F4501">
            <w:pPr>
              <w:spacing w:line="280" w:lineRule="exact"/>
              <w:rPr>
                <w:rFonts w:hint="eastAsia"/>
                <w:b w:val="0"/>
                <w:bCs w:val="0"/>
                <w:color w:val="auto"/>
                <w:sz w:val="21"/>
                <w:szCs w:val="21"/>
              </w:rPr>
            </w:pPr>
            <w:r>
              <w:rPr>
                <w:rFonts w:hint="eastAsia"/>
                <w:b w:val="0"/>
                <w:bCs w:val="0"/>
                <w:color w:val="auto"/>
                <w:sz w:val="21"/>
                <w:szCs w:val="21"/>
              </w:rPr>
              <w:t>熔点(℃)：</w:t>
            </w:r>
          </w:p>
        </w:tc>
        <w:tc>
          <w:tcPr>
            <w:tcW w:w="6776" w:type="dxa"/>
            <w:noWrap w:val="0"/>
            <w:vAlign w:val="center"/>
          </w:tcPr>
          <w:p w14:paraId="1B9117DA">
            <w:pPr>
              <w:spacing w:line="280" w:lineRule="exact"/>
              <w:rPr>
                <w:rFonts w:hint="eastAsia"/>
                <w:b w:val="0"/>
                <w:bCs w:val="0"/>
                <w:color w:val="auto"/>
                <w:sz w:val="21"/>
                <w:szCs w:val="21"/>
              </w:rPr>
            </w:pPr>
            <w:r>
              <w:rPr>
                <w:rFonts w:hint="eastAsia"/>
                <w:b w:val="0"/>
                <w:bCs w:val="0"/>
                <w:color w:val="auto"/>
                <w:sz w:val="21"/>
                <w:szCs w:val="21"/>
              </w:rPr>
              <w:t>993                  沸点(℃)：  1700</w:t>
            </w:r>
          </w:p>
        </w:tc>
      </w:tr>
      <w:tr w14:paraId="3707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548" w:type="dxa"/>
            <w:vMerge w:val="continue"/>
            <w:noWrap w:val="0"/>
            <w:textDirection w:val="tbRlV"/>
            <w:vAlign w:val="center"/>
          </w:tcPr>
          <w:p w14:paraId="7B7A4757">
            <w:pPr>
              <w:spacing w:line="280" w:lineRule="exact"/>
              <w:ind w:left="113" w:right="113"/>
              <w:jc w:val="center"/>
              <w:rPr>
                <w:rFonts w:hint="eastAsia"/>
                <w:b w:val="0"/>
                <w:bCs w:val="0"/>
                <w:color w:val="auto"/>
                <w:sz w:val="21"/>
                <w:szCs w:val="21"/>
              </w:rPr>
            </w:pPr>
          </w:p>
        </w:tc>
        <w:tc>
          <w:tcPr>
            <w:tcW w:w="1900" w:type="dxa"/>
            <w:noWrap w:val="0"/>
            <w:vAlign w:val="center"/>
          </w:tcPr>
          <w:p w14:paraId="0EF78D07">
            <w:pPr>
              <w:spacing w:line="280" w:lineRule="exact"/>
              <w:rPr>
                <w:rFonts w:hint="eastAsia"/>
                <w:b w:val="0"/>
                <w:bCs w:val="0"/>
                <w:color w:val="auto"/>
                <w:sz w:val="21"/>
                <w:szCs w:val="21"/>
              </w:rPr>
            </w:pPr>
            <w:r>
              <w:rPr>
                <w:rFonts w:hint="eastAsia"/>
                <w:b w:val="0"/>
                <w:bCs w:val="0"/>
                <w:color w:val="auto"/>
                <w:sz w:val="21"/>
                <w:szCs w:val="21"/>
              </w:rPr>
              <w:t>相对密度(水=1)：</w:t>
            </w:r>
          </w:p>
        </w:tc>
        <w:tc>
          <w:tcPr>
            <w:tcW w:w="6776" w:type="dxa"/>
            <w:noWrap w:val="0"/>
            <w:vAlign w:val="center"/>
          </w:tcPr>
          <w:p w14:paraId="4DFB22DB">
            <w:pPr>
              <w:spacing w:line="280" w:lineRule="exact"/>
              <w:rPr>
                <w:rFonts w:hint="eastAsia"/>
                <w:b w:val="0"/>
                <w:bCs w:val="0"/>
                <w:color w:val="auto"/>
                <w:sz w:val="21"/>
                <w:szCs w:val="21"/>
              </w:rPr>
            </w:pPr>
            <w:r>
              <w:rPr>
                <w:rFonts w:hint="eastAsia"/>
                <w:b w:val="0"/>
                <w:bCs w:val="0"/>
                <w:color w:val="auto"/>
                <w:sz w:val="21"/>
                <w:szCs w:val="21"/>
              </w:rPr>
              <w:t>2.56                   饱和蒸汽压(kPa) ：0.13/1077℃</w:t>
            </w:r>
          </w:p>
        </w:tc>
      </w:tr>
      <w:tr w14:paraId="18DD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548" w:type="dxa"/>
            <w:vMerge w:val="continue"/>
            <w:noWrap w:val="0"/>
            <w:textDirection w:val="tbRlV"/>
            <w:vAlign w:val="center"/>
          </w:tcPr>
          <w:p w14:paraId="5D4D7CC9">
            <w:pPr>
              <w:spacing w:line="280" w:lineRule="exact"/>
              <w:ind w:left="113" w:right="113"/>
              <w:jc w:val="center"/>
              <w:rPr>
                <w:rFonts w:hint="eastAsia"/>
                <w:b w:val="0"/>
                <w:bCs w:val="0"/>
                <w:color w:val="auto"/>
                <w:sz w:val="21"/>
                <w:szCs w:val="21"/>
              </w:rPr>
            </w:pPr>
          </w:p>
        </w:tc>
        <w:tc>
          <w:tcPr>
            <w:tcW w:w="1900" w:type="dxa"/>
            <w:noWrap w:val="0"/>
            <w:vAlign w:val="center"/>
          </w:tcPr>
          <w:p w14:paraId="39FF9B47">
            <w:pPr>
              <w:spacing w:line="280" w:lineRule="exact"/>
              <w:rPr>
                <w:rFonts w:hint="eastAsia"/>
                <w:b w:val="0"/>
                <w:bCs w:val="0"/>
                <w:color w:val="auto"/>
                <w:sz w:val="21"/>
                <w:szCs w:val="21"/>
              </w:rPr>
            </w:pPr>
            <w:r>
              <w:rPr>
                <w:rFonts w:hint="eastAsia"/>
                <w:b w:val="0"/>
                <w:bCs w:val="0"/>
                <w:color w:val="auto"/>
                <w:sz w:val="21"/>
                <w:szCs w:val="21"/>
              </w:rPr>
              <w:t>溶解性：</w:t>
            </w:r>
          </w:p>
        </w:tc>
        <w:tc>
          <w:tcPr>
            <w:tcW w:w="6776" w:type="dxa"/>
            <w:noWrap w:val="0"/>
            <w:vAlign w:val="center"/>
          </w:tcPr>
          <w:p w14:paraId="2B05A857">
            <w:pPr>
              <w:spacing w:line="280" w:lineRule="exact"/>
              <w:rPr>
                <w:rFonts w:hint="eastAsia"/>
                <w:b w:val="0"/>
                <w:bCs w:val="0"/>
                <w:color w:val="auto"/>
                <w:sz w:val="21"/>
                <w:szCs w:val="21"/>
              </w:rPr>
            </w:pPr>
            <w:r>
              <w:rPr>
                <w:rFonts w:hint="eastAsia"/>
                <w:b w:val="0"/>
                <w:bCs w:val="0"/>
                <w:color w:val="auto"/>
                <w:sz w:val="21"/>
                <w:szCs w:val="21"/>
              </w:rPr>
              <w:t>溶于水，微溶于醇。</w:t>
            </w:r>
          </w:p>
        </w:tc>
      </w:tr>
      <w:tr w14:paraId="64B6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restart"/>
            <w:noWrap w:val="0"/>
            <w:textDirection w:val="tbRlV"/>
            <w:vAlign w:val="center"/>
          </w:tcPr>
          <w:p w14:paraId="33E58215">
            <w:pPr>
              <w:spacing w:line="280" w:lineRule="exact"/>
              <w:ind w:left="113" w:right="113"/>
              <w:jc w:val="center"/>
              <w:rPr>
                <w:rFonts w:hint="eastAsia"/>
                <w:b w:val="0"/>
                <w:bCs w:val="0"/>
                <w:color w:val="auto"/>
                <w:sz w:val="21"/>
                <w:szCs w:val="21"/>
              </w:rPr>
            </w:pPr>
            <w:r>
              <w:rPr>
                <w:rFonts w:hint="eastAsia"/>
                <w:b w:val="0"/>
                <w:bCs w:val="0"/>
                <w:color w:val="auto"/>
                <w:sz w:val="21"/>
                <w:szCs w:val="21"/>
              </w:rPr>
              <w:t>燃烧爆炸危险性</w:t>
            </w:r>
          </w:p>
        </w:tc>
        <w:tc>
          <w:tcPr>
            <w:tcW w:w="1900" w:type="dxa"/>
            <w:noWrap w:val="0"/>
            <w:vAlign w:val="center"/>
          </w:tcPr>
          <w:p w14:paraId="6638B756">
            <w:pPr>
              <w:spacing w:line="280" w:lineRule="exact"/>
              <w:rPr>
                <w:rFonts w:hint="eastAsia"/>
                <w:b w:val="0"/>
                <w:bCs w:val="0"/>
                <w:color w:val="auto"/>
                <w:sz w:val="21"/>
                <w:szCs w:val="21"/>
              </w:rPr>
            </w:pPr>
            <w:r>
              <w:rPr>
                <w:rFonts w:hint="eastAsia"/>
                <w:b w:val="0"/>
                <w:bCs w:val="0"/>
                <w:color w:val="auto"/>
                <w:sz w:val="21"/>
                <w:szCs w:val="21"/>
              </w:rPr>
              <w:t>避免接触的条件：</w:t>
            </w:r>
          </w:p>
        </w:tc>
        <w:tc>
          <w:tcPr>
            <w:tcW w:w="6776" w:type="dxa"/>
            <w:noWrap w:val="0"/>
            <w:vAlign w:val="center"/>
          </w:tcPr>
          <w:p w14:paraId="4986A851">
            <w:pPr>
              <w:spacing w:line="280" w:lineRule="exact"/>
              <w:rPr>
                <w:rFonts w:hint="eastAsia"/>
                <w:b w:val="0"/>
                <w:bCs w:val="0"/>
                <w:color w:val="auto"/>
                <w:sz w:val="21"/>
                <w:szCs w:val="21"/>
              </w:rPr>
            </w:pPr>
            <w:r>
              <w:rPr>
                <w:rFonts w:hint="eastAsia"/>
                <w:b w:val="0"/>
                <w:bCs w:val="0"/>
                <w:color w:val="auto"/>
                <w:sz w:val="21"/>
                <w:szCs w:val="21"/>
              </w:rPr>
              <w:t>接触潮湿空气。</w:t>
            </w:r>
          </w:p>
        </w:tc>
      </w:tr>
      <w:tr w14:paraId="0258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26E36A57">
            <w:pPr>
              <w:spacing w:line="280" w:lineRule="exact"/>
              <w:ind w:left="113" w:right="113"/>
              <w:jc w:val="center"/>
              <w:rPr>
                <w:rFonts w:hint="eastAsia"/>
                <w:b w:val="0"/>
                <w:bCs w:val="0"/>
                <w:color w:val="auto"/>
                <w:sz w:val="21"/>
                <w:szCs w:val="21"/>
              </w:rPr>
            </w:pPr>
          </w:p>
        </w:tc>
        <w:tc>
          <w:tcPr>
            <w:tcW w:w="1900" w:type="dxa"/>
            <w:noWrap w:val="0"/>
            <w:vAlign w:val="center"/>
          </w:tcPr>
          <w:p w14:paraId="3760C0D6">
            <w:pPr>
              <w:spacing w:line="280" w:lineRule="exact"/>
              <w:rPr>
                <w:rFonts w:hint="eastAsia"/>
                <w:b w:val="0"/>
                <w:bCs w:val="0"/>
                <w:color w:val="auto"/>
                <w:sz w:val="21"/>
                <w:szCs w:val="21"/>
              </w:rPr>
            </w:pPr>
            <w:r>
              <w:rPr>
                <w:rFonts w:hint="eastAsia"/>
                <w:b w:val="0"/>
                <w:bCs w:val="0"/>
                <w:color w:val="auto"/>
                <w:sz w:val="21"/>
                <w:szCs w:val="21"/>
              </w:rPr>
              <w:t>燃烧性：</w:t>
            </w:r>
          </w:p>
        </w:tc>
        <w:tc>
          <w:tcPr>
            <w:tcW w:w="6776" w:type="dxa"/>
            <w:noWrap w:val="0"/>
            <w:vAlign w:val="center"/>
          </w:tcPr>
          <w:p w14:paraId="47D92F20">
            <w:pPr>
              <w:spacing w:line="280" w:lineRule="exact"/>
              <w:rPr>
                <w:rFonts w:hint="eastAsia"/>
                <w:b w:val="0"/>
                <w:bCs w:val="0"/>
                <w:color w:val="auto"/>
                <w:sz w:val="21"/>
                <w:szCs w:val="21"/>
              </w:rPr>
            </w:pPr>
            <w:r>
              <w:rPr>
                <w:rFonts w:hint="eastAsia"/>
                <w:b w:val="0"/>
                <w:bCs w:val="0"/>
                <w:color w:val="auto"/>
                <w:sz w:val="21"/>
                <w:szCs w:val="21"/>
              </w:rPr>
              <w:t xml:space="preserve">不燃                   </w:t>
            </w:r>
          </w:p>
        </w:tc>
      </w:tr>
      <w:tr w14:paraId="3832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70DBA8B5">
            <w:pPr>
              <w:spacing w:line="280" w:lineRule="exact"/>
              <w:ind w:left="113" w:right="113"/>
              <w:jc w:val="center"/>
              <w:rPr>
                <w:rFonts w:hint="eastAsia"/>
                <w:b w:val="0"/>
                <w:bCs w:val="0"/>
                <w:color w:val="auto"/>
                <w:sz w:val="21"/>
                <w:szCs w:val="21"/>
              </w:rPr>
            </w:pPr>
          </w:p>
        </w:tc>
        <w:tc>
          <w:tcPr>
            <w:tcW w:w="1900" w:type="dxa"/>
            <w:noWrap w:val="0"/>
            <w:vAlign w:val="center"/>
          </w:tcPr>
          <w:p w14:paraId="72B94C93">
            <w:pPr>
              <w:spacing w:line="280" w:lineRule="exact"/>
              <w:rPr>
                <w:rFonts w:hint="eastAsia"/>
                <w:b w:val="0"/>
                <w:bCs w:val="0"/>
                <w:color w:val="auto"/>
                <w:sz w:val="21"/>
                <w:szCs w:val="21"/>
              </w:rPr>
            </w:pPr>
            <w:r>
              <w:rPr>
                <w:rFonts w:hint="eastAsia"/>
                <w:b w:val="0"/>
                <w:bCs w:val="0"/>
                <w:color w:val="auto"/>
                <w:sz w:val="21"/>
                <w:szCs w:val="21"/>
              </w:rPr>
              <w:t>危险特性：</w:t>
            </w:r>
          </w:p>
        </w:tc>
        <w:tc>
          <w:tcPr>
            <w:tcW w:w="6776" w:type="dxa"/>
            <w:noWrap w:val="0"/>
            <w:vAlign w:val="center"/>
          </w:tcPr>
          <w:p w14:paraId="5437B023">
            <w:pPr>
              <w:rPr>
                <w:rFonts w:hint="eastAsia"/>
                <w:b w:val="0"/>
                <w:bCs w:val="0"/>
                <w:color w:val="auto"/>
                <w:sz w:val="21"/>
                <w:szCs w:val="21"/>
              </w:rPr>
            </w:pPr>
            <w:r>
              <w:rPr>
                <w:rFonts w:hint="eastAsia"/>
                <w:b w:val="0"/>
                <w:bCs w:val="0"/>
                <w:color w:val="auto"/>
                <w:sz w:val="21"/>
                <w:szCs w:val="21"/>
              </w:rPr>
              <w:t>未有特殊的燃烧爆炸特性。接触酸或酸气能产生有毒气体。</w:t>
            </w:r>
          </w:p>
        </w:tc>
      </w:tr>
      <w:tr w14:paraId="31C6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6A09ECB8">
            <w:pPr>
              <w:spacing w:line="280" w:lineRule="exact"/>
              <w:ind w:left="113" w:right="113"/>
              <w:jc w:val="center"/>
              <w:rPr>
                <w:rFonts w:hint="eastAsia"/>
                <w:b w:val="0"/>
                <w:bCs w:val="0"/>
                <w:color w:val="auto"/>
                <w:sz w:val="21"/>
                <w:szCs w:val="21"/>
              </w:rPr>
            </w:pPr>
          </w:p>
        </w:tc>
        <w:tc>
          <w:tcPr>
            <w:tcW w:w="1900" w:type="dxa"/>
            <w:noWrap w:val="0"/>
            <w:vAlign w:val="center"/>
          </w:tcPr>
          <w:p w14:paraId="29D3827A">
            <w:pPr>
              <w:spacing w:line="280" w:lineRule="exact"/>
              <w:rPr>
                <w:rFonts w:hint="eastAsia"/>
                <w:b w:val="0"/>
                <w:bCs w:val="0"/>
                <w:color w:val="auto"/>
                <w:sz w:val="21"/>
                <w:szCs w:val="21"/>
              </w:rPr>
            </w:pPr>
            <w:r>
              <w:rPr>
                <w:rFonts w:hint="eastAsia"/>
                <w:b w:val="0"/>
                <w:bCs w:val="0"/>
                <w:color w:val="auto"/>
                <w:sz w:val="21"/>
                <w:szCs w:val="21"/>
              </w:rPr>
              <w:t>燃烧(分解)产物：</w:t>
            </w:r>
          </w:p>
        </w:tc>
        <w:tc>
          <w:tcPr>
            <w:tcW w:w="6776" w:type="dxa"/>
            <w:noWrap w:val="0"/>
            <w:vAlign w:val="center"/>
          </w:tcPr>
          <w:p w14:paraId="4E5A6A28">
            <w:pPr>
              <w:spacing w:line="280" w:lineRule="exact"/>
              <w:rPr>
                <w:rFonts w:hint="eastAsia"/>
                <w:b w:val="0"/>
                <w:bCs w:val="0"/>
                <w:color w:val="auto"/>
                <w:sz w:val="21"/>
                <w:szCs w:val="21"/>
              </w:rPr>
            </w:pPr>
            <w:r>
              <w:rPr>
                <w:rFonts w:hint="eastAsia"/>
                <w:b w:val="0"/>
                <w:bCs w:val="0"/>
                <w:color w:val="auto"/>
                <w:sz w:val="21"/>
                <w:szCs w:val="21"/>
              </w:rPr>
              <w:t>氟化氢。              稳定性：稳定</w:t>
            </w:r>
          </w:p>
        </w:tc>
      </w:tr>
      <w:tr w14:paraId="43B8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4036BA3F">
            <w:pPr>
              <w:spacing w:line="280" w:lineRule="exact"/>
              <w:ind w:left="113" w:right="113"/>
              <w:jc w:val="center"/>
              <w:rPr>
                <w:rFonts w:hint="eastAsia"/>
                <w:b w:val="0"/>
                <w:bCs w:val="0"/>
                <w:color w:val="auto"/>
                <w:sz w:val="21"/>
                <w:szCs w:val="21"/>
              </w:rPr>
            </w:pPr>
          </w:p>
        </w:tc>
        <w:tc>
          <w:tcPr>
            <w:tcW w:w="1900" w:type="dxa"/>
            <w:noWrap w:val="0"/>
            <w:vAlign w:val="center"/>
          </w:tcPr>
          <w:p w14:paraId="04BA709B">
            <w:pPr>
              <w:spacing w:line="280" w:lineRule="exact"/>
              <w:rPr>
                <w:rFonts w:hint="eastAsia"/>
                <w:b w:val="0"/>
                <w:bCs w:val="0"/>
                <w:color w:val="auto"/>
                <w:sz w:val="21"/>
                <w:szCs w:val="21"/>
              </w:rPr>
            </w:pPr>
            <w:r>
              <w:rPr>
                <w:rFonts w:hint="eastAsia"/>
                <w:b w:val="0"/>
                <w:bCs w:val="0"/>
                <w:color w:val="auto"/>
                <w:sz w:val="21"/>
                <w:szCs w:val="21"/>
              </w:rPr>
              <w:t>聚合危害：</w:t>
            </w:r>
          </w:p>
        </w:tc>
        <w:tc>
          <w:tcPr>
            <w:tcW w:w="6776" w:type="dxa"/>
            <w:noWrap w:val="0"/>
            <w:vAlign w:val="center"/>
          </w:tcPr>
          <w:p w14:paraId="382F39C8">
            <w:pPr>
              <w:spacing w:line="280" w:lineRule="exact"/>
              <w:rPr>
                <w:rFonts w:hint="eastAsia"/>
                <w:b w:val="0"/>
                <w:bCs w:val="0"/>
                <w:color w:val="auto"/>
                <w:sz w:val="21"/>
                <w:szCs w:val="21"/>
              </w:rPr>
            </w:pPr>
            <w:r>
              <w:rPr>
                <w:rFonts w:hint="eastAsia"/>
                <w:b w:val="0"/>
                <w:bCs w:val="0"/>
                <w:color w:val="auto"/>
                <w:sz w:val="21"/>
                <w:szCs w:val="21"/>
              </w:rPr>
              <w:t>不能出现             禁忌物：强酸。</w:t>
            </w:r>
          </w:p>
        </w:tc>
      </w:tr>
      <w:tr w14:paraId="1DEE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4849BFA1">
            <w:pPr>
              <w:spacing w:line="280" w:lineRule="exact"/>
              <w:ind w:left="113" w:right="113"/>
              <w:jc w:val="center"/>
              <w:rPr>
                <w:rFonts w:hint="eastAsia"/>
                <w:b w:val="0"/>
                <w:bCs w:val="0"/>
                <w:color w:val="auto"/>
                <w:sz w:val="21"/>
                <w:szCs w:val="21"/>
              </w:rPr>
            </w:pPr>
          </w:p>
        </w:tc>
        <w:tc>
          <w:tcPr>
            <w:tcW w:w="1900" w:type="dxa"/>
            <w:noWrap w:val="0"/>
            <w:vAlign w:val="center"/>
          </w:tcPr>
          <w:p w14:paraId="1B2346C4">
            <w:pPr>
              <w:spacing w:line="280" w:lineRule="exact"/>
              <w:rPr>
                <w:rFonts w:hint="eastAsia"/>
                <w:b w:val="0"/>
                <w:bCs w:val="0"/>
                <w:color w:val="auto"/>
                <w:sz w:val="21"/>
                <w:szCs w:val="21"/>
              </w:rPr>
            </w:pPr>
            <w:r>
              <w:rPr>
                <w:rFonts w:hint="eastAsia"/>
                <w:b w:val="0"/>
                <w:bCs w:val="0"/>
                <w:color w:val="auto"/>
                <w:sz w:val="21"/>
                <w:szCs w:val="21"/>
              </w:rPr>
              <w:t>灭火方法：</w:t>
            </w:r>
          </w:p>
        </w:tc>
        <w:tc>
          <w:tcPr>
            <w:tcW w:w="6776" w:type="dxa"/>
            <w:noWrap w:val="0"/>
            <w:vAlign w:val="center"/>
          </w:tcPr>
          <w:p w14:paraId="38B579F2">
            <w:pPr>
              <w:spacing w:line="280" w:lineRule="exact"/>
              <w:rPr>
                <w:rFonts w:hint="eastAsia"/>
                <w:b w:val="0"/>
                <w:bCs w:val="0"/>
                <w:color w:val="auto"/>
                <w:sz w:val="21"/>
                <w:szCs w:val="21"/>
              </w:rPr>
            </w:pPr>
            <w:r>
              <w:rPr>
                <w:rFonts w:hint="eastAsia"/>
                <w:b w:val="0"/>
                <w:bCs w:val="0"/>
                <w:color w:val="auto"/>
                <w:sz w:val="21"/>
                <w:szCs w:val="21"/>
              </w:rPr>
              <w:t>不燃。火场周围可用的灭火介质。</w:t>
            </w:r>
          </w:p>
        </w:tc>
      </w:tr>
      <w:tr w14:paraId="6B19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548" w:type="dxa"/>
            <w:vMerge w:val="restart"/>
            <w:noWrap w:val="0"/>
            <w:textDirection w:val="tbRlV"/>
            <w:vAlign w:val="center"/>
          </w:tcPr>
          <w:p w14:paraId="7169E81E">
            <w:pPr>
              <w:spacing w:line="280" w:lineRule="exact"/>
              <w:ind w:left="113" w:right="113"/>
              <w:jc w:val="center"/>
              <w:rPr>
                <w:rFonts w:hint="eastAsia"/>
                <w:b w:val="0"/>
                <w:bCs w:val="0"/>
                <w:color w:val="auto"/>
                <w:sz w:val="21"/>
                <w:szCs w:val="21"/>
              </w:rPr>
            </w:pPr>
            <w:r>
              <w:rPr>
                <w:rFonts w:hint="eastAsia"/>
                <w:b w:val="0"/>
                <w:bCs w:val="0"/>
                <w:color w:val="auto"/>
                <w:sz w:val="21"/>
                <w:szCs w:val="21"/>
              </w:rPr>
              <w:t>包装与储运</w:t>
            </w:r>
          </w:p>
        </w:tc>
        <w:tc>
          <w:tcPr>
            <w:tcW w:w="1900" w:type="dxa"/>
            <w:noWrap w:val="0"/>
            <w:vAlign w:val="center"/>
          </w:tcPr>
          <w:p w14:paraId="761BE895">
            <w:pPr>
              <w:spacing w:line="280" w:lineRule="exact"/>
              <w:rPr>
                <w:rFonts w:hint="eastAsia"/>
                <w:b w:val="0"/>
                <w:bCs w:val="0"/>
                <w:color w:val="auto"/>
                <w:sz w:val="21"/>
                <w:szCs w:val="21"/>
              </w:rPr>
            </w:pPr>
            <w:r>
              <w:rPr>
                <w:rFonts w:hint="eastAsia"/>
                <w:b w:val="0"/>
                <w:bCs w:val="0"/>
                <w:color w:val="auto"/>
                <w:sz w:val="21"/>
                <w:szCs w:val="21"/>
              </w:rPr>
              <w:t>危险性类别：</w:t>
            </w:r>
          </w:p>
        </w:tc>
        <w:tc>
          <w:tcPr>
            <w:tcW w:w="6776" w:type="dxa"/>
            <w:noWrap w:val="0"/>
            <w:vAlign w:val="center"/>
          </w:tcPr>
          <w:p w14:paraId="486DD99A">
            <w:pPr>
              <w:spacing w:line="280" w:lineRule="exact"/>
              <w:rPr>
                <w:rFonts w:hint="eastAsia"/>
                <w:b w:val="0"/>
                <w:bCs w:val="0"/>
                <w:color w:val="auto"/>
                <w:sz w:val="21"/>
                <w:szCs w:val="21"/>
              </w:rPr>
            </w:pPr>
            <w:r>
              <w:rPr>
                <w:rFonts w:hint="eastAsia"/>
                <w:b w:val="0"/>
                <w:bCs w:val="0"/>
                <w:color w:val="auto"/>
                <w:sz w:val="21"/>
                <w:szCs w:val="21"/>
              </w:rPr>
              <w:t>第6．1类  毒害品   危险货物包装标志： 11      包装类别： Ⅲ</w:t>
            </w:r>
          </w:p>
        </w:tc>
      </w:tr>
      <w:tr w14:paraId="0B1E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trPr>
        <w:tc>
          <w:tcPr>
            <w:tcW w:w="548" w:type="dxa"/>
            <w:vMerge w:val="continue"/>
            <w:noWrap w:val="0"/>
            <w:textDirection w:val="tbRlV"/>
            <w:vAlign w:val="center"/>
          </w:tcPr>
          <w:p w14:paraId="11BEFFF7">
            <w:pPr>
              <w:spacing w:line="280" w:lineRule="exact"/>
              <w:ind w:left="113" w:right="113"/>
              <w:jc w:val="center"/>
              <w:rPr>
                <w:rFonts w:hint="eastAsia"/>
                <w:b w:val="0"/>
                <w:bCs w:val="0"/>
                <w:color w:val="auto"/>
                <w:sz w:val="21"/>
                <w:szCs w:val="21"/>
              </w:rPr>
            </w:pPr>
          </w:p>
        </w:tc>
        <w:tc>
          <w:tcPr>
            <w:tcW w:w="1900" w:type="dxa"/>
            <w:noWrap w:val="0"/>
            <w:vAlign w:val="center"/>
          </w:tcPr>
          <w:p w14:paraId="14F4F87D">
            <w:pPr>
              <w:spacing w:line="280" w:lineRule="exact"/>
              <w:rPr>
                <w:rFonts w:hint="eastAsia"/>
                <w:b w:val="0"/>
                <w:bCs w:val="0"/>
                <w:color w:val="auto"/>
                <w:sz w:val="21"/>
                <w:szCs w:val="21"/>
              </w:rPr>
            </w:pPr>
            <w:r>
              <w:rPr>
                <w:rFonts w:hint="eastAsia"/>
                <w:b w:val="0"/>
                <w:bCs w:val="0"/>
                <w:color w:val="auto"/>
                <w:sz w:val="21"/>
                <w:szCs w:val="21"/>
              </w:rPr>
              <w:t>储运注意事项：</w:t>
            </w:r>
          </w:p>
        </w:tc>
        <w:tc>
          <w:tcPr>
            <w:tcW w:w="6776" w:type="dxa"/>
            <w:noWrap w:val="0"/>
            <w:vAlign w:val="center"/>
          </w:tcPr>
          <w:p w14:paraId="5F31F0C3">
            <w:pPr>
              <w:spacing w:line="280" w:lineRule="exact"/>
              <w:rPr>
                <w:rFonts w:hint="eastAsia"/>
                <w:b w:val="0"/>
                <w:bCs w:val="0"/>
                <w:color w:val="auto"/>
                <w:sz w:val="21"/>
                <w:szCs w:val="21"/>
              </w:rPr>
            </w:pPr>
            <w:r>
              <w:rPr>
                <w:rFonts w:hint="eastAsia"/>
                <w:b w:val="0"/>
                <w:bCs w:val="0"/>
                <w:color w:val="auto"/>
                <w:sz w:val="21"/>
                <w:szCs w:val="21"/>
              </w:rPr>
              <w:t>储存于阴凉、通风仓间内。保持容器密封。应与氧化剂、酸类、食用化工原料分开存放。不可混储混运。搬运时要轻装轻卸，防止包装及容器损坏。分装和搬运作业要注意个人防护。</w:t>
            </w:r>
          </w:p>
        </w:tc>
      </w:tr>
      <w:tr w14:paraId="2799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548" w:type="dxa"/>
            <w:vMerge w:val="restart"/>
            <w:noWrap w:val="0"/>
            <w:textDirection w:val="tbRlV"/>
            <w:vAlign w:val="center"/>
          </w:tcPr>
          <w:p w14:paraId="0C0C97B6">
            <w:pPr>
              <w:spacing w:line="280" w:lineRule="exact"/>
              <w:ind w:left="113" w:right="113"/>
              <w:jc w:val="center"/>
              <w:rPr>
                <w:rFonts w:hint="eastAsia"/>
                <w:b w:val="0"/>
                <w:bCs w:val="0"/>
                <w:color w:val="auto"/>
                <w:sz w:val="21"/>
                <w:szCs w:val="21"/>
              </w:rPr>
            </w:pPr>
            <w:r>
              <w:rPr>
                <w:rFonts w:hint="eastAsia"/>
                <w:b w:val="0"/>
                <w:bCs w:val="0"/>
                <w:color w:val="auto"/>
                <w:sz w:val="21"/>
                <w:szCs w:val="21"/>
              </w:rPr>
              <w:t>毒性危害</w:t>
            </w:r>
          </w:p>
        </w:tc>
        <w:tc>
          <w:tcPr>
            <w:tcW w:w="1900" w:type="dxa"/>
            <w:noWrap w:val="0"/>
            <w:vAlign w:val="center"/>
          </w:tcPr>
          <w:p w14:paraId="7A3B0D05">
            <w:pPr>
              <w:spacing w:line="280" w:lineRule="exact"/>
              <w:rPr>
                <w:rFonts w:hint="eastAsia"/>
                <w:b w:val="0"/>
                <w:bCs w:val="0"/>
                <w:color w:val="auto"/>
                <w:sz w:val="21"/>
                <w:szCs w:val="21"/>
              </w:rPr>
            </w:pPr>
            <w:r>
              <w:rPr>
                <w:rFonts w:hint="eastAsia"/>
                <w:b w:val="0"/>
                <w:bCs w:val="0"/>
                <w:color w:val="auto"/>
                <w:sz w:val="21"/>
                <w:szCs w:val="21"/>
              </w:rPr>
              <w:t>接触限值：</w:t>
            </w:r>
          </w:p>
        </w:tc>
        <w:tc>
          <w:tcPr>
            <w:tcW w:w="6776" w:type="dxa"/>
            <w:noWrap w:val="0"/>
            <w:vAlign w:val="center"/>
          </w:tcPr>
          <w:p w14:paraId="5DB385E8">
            <w:pPr>
              <w:rPr>
                <w:rFonts w:hint="eastAsia"/>
                <w:b w:val="0"/>
                <w:bCs w:val="0"/>
                <w:color w:val="auto"/>
                <w:sz w:val="21"/>
                <w:szCs w:val="21"/>
              </w:rPr>
            </w:pPr>
            <w:r>
              <w:rPr>
                <w:rFonts w:hint="eastAsia"/>
                <w:b w:val="0"/>
                <w:bCs w:val="0"/>
                <w:color w:val="auto"/>
                <w:sz w:val="21"/>
                <w:szCs w:val="21"/>
              </w:rPr>
              <w:t>中国MAC：lmg[F]/m</w:t>
            </w:r>
            <w:r>
              <w:rPr>
                <w:rFonts w:hint="eastAsia"/>
                <w:b w:val="0"/>
                <w:bCs w:val="0"/>
                <w:color w:val="auto"/>
                <w:sz w:val="21"/>
                <w:szCs w:val="21"/>
                <w:vertAlign w:val="superscript"/>
              </w:rPr>
              <w:t>3</w:t>
            </w:r>
            <w:r>
              <w:rPr>
                <w:rFonts w:hint="eastAsia"/>
                <w:b w:val="0"/>
                <w:bCs w:val="0"/>
                <w:color w:val="auto"/>
                <w:sz w:val="21"/>
                <w:szCs w:val="21"/>
              </w:rPr>
              <w:t>；苏联MAC：未制定标准；</w:t>
            </w:r>
          </w:p>
          <w:p w14:paraId="72738FD4">
            <w:pPr>
              <w:spacing w:line="280" w:lineRule="exact"/>
              <w:rPr>
                <w:rFonts w:hint="eastAsia"/>
                <w:b w:val="0"/>
                <w:bCs w:val="0"/>
                <w:color w:val="auto"/>
                <w:sz w:val="21"/>
                <w:szCs w:val="21"/>
              </w:rPr>
            </w:pPr>
            <w:r>
              <w:rPr>
                <w:rFonts w:hint="eastAsia"/>
                <w:b w:val="0"/>
                <w:bCs w:val="0"/>
                <w:color w:val="auto"/>
                <w:sz w:val="21"/>
                <w:szCs w:val="21"/>
              </w:rPr>
              <w:t>美国TWA：OSHA 2.5mg[F]/m3；ACGIH 2.5mg[F]/m</w:t>
            </w:r>
            <w:r>
              <w:rPr>
                <w:rFonts w:hint="eastAsia"/>
                <w:b w:val="0"/>
                <w:bCs w:val="0"/>
                <w:color w:val="auto"/>
                <w:sz w:val="21"/>
                <w:szCs w:val="21"/>
                <w:vertAlign w:val="superscript"/>
              </w:rPr>
              <w:t>3</w:t>
            </w:r>
            <w:r>
              <w:rPr>
                <w:rFonts w:hint="eastAsia"/>
                <w:b w:val="0"/>
                <w:bCs w:val="0"/>
                <w:color w:val="auto"/>
                <w:sz w:val="21"/>
                <w:szCs w:val="21"/>
              </w:rPr>
              <w:t>；美国STEL：未制定标准</w:t>
            </w:r>
          </w:p>
        </w:tc>
      </w:tr>
      <w:tr w14:paraId="7E6A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548" w:type="dxa"/>
            <w:vMerge w:val="continue"/>
            <w:noWrap w:val="0"/>
            <w:textDirection w:val="tbRlV"/>
            <w:vAlign w:val="center"/>
          </w:tcPr>
          <w:p w14:paraId="47AF98DC">
            <w:pPr>
              <w:spacing w:line="280" w:lineRule="exact"/>
              <w:ind w:left="113" w:right="113"/>
              <w:jc w:val="center"/>
              <w:rPr>
                <w:rFonts w:hint="eastAsia"/>
                <w:b w:val="0"/>
                <w:bCs w:val="0"/>
                <w:color w:val="auto"/>
                <w:sz w:val="21"/>
                <w:szCs w:val="21"/>
              </w:rPr>
            </w:pPr>
          </w:p>
        </w:tc>
        <w:tc>
          <w:tcPr>
            <w:tcW w:w="1900" w:type="dxa"/>
            <w:noWrap w:val="0"/>
            <w:vAlign w:val="center"/>
          </w:tcPr>
          <w:p w14:paraId="78675B86">
            <w:pPr>
              <w:spacing w:line="280" w:lineRule="exact"/>
              <w:rPr>
                <w:rFonts w:hint="eastAsia"/>
                <w:b w:val="0"/>
                <w:bCs w:val="0"/>
                <w:color w:val="auto"/>
                <w:sz w:val="21"/>
                <w:szCs w:val="21"/>
              </w:rPr>
            </w:pPr>
            <w:r>
              <w:rPr>
                <w:rFonts w:hint="eastAsia"/>
                <w:b w:val="0"/>
                <w:bCs w:val="0"/>
                <w:color w:val="auto"/>
                <w:sz w:val="21"/>
                <w:szCs w:val="21"/>
              </w:rPr>
              <w:t>侵入途径：</w:t>
            </w:r>
          </w:p>
        </w:tc>
        <w:tc>
          <w:tcPr>
            <w:tcW w:w="6776" w:type="dxa"/>
            <w:noWrap w:val="0"/>
            <w:vAlign w:val="center"/>
          </w:tcPr>
          <w:p w14:paraId="3CBB3CEE">
            <w:pPr>
              <w:spacing w:line="280" w:lineRule="exact"/>
              <w:rPr>
                <w:rFonts w:hint="eastAsia"/>
                <w:b w:val="0"/>
                <w:bCs w:val="0"/>
                <w:color w:val="auto"/>
                <w:sz w:val="21"/>
                <w:szCs w:val="21"/>
              </w:rPr>
            </w:pPr>
            <w:r>
              <w:rPr>
                <w:rFonts w:hint="eastAsia"/>
                <w:b w:val="0"/>
                <w:bCs w:val="0"/>
                <w:color w:val="auto"/>
                <w:sz w:val="21"/>
                <w:szCs w:val="21"/>
              </w:rPr>
              <w:t>吸入  食入</w:t>
            </w:r>
          </w:p>
        </w:tc>
      </w:tr>
      <w:tr w14:paraId="1870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548" w:type="dxa"/>
            <w:vMerge w:val="continue"/>
            <w:noWrap w:val="0"/>
            <w:textDirection w:val="tbRlV"/>
            <w:vAlign w:val="center"/>
          </w:tcPr>
          <w:p w14:paraId="78F24299">
            <w:pPr>
              <w:spacing w:line="280" w:lineRule="exact"/>
              <w:ind w:left="113" w:right="113"/>
              <w:jc w:val="center"/>
              <w:rPr>
                <w:rFonts w:hint="eastAsia"/>
                <w:b w:val="0"/>
                <w:bCs w:val="0"/>
                <w:color w:val="auto"/>
                <w:sz w:val="21"/>
                <w:szCs w:val="21"/>
              </w:rPr>
            </w:pPr>
          </w:p>
        </w:tc>
        <w:tc>
          <w:tcPr>
            <w:tcW w:w="1900" w:type="dxa"/>
            <w:noWrap w:val="0"/>
            <w:vAlign w:val="center"/>
          </w:tcPr>
          <w:p w14:paraId="70490B92">
            <w:pPr>
              <w:spacing w:line="280" w:lineRule="exact"/>
              <w:rPr>
                <w:rFonts w:hint="eastAsia"/>
                <w:b w:val="0"/>
                <w:bCs w:val="0"/>
                <w:color w:val="auto"/>
                <w:sz w:val="21"/>
                <w:szCs w:val="21"/>
              </w:rPr>
            </w:pPr>
            <w:r>
              <w:rPr>
                <w:rFonts w:hint="eastAsia"/>
                <w:b w:val="0"/>
                <w:bCs w:val="0"/>
                <w:color w:val="auto"/>
                <w:sz w:val="21"/>
                <w:szCs w:val="21"/>
              </w:rPr>
              <w:t>毒性：</w:t>
            </w:r>
          </w:p>
        </w:tc>
        <w:tc>
          <w:tcPr>
            <w:tcW w:w="6776" w:type="dxa"/>
            <w:noWrap w:val="0"/>
            <w:vAlign w:val="center"/>
          </w:tcPr>
          <w:p w14:paraId="7FE7B27A">
            <w:pPr>
              <w:rPr>
                <w:rFonts w:hint="eastAsia"/>
                <w:b w:val="0"/>
                <w:bCs w:val="0"/>
                <w:color w:val="auto"/>
                <w:sz w:val="21"/>
                <w:szCs w:val="21"/>
              </w:rPr>
            </w:pPr>
            <w:r>
              <w:rPr>
                <w:rFonts w:hint="eastAsia"/>
                <w:b w:val="0"/>
                <w:bCs w:val="0"/>
                <w:color w:val="auto"/>
                <w:sz w:val="21"/>
                <w:szCs w:val="21"/>
              </w:rPr>
              <w:t>属高毒类；</w:t>
            </w:r>
          </w:p>
          <w:p w14:paraId="6E36C805">
            <w:pPr>
              <w:spacing w:line="280" w:lineRule="exact"/>
              <w:rPr>
                <w:rFonts w:hint="eastAsia"/>
                <w:b w:val="0"/>
                <w:bCs w:val="0"/>
                <w:color w:val="auto"/>
                <w:sz w:val="21"/>
                <w:szCs w:val="21"/>
              </w:rPr>
            </w:pPr>
            <w:r>
              <w:rPr>
                <w:rFonts w:hint="eastAsia"/>
                <w:b w:val="0"/>
                <w:bCs w:val="0"/>
                <w:color w:val="auto"/>
                <w:sz w:val="21"/>
                <w:szCs w:val="21"/>
              </w:rPr>
              <w:t>LD50：52mg/kg(大鼠经口)；57mg/kg(小鼠经口)</w:t>
            </w:r>
          </w:p>
        </w:tc>
      </w:tr>
      <w:tr w14:paraId="13F6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548" w:type="dxa"/>
            <w:vMerge w:val="continue"/>
            <w:noWrap w:val="0"/>
            <w:textDirection w:val="tbRlV"/>
            <w:vAlign w:val="center"/>
          </w:tcPr>
          <w:p w14:paraId="39184539">
            <w:pPr>
              <w:spacing w:line="280" w:lineRule="exact"/>
              <w:ind w:left="113" w:right="113"/>
              <w:jc w:val="center"/>
              <w:rPr>
                <w:rFonts w:hint="eastAsia"/>
                <w:b w:val="0"/>
                <w:bCs w:val="0"/>
                <w:color w:val="auto"/>
                <w:sz w:val="21"/>
                <w:szCs w:val="21"/>
              </w:rPr>
            </w:pPr>
          </w:p>
        </w:tc>
        <w:tc>
          <w:tcPr>
            <w:tcW w:w="1900" w:type="dxa"/>
            <w:noWrap w:val="0"/>
            <w:vAlign w:val="center"/>
          </w:tcPr>
          <w:p w14:paraId="4F7A57AA">
            <w:pPr>
              <w:spacing w:line="280" w:lineRule="exact"/>
              <w:rPr>
                <w:rFonts w:hint="eastAsia"/>
                <w:b w:val="0"/>
                <w:bCs w:val="0"/>
                <w:color w:val="auto"/>
                <w:sz w:val="21"/>
                <w:szCs w:val="21"/>
              </w:rPr>
            </w:pPr>
            <w:r>
              <w:rPr>
                <w:rFonts w:hint="eastAsia"/>
                <w:b w:val="0"/>
                <w:bCs w:val="0"/>
                <w:color w:val="auto"/>
                <w:sz w:val="21"/>
                <w:szCs w:val="21"/>
              </w:rPr>
              <w:t>健康危害：</w:t>
            </w:r>
          </w:p>
        </w:tc>
        <w:tc>
          <w:tcPr>
            <w:tcW w:w="6776" w:type="dxa"/>
            <w:noWrap w:val="0"/>
            <w:vAlign w:val="center"/>
          </w:tcPr>
          <w:p w14:paraId="710DEE60">
            <w:pPr>
              <w:spacing w:line="280" w:lineRule="exact"/>
              <w:rPr>
                <w:rFonts w:hint="eastAsia"/>
                <w:b w:val="0"/>
                <w:bCs w:val="0"/>
                <w:color w:val="auto"/>
                <w:sz w:val="21"/>
                <w:szCs w:val="21"/>
              </w:rPr>
            </w:pPr>
            <w:r>
              <w:rPr>
                <w:rFonts w:hint="eastAsia"/>
                <w:b w:val="0"/>
                <w:bCs w:val="0"/>
                <w:color w:val="auto"/>
                <w:sz w:val="21"/>
                <w:szCs w:val="21"/>
              </w:rPr>
              <w:t>急性中毒：多为误服所致。服后立即出现恶心、呕吐、腹痛、腹泻。重者休克，呼吸浅快、困难，出现</w:t>
            </w:r>
            <w:r>
              <w:rPr>
                <w:rFonts w:hint="eastAsia"/>
                <w:b w:val="0"/>
                <w:bCs w:val="0"/>
                <w:color w:val="auto"/>
                <w:sz w:val="21"/>
                <w:szCs w:val="21"/>
                <w:lang w:eastAsia="zh-CN"/>
              </w:rPr>
              <w:t>发绀</w:t>
            </w:r>
            <w:r>
              <w:rPr>
                <w:rFonts w:hint="eastAsia"/>
                <w:b w:val="0"/>
                <w:bCs w:val="0"/>
                <w:color w:val="auto"/>
                <w:sz w:val="21"/>
                <w:szCs w:val="21"/>
              </w:rPr>
              <w:t>。可能于2～4小时内死亡。部分患者出现荨麻疹，吞咽肌肉麻痹，手足抽搐或四肢肌肉痉挛。氟化钠粉尘和蒸气对皮肤有刺激作用，可以引起皮炎。慢性影响：可引起氟骨症。</w:t>
            </w:r>
          </w:p>
        </w:tc>
      </w:tr>
      <w:tr w14:paraId="5305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restart"/>
            <w:noWrap w:val="0"/>
            <w:textDirection w:val="tbRlV"/>
            <w:vAlign w:val="center"/>
          </w:tcPr>
          <w:p w14:paraId="44DEE3DF">
            <w:pPr>
              <w:spacing w:line="280" w:lineRule="exact"/>
              <w:ind w:left="113" w:right="113"/>
              <w:jc w:val="center"/>
              <w:rPr>
                <w:rFonts w:hint="eastAsia"/>
                <w:b w:val="0"/>
                <w:bCs w:val="0"/>
                <w:color w:val="auto"/>
                <w:sz w:val="21"/>
                <w:szCs w:val="21"/>
              </w:rPr>
            </w:pPr>
            <w:r>
              <w:rPr>
                <w:rFonts w:hint="eastAsia"/>
                <w:b w:val="0"/>
                <w:bCs w:val="0"/>
                <w:color w:val="auto"/>
                <w:sz w:val="21"/>
                <w:szCs w:val="21"/>
              </w:rPr>
              <w:t>急救</w:t>
            </w:r>
          </w:p>
        </w:tc>
        <w:tc>
          <w:tcPr>
            <w:tcW w:w="1900" w:type="dxa"/>
            <w:noWrap w:val="0"/>
            <w:vAlign w:val="center"/>
          </w:tcPr>
          <w:p w14:paraId="490B9E00">
            <w:pPr>
              <w:spacing w:line="280" w:lineRule="exact"/>
              <w:rPr>
                <w:rFonts w:hint="eastAsia"/>
                <w:b w:val="0"/>
                <w:bCs w:val="0"/>
                <w:color w:val="auto"/>
                <w:sz w:val="21"/>
                <w:szCs w:val="21"/>
              </w:rPr>
            </w:pPr>
            <w:r>
              <w:rPr>
                <w:rFonts w:hint="eastAsia"/>
                <w:b w:val="0"/>
                <w:bCs w:val="0"/>
                <w:color w:val="auto"/>
                <w:sz w:val="21"/>
                <w:szCs w:val="21"/>
              </w:rPr>
              <w:t>皮肤接触：</w:t>
            </w:r>
          </w:p>
        </w:tc>
        <w:tc>
          <w:tcPr>
            <w:tcW w:w="6776" w:type="dxa"/>
            <w:noWrap w:val="0"/>
            <w:vAlign w:val="center"/>
          </w:tcPr>
          <w:p w14:paraId="57D1A03B">
            <w:pPr>
              <w:spacing w:line="280" w:lineRule="exact"/>
              <w:rPr>
                <w:rFonts w:hint="eastAsia"/>
                <w:b w:val="0"/>
                <w:bCs w:val="0"/>
                <w:color w:val="auto"/>
                <w:sz w:val="21"/>
                <w:szCs w:val="21"/>
              </w:rPr>
            </w:pPr>
            <w:r>
              <w:rPr>
                <w:rFonts w:hint="eastAsia"/>
                <w:b w:val="0"/>
                <w:bCs w:val="0"/>
                <w:color w:val="auto"/>
                <w:sz w:val="21"/>
                <w:szCs w:val="21"/>
              </w:rPr>
              <w:t>脱去污染的衣着，立即用流动清水彻底冲洗。</w:t>
            </w:r>
          </w:p>
        </w:tc>
      </w:tr>
      <w:tr w14:paraId="7588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69B8614D">
            <w:pPr>
              <w:spacing w:line="280" w:lineRule="exact"/>
              <w:ind w:left="113" w:right="113"/>
              <w:jc w:val="center"/>
              <w:rPr>
                <w:rFonts w:hint="eastAsia"/>
                <w:b w:val="0"/>
                <w:bCs w:val="0"/>
                <w:color w:val="auto"/>
                <w:sz w:val="21"/>
                <w:szCs w:val="21"/>
              </w:rPr>
            </w:pPr>
          </w:p>
        </w:tc>
        <w:tc>
          <w:tcPr>
            <w:tcW w:w="1900" w:type="dxa"/>
            <w:noWrap w:val="0"/>
            <w:vAlign w:val="center"/>
          </w:tcPr>
          <w:p w14:paraId="5069E545">
            <w:pPr>
              <w:spacing w:line="280" w:lineRule="exact"/>
              <w:rPr>
                <w:rFonts w:hint="eastAsia"/>
                <w:b w:val="0"/>
                <w:bCs w:val="0"/>
                <w:color w:val="auto"/>
                <w:sz w:val="21"/>
                <w:szCs w:val="21"/>
              </w:rPr>
            </w:pPr>
            <w:r>
              <w:rPr>
                <w:rFonts w:hint="eastAsia"/>
                <w:b w:val="0"/>
                <w:bCs w:val="0"/>
                <w:color w:val="auto"/>
                <w:sz w:val="21"/>
                <w:szCs w:val="21"/>
              </w:rPr>
              <w:t>眼睛接触：</w:t>
            </w:r>
          </w:p>
        </w:tc>
        <w:tc>
          <w:tcPr>
            <w:tcW w:w="6776" w:type="dxa"/>
            <w:noWrap w:val="0"/>
            <w:vAlign w:val="center"/>
          </w:tcPr>
          <w:p w14:paraId="2742789F">
            <w:pPr>
              <w:rPr>
                <w:rFonts w:hint="eastAsia"/>
                <w:b w:val="0"/>
                <w:bCs w:val="0"/>
                <w:color w:val="auto"/>
                <w:sz w:val="21"/>
                <w:szCs w:val="21"/>
              </w:rPr>
            </w:pPr>
            <w:r>
              <w:rPr>
                <w:rFonts w:hint="eastAsia"/>
                <w:b w:val="0"/>
                <w:bCs w:val="0"/>
                <w:color w:val="auto"/>
                <w:sz w:val="21"/>
                <w:szCs w:val="21"/>
              </w:rPr>
              <w:t>立即提起眼睑，用流动清水冲洗l0分钟或用2%碳酸氢钠溶液冲洗。</w:t>
            </w:r>
          </w:p>
        </w:tc>
      </w:tr>
      <w:tr w14:paraId="58D3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64F844F7">
            <w:pPr>
              <w:spacing w:line="280" w:lineRule="exact"/>
              <w:ind w:left="113" w:right="113"/>
              <w:jc w:val="center"/>
              <w:rPr>
                <w:rFonts w:hint="eastAsia"/>
                <w:b w:val="0"/>
                <w:bCs w:val="0"/>
                <w:color w:val="auto"/>
                <w:sz w:val="21"/>
                <w:szCs w:val="21"/>
              </w:rPr>
            </w:pPr>
          </w:p>
        </w:tc>
        <w:tc>
          <w:tcPr>
            <w:tcW w:w="1900" w:type="dxa"/>
            <w:noWrap w:val="0"/>
            <w:vAlign w:val="center"/>
          </w:tcPr>
          <w:p w14:paraId="1ED7AE5E">
            <w:pPr>
              <w:spacing w:line="280" w:lineRule="exact"/>
              <w:rPr>
                <w:rFonts w:hint="eastAsia"/>
                <w:b w:val="0"/>
                <w:bCs w:val="0"/>
                <w:color w:val="auto"/>
                <w:sz w:val="21"/>
                <w:szCs w:val="21"/>
              </w:rPr>
            </w:pPr>
            <w:r>
              <w:rPr>
                <w:rFonts w:hint="eastAsia"/>
                <w:b w:val="0"/>
                <w:bCs w:val="0"/>
                <w:color w:val="auto"/>
                <w:sz w:val="21"/>
                <w:szCs w:val="21"/>
              </w:rPr>
              <w:t>吸入：</w:t>
            </w:r>
          </w:p>
        </w:tc>
        <w:tc>
          <w:tcPr>
            <w:tcW w:w="6776" w:type="dxa"/>
            <w:noWrap w:val="0"/>
            <w:vAlign w:val="center"/>
          </w:tcPr>
          <w:p w14:paraId="44D1D328">
            <w:pPr>
              <w:rPr>
                <w:rFonts w:hint="eastAsia"/>
                <w:b w:val="0"/>
                <w:bCs w:val="0"/>
                <w:color w:val="auto"/>
                <w:sz w:val="21"/>
                <w:szCs w:val="21"/>
              </w:rPr>
            </w:pPr>
            <w:r>
              <w:rPr>
                <w:rFonts w:hint="eastAsia"/>
                <w:b w:val="0"/>
                <w:bCs w:val="0"/>
                <w:color w:val="auto"/>
                <w:sz w:val="21"/>
                <w:szCs w:val="21"/>
              </w:rPr>
              <w:t>脱离现场至空气新鲜处。必要时进行人工呼吸。就医。</w:t>
            </w:r>
          </w:p>
        </w:tc>
      </w:tr>
      <w:tr w14:paraId="78FBD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6E08B690">
            <w:pPr>
              <w:spacing w:line="280" w:lineRule="exact"/>
              <w:ind w:left="113" w:right="113"/>
              <w:jc w:val="center"/>
              <w:rPr>
                <w:rFonts w:hint="eastAsia"/>
                <w:b w:val="0"/>
                <w:bCs w:val="0"/>
                <w:color w:val="auto"/>
                <w:sz w:val="21"/>
                <w:szCs w:val="21"/>
              </w:rPr>
            </w:pPr>
          </w:p>
        </w:tc>
        <w:tc>
          <w:tcPr>
            <w:tcW w:w="1900" w:type="dxa"/>
            <w:noWrap w:val="0"/>
            <w:vAlign w:val="center"/>
          </w:tcPr>
          <w:p w14:paraId="7C10E238">
            <w:pPr>
              <w:spacing w:line="280" w:lineRule="exact"/>
              <w:rPr>
                <w:rFonts w:hint="eastAsia"/>
                <w:b w:val="0"/>
                <w:bCs w:val="0"/>
                <w:color w:val="auto"/>
                <w:sz w:val="21"/>
                <w:szCs w:val="21"/>
              </w:rPr>
            </w:pPr>
            <w:r>
              <w:rPr>
                <w:rFonts w:hint="eastAsia"/>
                <w:b w:val="0"/>
                <w:bCs w:val="0"/>
                <w:color w:val="auto"/>
                <w:sz w:val="21"/>
                <w:szCs w:val="21"/>
              </w:rPr>
              <w:t xml:space="preserve">食入： </w:t>
            </w:r>
          </w:p>
        </w:tc>
        <w:tc>
          <w:tcPr>
            <w:tcW w:w="6776" w:type="dxa"/>
            <w:noWrap w:val="0"/>
            <w:vAlign w:val="center"/>
          </w:tcPr>
          <w:p w14:paraId="05F9BE1A">
            <w:pPr>
              <w:rPr>
                <w:rFonts w:hint="eastAsia"/>
                <w:b w:val="0"/>
                <w:bCs w:val="0"/>
                <w:color w:val="auto"/>
                <w:sz w:val="21"/>
                <w:szCs w:val="21"/>
              </w:rPr>
            </w:pPr>
            <w:r>
              <w:rPr>
                <w:rFonts w:hint="eastAsia"/>
                <w:b w:val="0"/>
                <w:bCs w:val="0"/>
                <w:color w:val="auto"/>
                <w:sz w:val="21"/>
                <w:szCs w:val="21"/>
              </w:rPr>
              <w:t>患者清醒时给饮大量温水，催吐，尽快洗胃。就医。</w:t>
            </w:r>
          </w:p>
        </w:tc>
      </w:tr>
      <w:tr w14:paraId="37D9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restart"/>
            <w:noWrap w:val="0"/>
            <w:textDirection w:val="tbRlV"/>
            <w:vAlign w:val="center"/>
          </w:tcPr>
          <w:p w14:paraId="2BD3C6E9">
            <w:pPr>
              <w:spacing w:line="280" w:lineRule="exact"/>
              <w:ind w:left="113" w:right="113"/>
              <w:jc w:val="center"/>
              <w:rPr>
                <w:rFonts w:hint="eastAsia"/>
                <w:b w:val="0"/>
                <w:bCs w:val="0"/>
                <w:color w:val="auto"/>
                <w:sz w:val="21"/>
                <w:szCs w:val="21"/>
              </w:rPr>
            </w:pPr>
            <w:r>
              <w:rPr>
                <w:rFonts w:hint="eastAsia"/>
                <w:b w:val="0"/>
                <w:bCs w:val="0"/>
                <w:color w:val="auto"/>
                <w:sz w:val="21"/>
                <w:szCs w:val="21"/>
              </w:rPr>
              <w:t>防护措施</w:t>
            </w:r>
          </w:p>
        </w:tc>
        <w:tc>
          <w:tcPr>
            <w:tcW w:w="1900" w:type="dxa"/>
            <w:noWrap w:val="0"/>
            <w:vAlign w:val="center"/>
          </w:tcPr>
          <w:p w14:paraId="1991609E">
            <w:pPr>
              <w:spacing w:line="280" w:lineRule="exact"/>
              <w:rPr>
                <w:rFonts w:hint="eastAsia"/>
                <w:b w:val="0"/>
                <w:bCs w:val="0"/>
                <w:color w:val="auto"/>
                <w:sz w:val="21"/>
                <w:szCs w:val="21"/>
              </w:rPr>
            </w:pPr>
            <w:r>
              <w:rPr>
                <w:rFonts w:hint="eastAsia"/>
                <w:b w:val="0"/>
                <w:bCs w:val="0"/>
                <w:color w:val="auto"/>
                <w:sz w:val="21"/>
                <w:szCs w:val="21"/>
              </w:rPr>
              <w:t>工程控制：</w:t>
            </w:r>
          </w:p>
        </w:tc>
        <w:tc>
          <w:tcPr>
            <w:tcW w:w="6776" w:type="dxa"/>
            <w:noWrap w:val="0"/>
            <w:vAlign w:val="center"/>
          </w:tcPr>
          <w:p w14:paraId="611B29CD">
            <w:pPr>
              <w:spacing w:line="280" w:lineRule="exact"/>
              <w:rPr>
                <w:rFonts w:hint="eastAsia"/>
                <w:b w:val="0"/>
                <w:bCs w:val="0"/>
                <w:color w:val="auto"/>
                <w:sz w:val="21"/>
                <w:szCs w:val="21"/>
              </w:rPr>
            </w:pPr>
            <w:r>
              <w:rPr>
                <w:rFonts w:hint="eastAsia"/>
                <w:b w:val="0"/>
                <w:bCs w:val="0"/>
                <w:color w:val="auto"/>
                <w:sz w:val="21"/>
                <w:szCs w:val="21"/>
              </w:rPr>
              <w:t>密闭操作，局部排风。</w:t>
            </w:r>
          </w:p>
        </w:tc>
      </w:tr>
      <w:tr w14:paraId="4668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21C4E655">
            <w:pPr>
              <w:spacing w:line="280" w:lineRule="exact"/>
              <w:ind w:left="113" w:right="113"/>
              <w:jc w:val="center"/>
              <w:rPr>
                <w:rFonts w:hint="eastAsia"/>
                <w:b w:val="0"/>
                <w:bCs w:val="0"/>
                <w:color w:val="auto"/>
                <w:sz w:val="21"/>
                <w:szCs w:val="21"/>
              </w:rPr>
            </w:pPr>
          </w:p>
        </w:tc>
        <w:tc>
          <w:tcPr>
            <w:tcW w:w="1900" w:type="dxa"/>
            <w:noWrap w:val="0"/>
            <w:vAlign w:val="center"/>
          </w:tcPr>
          <w:p w14:paraId="5C700D5D">
            <w:pPr>
              <w:spacing w:line="280" w:lineRule="exact"/>
              <w:rPr>
                <w:rFonts w:hint="eastAsia"/>
                <w:b w:val="0"/>
                <w:bCs w:val="0"/>
                <w:color w:val="auto"/>
                <w:sz w:val="21"/>
                <w:szCs w:val="21"/>
              </w:rPr>
            </w:pPr>
            <w:r>
              <w:rPr>
                <w:rFonts w:hint="eastAsia"/>
                <w:b w:val="0"/>
                <w:bCs w:val="0"/>
                <w:color w:val="auto"/>
                <w:sz w:val="21"/>
                <w:szCs w:val="21"/>
              </w:rPr>
              <w:t>呼吸系统防护：</w:t>
            </w:r>
          </w:p>
        </w:tc>
        <w:tc>
          <w:tcPr>
            <w:tcW w:w="6776" w:type="dxa"/>
            <w:noWrap w:val="0"/>
            <w:vAlign w:val="center"/>
          </w:tcPr>
          <w:p w14:paraId="13CB9BF1">
            <w:pPr>
              <w:spacing w:line="280" w:lineRule="exact"/>
              <w:rPr>
                <w:rFonts w:hint="eastAsia"/>
                <w:b w:val="0"/>
                <w:bCs w:val="0"/>
                <w:color w:val="auto"/>
                <w:sz w:val="21"/>
                <w:szCs w:val="21"/>
              </w:rPr>
            </w:pPr>
            <w:r>
              <w:rPr>
                <w:rFonts w:hint="eastAsia"/>
                <w:b w:val="0"/>
                <w:bCs w:val="0"/>
                <w:color w:val="auto"/>
                <w:sz w:val="21"/>
                <w:szCs w:val="21"/>
              </w:rPr>
              <w:t>空气中浓度超标时，应该</w:t>
            </w:r>
            <w:r>
              <w:rPr>
                <w:rFonts w:hint="eastAsia"/>
                <w:b w:val="0"/>
                <w:bCs w:val="0"/>
                <w:color w:val="auto"/>
                <w:sz w:val="21"/>
                <w:szCs w:val="21"/>
                <w:lang w:eastAsia="zh-CN"/>
              </w:rPr>
              <w:t>佩戴</w:t>
            </w:r>
            <w:r>
              <w:rPr>
                <w:rFonts w:hint="eastAsia"/>
                <w:b w:val="0"/>
                <w:bCs w:val="0"/>
                <w:color w:val="auto"/>
                <w:sz w:val="21"/>
                <w:szCs w:val="21"/>
              </w:rPr>
              <w:t>防毒口罩。紧急事态抢救或逃生时，建议</w:t>
            </w:r>
            <w:r>
              <w:rPr>
                <w:rFonts w:hint="eastAsia"/>
                <w:b w:val="0"/>
                <w:bCs w:val="0"/>
                <w:color w:val="auto"/>
                <w:sz w:val="21"/>
                <w:szCs w:val="21"/>
                <w:lang w:eastAsia="zh-CN"/>
              </w:rPr>
              <w:t>佩戴</w:t>
            </w:r>
            <w:r>
              <w:rPr>
                <w:rFonts w:hint="eastAsia"/>
                <w:b w:val="0"/>
                <w:bCs w:val="0"/>
                <w:color w:val="auto"/>
                <w:sz w:val="21"/>
                <w:szCs w:val="21"/>
              </w:rPr>
              <w:t>自给式呼吸器。</w:t>
            </w:r>
          </w:p>
        </w:tc>
      </w:tr>
      <w:tr w14:paraId="0099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6B26C35E">
            <w:pPr>
              <w:spacing w:line="280" w:lineRule="exact"/>
              <w:ind w:left="113" w:right="113"/>
              <w:jc w:val="center"/>
              <w:rPr>
                <w:rFonts w:hint="eastAsia"/>
                <w:b w:val="0"/>
                <w:bCs w:val="0"/>
                <w:color w:val="auto"/>
                <w:sz w:val="21"/>
                <w:szCs w:val="21"/>
              </w:rPr>
            </w:pPr>
          </w:p>
        </w:tc>
        <w:tc>
          <w:tcPr>
            <w:tcW w:w="1900" w:type="dxa"/>
            <w:noWrap w:val="0"/>
            <w:vAlign w:val="center"/>
          </w:tcPr>
          <w:p w14:paraId="1770334F">
            <w:pPr>
              <w:spacing w:line="280" w:lineRule="exact"/>
              <w:rPr>
                <w:rFonts w:hint="eastAsia"/>
                <w:b w:val="0"/>
                <w:bCs w:val="0"/>
                <w:color w:val="auto"/>
                <w:sz w:val="21"/>
                <w:szCs w:val="21"/>
              </w:rPr>
            </w:pPr>
            <w:r>
              <w:rPr>
                <w:rFonts w:hint="eastAsia"/>
                <w:b w:val="0"/>
                <w:bCs w:val="0"/>
                <w:color w:val="auto"/>
                <w:sz w:val="21"/>
                <w:szCs w:val="21"/>
              </w:rPr>
              <w:t>眼睛防护：</w:t>
            </w:r>
          </w:p>
        </w:tc>
        <w:tc>
          <w:tcPr>
            <w:tcW w:w="6776" w:type="dxa"/>
            <w:noWrap w:val="0"/>
            <w:vAlign w:val="center"/>
          </w:tcPr>
          <w:p w14:paraId="5ACF07C5">
            <w:pPr>
              <w:spacing w:line="280" w:lineRule="exact"/>
              <w:rPr>
                <w:rFonts w:hint="eastAsia"/>
                <w:b w:val="0"/>
                <w:bCs w:val="0"/>
                <w:color w:val="auto"/>
                <w:sz w:val="21"/>
                <w:szCs w:val="21"/>
              </w:rPr>
            </w:pPr>
            <w:r>
              <w:rPr>
                <w:rFonts w:hint="eastAsia"/>
                <w:b w:val="0"/>
                <w:bCs w:val="0"/>
                <w:color w:val="auto"/>
                <w:sz w:val="21"/>
                <w:szCs w:val="21"/>
              </w:rPr>
              <w:t>戴化学安全防护眼镜。</w:t>
            </w:r>
          </w:p>
        </w:tc>
      </w:tr>
      <w:tr w14:paraId="69BB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42F22C5A">
            <w:pPr>
              <w:spacing w:line="280" w:lineRule="exact"/>
              <w:ind w:left="113" w:right="113"/>
              <w:jc w:val="center"/>
              <w:rPr>
                <w:rFonts w:hint="eastAsia"/>
                <w:b w:val="0"/>
                <w:bCs w:val="0"/>
                <w:color w:val="auto"/>
                <w:sz w:val="21"/>
                <w:szCs w:val="21"/>
              </w:rPr>
            </w:pPr>
          </w:p>
        </w:tc>
        <w:tc>
          <w:tcPr>
            <w:tcW w:w="1900" w:type="dxa"/>
            <w:noWrap w:val="0"/>
            <w:vAlign w:val="center"/>
          </w:tcPr>
          <w:p w14:paraId="13CB9F6A">
            <w:pPr>
              <w:spacing w:line="280" w:lineRule="exact"/>
              <w:rPr>
                <w:rFonts w:hint="eastAsia"/>
                <w:b w:val="0"/>
                <w:bCs w:val="0"/>
                <w:color w:val="auto"/>
                <w:sz w:val="21"/>
                <w:szCs w:val="21"/>
              </w:rPr>
            </w:pPr>
            <w:r>
              <w:rPr>
                <w:rFonts w:hint="eastAsia"/>
                <w:b w:val="0"/>
                <w:bCs w:val="0"/>
                <w:color w:val="auto"/>
                <w:sz w:val="21"/>
                <w:szCs w:val="21"/>
              </w:rPr>
              <w:t>防护服：</w:t>
            </w:r>
          </w:p>
        </w:tc>
        <w:tc>
          <w:tcPr>
            <w:tcW w:w="6776" w:type="dxa"/>
            <w:noWrap w:val="0"/>
            <w:vAlign w:val="center"/>
          </w:tcPr>
          <w:p w14:paraId="001AFEC5">
            <w:pPr>
              <w:spacing w:line="280" w:lineRule="exact"/>
              <w:rPr>
                <w:rFonts w:hint="eastAsia"/>
                <w:b w:val="0"/>
                <w:bCs w:val="0"/>
                <w:color w:val="auto"/>
                <w:sz w:val="21"/>
                <w:szCs w:val="21"/>
              </w:rPr>
            </w:pPr>
            <w:r>
              <w:rPr>
                <w:rFonts w:hint="eastAsia"/>
                <w:b w:val="0"/>
                <w:bCs w:val="0"/>
                <w:color w:val="auto"/>
                <w:sz w:val="21"/>
                <w:szCs w:val="21"/>
              </w:rPr>
              <w:t>穿相应的防护服。</w:t>
            </w:r>
          </w:p>
        </w:tc>
      </w:tr>
      <w:tr w14:paraId="6938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21B8A0AB">
            <w:pPr>
              <w:spacing w:line="280" w:lineRule="exact"/>
              <w:ind w:left="113" w:right="113"/>
              <w:jc w:val="center"/>
              <w:rPr>
                <w:rFonts w:hint="eastAsia"/>
                <w:b w:val="0"/>
                <w:bCs w:val="0"/>
                <w:color w:val="auto"/>
                <w:sz w:val="21"/>
                <w:szCs w:val="21"/>
              </w:rPr>
            </w:pPr>
          </w:p>
        </w:tc>
        <w:tc>
          <w:tcPr>
            <w:tcW w:w="1900" w:type="dxa"/>
            <w:noWrap w:val="0"/>
            <w:vAlign w:val="center"/>
          </w:tcPr>
          <w:p w14:paraId="43F22194">
            <w:pPr>
              <w:spacing w:line="280" w:lineRule="exact"/>
              <w:rPr>
                <w:rFonts w:hint="eastAsia"/>
                <w:b w:val="0"/>
                <w:bCs w:val="0"/>
                <w:color w:val="auto"/>
                <w:sz w:val="21"/>
                <w:szCs w:val="21"/>
              </w:rPr>
            </w:pPr>
            <w:r>
              <w:rPr>
                <w:rFonts w:hint="eastAsia"/>
                <w:b w:val="0"/>
                <w:bCs w:val="0"/>
                <w:color w:val="auto"/>
                <w:sz w:val="21"/>
                <w:szCs w:val="21"/>
              </w:rPr>
              <w:t>手防护：</w:t>
            </w:r>
          </w:p>
        </w:tc>
        <w:tc>
          <w:tcPr>
            <w:tcW w:w="6776" w:type="dxa"/>
            <w:noWrap w:val="0"/>
            <w:vAlign w:val="center"/>
          </w:tcPr>
          <w:p w14:paraId="35BE8CB9">
            <w:pPr>
              <w:spacing w:line="280" w:lineRule="exact"/>
              <w:rPr>
                <w:rFonts w:hint="eastAsia"/>
                <w:b w:val="0"/>
                <w:bCs w:val="0"/>
                <w:color w:val="auto"/>
                <w:sz w:val="21"/>
                <w:szCs w:val="21"/>
              </w:rPr>
            </w:pPr>
            <w:r>
              <w:rPr>
                <w:rFonts w:hint="eastAsia"/>
                <w:b w:val="0"/>
                <w:bCs w:val="0"/>
                <w:color w:val="auto"/>
                <w:sz w:val="21"/>
                <w:szCs w:val="21"/>
              </w:rPr>
              <w:t>戴防化学品手套。</w:t>
            </w:r>
          </w:p>
        </w:tc>
      </w:tr>
      <w:tr w14:paraId="5438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trPr>
        <w:tc>
          <w:tcPr>
            <w:tcW w:w="2448" w:type="dxa"/>
            <w:gridSpan w:val="2"/>
            <w:noWrap w:val="0"/>
            <w:vAlign w:val="center"/>
          </w:tcPr>
          <w:p w14:paraId="2568632F">
            <w:pPr>
              <w:spacing w:line="280" w:lineRule="exact"/>
              <w:jc w:val="center"/>
              <w:rPr>
                <w:rFonts w:hint="eastAsia"/>
                <w:b w:val="0"/>
                <w:bCs w:val="0"/>
                <w:color w:val="auto"/>
                <w:sz w:val="21"/>
                <w:szCs w:val="21"/>
              </w:rPr>
            </w:pPr>
            <w:r>
              <w:rPr>
                <w:rFonts w:hint="eastAsia"/>
                <w:b w:val="0"/>
                <w:bCs w:val="0"/>
                <w:color w:val="auto"/>
                <w:sz w:val="21"/>
                <w:szCs w:val="21"/>
              </w:rPr>
              <w:t>泄漏处置：</w:t>
            </w:r>
          </w:p>
        </w:tc>
        <w:tc>
          <w:tcPr>
            <w:tcW w:w="6776" w:type="dxa"/>
            <w:noWrap w:val="0"/>
            <w:vAlign w:val="center"/>
          </w:tcPr>
          <w:p w14:paraId="17666935">
            <w:pPr>
              <w:spacing w:line="280" w:lineRule="exact"/>
              <w:rPr>
                <w:rFonts w:hint="eastAsia"/>
                <w:b w:val="0"/>
                <w:bCs w:val="0"/>
                <w:color w:val="auto"/>
                <w:sz w:val="21"/>
                <w:szCs w:val="21"/>
              </w:rPr>
            </w:pPr>
            <w:r>
              <w:rPr>
                <w:rFonts w:hint="eastAsia"/>
                <w:b w:val="0"/>
                <w:bCs w:val="0"/>
                <w:color w:val="auto"/>
                <w:sz w:val="21"/>
                <w:szCs w:val="21"/>
              </w:rPr>
              <w:t>隔离泄漏污染区，周围设警告标志，建议应急处理人员戴好防毒面具，穿相应的工作服。不要直接接触泄漏物，避免扬尘，用清洁的铲子收集于干燥净洁有盖的容器中，运至废物处理场所。如大量泄漏，收集回收或无害处理后废弃。</w:t>
            </w:r>
          </w:p>
        </w:tc>
      </w:tr>
      <w:tr w14:paraId="6AB43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trPr>
        <w:tc>
          <w:tcPr>
            <w:tcW w:w="2448" w:type="dxa"/>
            <w:gridSpan w:val="2"/>
            <w:noWrap w:val="0"/>
            <w:vAlign w:val="center"/>
          </w:tcPr>
          <w:p w14:paraId="1064470B">
            <w:pPr>
              <w:spacing w:line="280" w:lineRule="exact"/>
              <w:jc w:val="center"/>
              <w:rPr>
                <w:rFonts w:hint="eastAsia"/>
                <w:b w:val="0"/>
                <w:bCs w:val="0"/>
                <w:color w:val="auto"/>
                <w:sz w:val="21"/>
                <w:szCs w:val="21"/>
              </w:rPr>
            </w:pPr>
            <w:r>
              <w:rPr>
                <w:rFonts w:hint="eastAsia"/>
                <w:b w:val="0"/>
                <w:bCs w:val="0"/>
                <w:color w:val="auto"/>
                <w:sz w:val="21"/>
                <w:szCs w:val="21"/>
              </w:rPr>
              <w:t>其他：</w:t>
            </w:r>
          </w:p>
        </w:tc>
        <w:tc>
          <w:tcPr>
            <w:tcW w:w="6776" w:type="dxa"/>
            <w:noWrap w:val="0"/>
            <w:vAlign w:val="center"/>
          </w:tcPr>
          <w:p w14:paraId="566DFF2E">
            <w:pPr>
              <w:spacing w:line="280" w:lineRule="exact"/>
              <w:rPr>
                <w:rFonts w:hint="eastAsia"/>
                <w:b w:val="0"/>
                <w:bCs w:val="0"/>
                <w:color w:val="auto"/>
                <w:sz w:val="21"/>
                <w:szCs w:val="21"/>
              </w:rPr>
            </w:pPr>
            <w:r>
              <w:rPr>
                <w:rFonts w:hint="eastAsia"/>
                <w:b w:val="0"/>
                <w:bCs w:val="0"/>
                <w:color w:val="auto"/>
                <w:sz w:val="21"/>
                <w:szCs w:val="21"/>
              </w:rPr>
              <w:t>工作现场禁止吸烟、进食和饮水。工作后，淋浴更衣。工作服不要带到非作业场所，单独存放被毒物污染的衣服，洗后再用。保持良好的卫生习惯。</w:t>
            </w:r>
          </w:p>
        </w:tc>
      </w:tr>
    </w:tbl>
    <w:p w14:paraId="391653C9">
      <w:pPr>
        <w:pStyle w:val="4"/>
        <w:numPr>
          <w:ilvl w:val="3"/>
          <w:numId w:val="10"/>
        </w:numPr>
        <w:tabs>
          <w:tab w:val="left" w:pos="1358"/>
          <w:tab w:val="left" w:pos="2153"/>
        </w:tabs>
        <w:ind w:left="1358"/>
        <w:outlineLvl w:val="4"/>
        <w:rPr>
          <w:color w:val="auto"/>
        </w:rPr>
      </w:pPr>
      <w:r>
        <w:rPr>
          <w:rFonts w:hint="eastAsia" w:ascii="Times New Roman" w:hAnsi="Times New Roman" w:eastAsia="宋体" w:cs="Times New Roman"/>
          <w:color w:val="auto"/>
          <w:lang w:val="en-US" w:eastAsia="zh-CN"/>
        </w:rPr>
        <w:t>氟化</w:t>
      </w:r>
      <w:r>
        <w:rPr>
          <w:rFonts w:hint="eastAsia" w:ascii="Times New Roman" w:hAnsi="Times New Roman" w:cs="Times New Roman"/>
          <w:color w:val="auto"/>
          <w:lang w:val="en-US" w:eastAsia="zh-CN"/>
        </w:rPr>
        <w:t>钡</w:t>
      </w:r>
      <w:r>
        <w:rPr>
          <w:rFonts w:hint="default" w:ascii="Times New Roman" w:hAnsi="Times New Roman" w:eastAsia="宋体" w:cs="Times New Roman"/>
          <w:color w:val="auto"/>
          <w:lang w:val="zh-CN" w:eastAsia="zh-CN"/>
        </w:rPr>
        <w:t>安全技术说明书</w:t>
      </w:r>
    </w:p>
    <w:tbl>
      <w:tblPr>
        <w:tblStyle w:val="19"/>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1900"/>
        <w:gridCol w:w="6776"/>
      </w:tblGrid>
      <w:tr w14:paraId="34C9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trPr>
        <w:tc>
          <w:tcPr>
            <w:tcW w:w="548" w:type="dxa"/>
            <w:vMerge w:val="restart"/>
            <w:noWrap w:val="0"/>
            <w:textDirection w:val="tbRlV"/>
            <w:vAlign w:val="center"/>
          </w:tcPr>
          <w:p w14:paraId="05CE4F67">
            <w:pPr>
              <w:spacing w:line="280" w:lineRule="exact"/>
              <w:ind w:left="113" w:right="113"/>
              <w:jc w:val="center"/>
              <w:rPr>
                <w:rFonts w:hint="eastAsia"/>
                <w:b w:val="0"/>
                <w:bCs w:val="0"/>
                <w:color w:val="auto"/>
                <w:sz w:val="21"/>
                <w:szCs w:val="21"/>
              </w:rPr>
            </w:pPr>
            <w:r>
              <w:rPr>
                <w:rFonts w:hint="eastAsia"/>
                <w:b w:val="0"/>
                <w:bCs w:val="0"/>
                <w:color w:val="auto"/>
                <w:sz w:val="21"/>
                <w:szCs w:val="21"/>
              </w:rPr>
              <w:t>标识</w:t>
            </w:r>
          </w:p>
        </w:tc>
        <w:tc>
          <w:tcPr>
            <w:tcW w:w="1900" w:type="dxa"/>
            <w:noWrap w:val="0"/>
            <w:vAlign w:val="center"/>
          </w:tcPr>
          <w:p w14:paraId="47C5AD48">
            <w:pPr>
              <w:spacing w:line="280" w:lineRule="exact"/>
              <w:rPr>
                <w:rFonts w:hint="eastAsia"/>
                <w:b w:val="0"/>
                <w:bCs w:val="0"/>
                <w:color w:val="auto"/>
                <w:sz w:val="21"/>
                <w:szCs w:val="21"/>
              </w:rPr>
            </w:pPr>
            <w:r>
              <w:rPr>
                <w:rFonts w:hint="eastAsia"/>
                <w:b w:val="0"/>
                <w:bCs w:val="0"/>
                <w:color w:val="auto"/>
                <w:sz w:val="21"/>
                <w:szCs w:val="21"/>
              </w:rPr>
              <w:t>中文名：</w:t>
            </w:r>
          </w:p>
        </w:tc>
        <w:tc>
          <w:tcPr>
            <w:tcW w:w="6776" w:type="dxa"/>
            <w:noWrap w:val="0"/>
            <w:vAlign w:val="center"/>
          </w:tcPr>
          <w:p w14:paraId="77575704">
            <w:pPr>
              <w:spacing w:line="280" w:lineRule="exact"/>
              <w:rPr>
                <w:rFonts w:hint="eastAsia"/>
                <w:b w:val="0"/>
                <w:bCs w:val="0"/>
                <w:color w:val="auto"/>
                <w:sz w:val="21"/>
                <w:szCs w:val="21"/>
              </w:rPr>
            </w:pPr>
            <w:r>
              <w:rPr>
                <w:rFonts w:hint="eastAsia"/>
                <w:b w:val="0"/>
                <w:bCs w:val="0"/>
                <w:color w:val="auto"/>
                <w:sz w:val="21"/>
                <w:szCs w:val="21"/>
              </w:rPr>
              <w:t>氟化</w:t>
            </w:r>
            <w:r>
              <w:rPr>
                <w:rFonts w:hint="eastAsia"/>
                <w:b w:val="0"/>
                <w:bCs w:val="0"/>
                <w:color w:val="auto"/>
                <w:sz w:val="21"/>
                <w:szCs w:val="21"/>
                <w:lang w:val="en-US" w:eastAsia="zh-CN"/>
              </w:rPr>
              <w:t>钡</w:t>
            </w:r>
            <w:r>
              <w:rPr>
                <w:rFonts w:hint="eastAsia"/>
                <w:b w:val="0"/>
                <w:bCs w:val="0"/>
                <w:color w:val="auto"/>
                <w:sz w:val="21"/>
                <w:szCs w:val="21"/>
              </w:rPr>
              <w:t xml:space="preserve">               英文名：Barium fluoride</w:t>
            </w:r>
          </w:p>
        </w:tc>
      </w:tr>
      <w:tr w14:paraId="3C06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548" w:type="dxa"/>
            <w:vMerge w:val="continue"/>
            <w:noWrap w:val="0"/>
            <w:textDirection w:val="tbRlV"/>
            <w:vAlign w:val="center"/>
          </w:tcPr>
          <w:p w14:paraId="2CA3445F">
            <w:pPr>
              <w:spacing w:line="280" w:lineRule="exact"/>
              <w:ind w:left="113" w:right="113"/>
              <w:jc w:val="center"/>
              <w:rPr>
                <w:rFonts w:hint="eastAsia"/>
                <w:b w:val="0"/>
                <w:bCs w:val="0"/>
                <w:color w:val="auto"/>
                <w:sz w:val="21"/>
                <w:szCs w:val="21"/>
              </w:rPr>
            </w:pPr>
          </w:p>
        </w:tc>
        <w:tc>
          <w:tcPr>
            <w:tcW w:w="1900" w:type="dxa"/>
            <w:noWrap w:val="0"/>
            <w:vAlign w:val="center"/>
          </w:tcPr>
          <w:p w14:paraId="56A978E7">
            <w:pPr>
              <w:spacing w:line="280" w:lineRule="exact"/>
              <w:rPr>
                <w:rFonts w:hint="eastAsia"/>
                <w:b w:val="0"/>
                <w:bCs w:val="0"/>
                <w:color w:val="auto"/>
                <w:sz w:val="21"/>
                <w:szCs w:val="21"/>
              </w:rPr>
            </w:pPr>
            <w:r>
              <w:rPr>
                <w:rFonts w:hint="eastAsia"/>
                <w:b w:val="0"/>
                <w:bCs w:val="0"/>
                <w:color w:val="auto"/>
                <w:sz w:val="21"/>
                <w:szCs w:val="21"/>
              </w:rPr>
              <w:t>分子式：</w:t>
            </w:r>
          </w:p>
        </w:tc>
        <w:tc>
          <w:tcPr>
            <w:tcW w:w="6776" w:type="dxa"/>
            <w:noWrap w:val="0"/>
            <w:vAlign w:val="center"/>
          </w:tcPr>
          <w:p w14:paraId="239DAD9F">
            <w:pPr>
              <w:spacing w:line="280" w:lineRule="exact"/>
              <w:rPr>
                <w:rFonts w:hint="default" w:eastAsia="宋体"/>
                <w:b w:val="0"/>
                <w:bCs w:val="0"/>
                <w:color w:val="auto"/>
                <w:sz w:val="21"/>
                <w:szCs w:val="21"/>
                <w:lang w:val="en-US" w:eastAsia="zh-CN"/>
              </w:rPr>
            </w:pPr>
            <w:r>
              <w:rPr>
                <w:rFonts w:hint="eastAsia"/>
                <w:b w:val="0"/>
                <w:bCs w:val="0"/>
                <w:color w:val="auto"/>
                <w:sz w:val="21"/>
                <w:szCs w:val="21"/>
                <w:lang w:val="en-US" w:eastAsia="zh-CN"/>
              </w:rPr>
              <w:t>B</w:t>
            </w:r>
            <w:r>
              <w:rPr>
                <w:rFonts w:hint="eastAsia"/>
                <w:b w:val="0"/>
                <w:bCs w:val="0"/>
                <w:color w:val="auto"/>
                <w:sz w:val="21"/>
                <w:szCs w:val="21"/>
              </w:rPr>
              <w:t>aF</w:t>
            </w:r>
            <w:r>
              <w:rPr>
                <w:rFonts w:hint="eastAsia"/>
                <w:b w:val="0"/>
                <w:bCs w:val="0"/>
                <w:color w:val="auto"/>
                <w:sz w:val="21"/>
                <w:szCs w:val="21"/>
                <w:vertAlign w:val="subscript"/>
                <w:lang w:val="en-US" w:eastAsia="zh-CN"/>
              </w:rPr>
              <w:t>2</w:t>
            </w:r>
            <w:r>
              <w:rPr>
                <w:rFonts w:hint="eastAsia"/>
                <w:b w:val="0"/>
                <w:bCs w:val="0"/>
                <w:color w:val="auto"/>
                <w:sz w:val="21"/>
                <w:szCs w:val="21"/>
              </w:rPr>
              <w:t xml:space="preserve">                  分子量：</w:t>
            </w:r>
            <w:r>
              <w:rPr>
                <w:rFonts w:hint="eastAsia"/>
                <w:b w:val="0"/>
                <w:bCs w:val="0"/>
                <w:color w:val="auto"/>
                <w:sz w:val="21"/>
                <w:szCs w:val="21"/>
                <w:lang w:val="en-US" w:eastAsia="zh-CN"/>
              </w:rPr>
              <w:t>175.32</w:t>
            </w:r>
          </w:p>
        </w:tc>
      </w:tr>
      <w:tr w14:paraId="7609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48" w:type="dxa"/>
            <w:vMerge w:val="continue"/>
            <w:noWrap w:val="0"/>
            <w:textDirection w:val="tbRlV"/>
            <w:vAlign w:val="center"/>
          </w:tcPr>
          <w:p w14:paraId="5FCBBA58">
            <w:pPr>
              <w:spacing w:line="280" w:lineRule="exact"/>
              <w:ind w:left="113" w:right="113"/>
              <w:jc w:val="center"/>
              <w:rPr>
                <w:rFonts w:hint="eastAsia"/>
                <w:b w:val="0"/>
                <w:bCs w:val="0"/>
                <w:color w:val="auto"/>
                <w:sz w:val="21"/>
                <w:szCs w:val="21"/>
              </w:rPr>
            </w:pPr>
          </w:p>
        </w:tc>
        <w:tc>
          <w:tcPr>
            <w:tcW w:w="1900" w:type="dxa"/>
            <w:noWrap w:val="0"/>
            <w:vAlign w:val="center"/>
          </w:tcPr>
          <w:p w14:paraId="6DA5DEDA">
            <w:pPr>
              <w:spacing w:line="280" w:lineRule="exact"/>
              <w:rPr>
                <w:rFonts w:hint="eastAsia"/>
                <w:b w:val="0"/>
                <w:bCs w:val="0"/>
                <w:color w:val="auto"/>
                <w:sz w:val="21"/>
                <w:szCs w:val="21"/>
              </w:rPr>
            </w:pPr>
            <w:r>
              <w:rPr>
                <w:rFonts w:hint="eastAsia"/>
                <w:b w:val="0"/>
                <w:bCs w:val="0"/>
                <w:color w:val="auto"/>
                <w:sz w:val="21"/>
                <w:szCs w:val="21"/>
              </w:rPr>
              <w:t>CAS号：</w:t>
            </w:r>
          </w:p>
        </w:tc>
        <w:tc>
          <w:tcPr>
            <w:tcW w:w="6776" w:type="dxa"/>
            <w:noWrap w:val="0"/>
            <w:vAlign w:val="center"/>
          </w:tcPr>
          <w:p w14:paraId="7EAA99A1">
            <w:pPr>
              <w:spacing w:line="280" w:lineRule="exact"/>
              <w:rPr>
                <w:rFonts w:hint="eastAsia"/>
                <w:b w:val="0"/>
                <w:bCs w:val="0"/>
                <w:color w:val="auto"/>
                <w:sz w:val="21"/>
                <w:szCs w:val="21"/>
              </w:rPr>
            </w:pPr>
            <w:r>
              <w:rPr>
                <w:rFonts w:hint="eastAsia"/>
                <w:b w:val="0"/>
                <w:bCs w:val="0"/>
                <w:color w:val="auto"/>
                <w:sz w:val="21"/>
                <w:szCs w:val="21"/>
              </w:rPr>
              <w:t>7</w:t>
            </w:r>
            <w:r>
              <w:rPr>
                <w:rFonts w:hint="eastAsia"/>
                <w:b w:val="0"/>
                <w:bCs w:val="0"/>
                <w:color w:val="auto"/>
                <w:sz w:val="21"/>
                <w:szCs w:val="21"/>
                <w:lang w:val="en-US" w:eastAsia="zh-CN"/>
              </w:rPr>
              <w:t>787-32-8</w:t>
            </w:r>
            <w:r>
              <w:rPr>
                <w:rFonts w:hint="eastAsia"/>
                <w:b w:val="0"/>
                <w:bCs w:val="0"/>
                <w:color w:val="auto"/>
                <w:sz w:val="21"/>
                <w:szCs w:val="21"/>
              </w:rPr>
              <w:t xml:space="preserve">        </w:t>
            </w:r>
          </w:p>
        </w:tc>
      </w:tr>
      <w:tr w14:paraId="070B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trPr>
        <w:tc>
          <w:tcPr>
            <w:tcW w:w="548" w:type="dxa"/>
            <w:vMerge w:val="restart"/>
            <w:noWrap w:val="0"/>
            <w:textDirection w:val="tbRlV"/>
            <w:vAlign w:val="center"/>
          </w:tcPr>
          <w:p w14:paraId="2D65D1EA">
            <w:pPr>
              <w:spacing w:line="280" w:lineRule="exact"/>
              <w:ind w:left="113" w:right="113"/>
              <w:jc w:val="center"/>
              <w:rPr>
                <w:rFonts w:hint="eastAsia"/>
                <w:b w:val="0"/>
                <w:bCs w:val="0"/>
                <w:color w:val="auto"/>
                <w:sz w:val="21"/>
                <w:szCs w:val="21"/>
              </w:rPr>
            </w:pPr>
            <w:r>
              <w:rPr>
                <w:rFonts w:hint="eastAsia"/>
                <w:b w:val="0"/>
                <w:bCs w:val="0"/>
                <w:color w:val="auto"/>
                <w:sz w:val="21"/>
                <w:szCs w:val="21"/>
              </w:rPr>
              <w:t>理化性质</w:t>
            </w:r>
          </w:p>
        </w:tc>
        <w:tc>
          <w:tcPr>
            <w:tcW w:w="1900" w:type="dxa"/>
            <w:noWrap w:val="0"/>
            <w:vAlign w:val="center"/>
          </w:tcPr>
          <w:p w14:paraId="790063DC">
            <w:pPr>
              <w:spacing w:line="280" w:lineRule="exact"/>
              <w:rPr>
                <w:rFonts w:hint="eastAsia"/>
                <w:b w:val="0"/>
                <w:bCs w:val="0"/>
                <w:color w:val="auto"/>
                <w:sz w:val="21"/>
                <w:szCs w:val="21"/>
              </w:rPr>
            </w:pPr>
            <w:r>
              <w:rPr>
                <w:rFonts w:hint="eastAsia"/>
                <w:b w:val="0"/>
                <w:bCs w:val="0"/>
                <w:color w:val="auto"/>
                <w:sz w:val="21"/>
                <w:szCs w:val="21"/>
              </w:rPr>
              <w:t>外观与性状：</w:t>
            </w:r>
          </w:p>
        </w:tc>
        <w:tc>
          <w:tcPr>
            <w:tcW w:w="6776" w:type="dxa"/>
            <w:noWrap w:val="0"/>
            <w:vAlign w:val="center"/>
          </w:tcPr>
          <w:p w14:paraId="0C9AEBE9">
            <w:pPr>
              <w:spacing w:line="280" w:lineRule="exact"/>
              <w:rPr>
                <w:rFonts w:hint="eastAsia"/>
                <w:b w:val="0"/>
                <w:bCs w:val="0"/>
                <w:color w:val="auto"/>
                <w:sz w:val="21"/>
                <w:szCs w:val="21"/>
              </w:rPr>
            </w:pPr>
            <w:r>
              <w:rPr>
                <w:rFonts w:hint="eastAsia"/>
                <w:b w:val="0"/>
                <w:bCs w:val="0"/>
                <w:color w:val="auto"/>
                <w:sz w:val="21"/>
                <w:szCs w:val="21"/>
              </w:rPr>
              <w:t>白色粉末或无色透明四方晶系结晶。</w:t>
            </w:r>
          </w:p>
        </w:tc>
      </w:tr>
      <w:tr w14:paraId="3FE1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548" w:type="dxa"/>
            <w:vMerge w:val="continue"/>
            <w:noWrap w:val="0"/>
            <w:textDirection w:val="tbRlV"/>
            <w:vAlign w:val="center"/>
          </w:tcPr>
          <w:p w14:paraId="4547FE24">
            <w:pPr>
              <w:spacing w:line="280" w:lineRule="exact"/>
              <w:ind w:left="113" w:right="113"/>
              <w:jc w:val="center"/>
              <w:rPr>
                <w:rFonts w:hint="eastAsia"/>
                <w:b w:val="0"/>
                <w:bCs w:val="0"/>
                <w:color w:val="auto"/>
                <w:sz w:val="21"/>
                <w:szCs w:val="21"/>
              </w:rPr>
            </w:pPr>
          </w:p>
        </w:tc>
        <w:tc>
          <w:tcPr>
            <w:tcW w:w="1900" w:type="dxa"/>
            <w:noWrap w:val="0"/>
            <w:vAlign w:val="center"/>
          </w:tcPr>
          <w:p w14:paraId="5EBFCA8F">
            <w:pPr>
              <w:spacing w:line="280" w:lineRule="exact"/>
              <w:rPr>
                <w:rFonts w:hint="eastAsia"/>
                <w:b w:val="0"/>
                <w:bCs w:val="0"/>
                <w:color w:val="auto"/>
                <w:sz w:val="21"/>
                <w:szCs w:val="21"/>
              </w:rPr>
            </w:pPr>
            <w:r>
              <w:rPr>
                <w:rFonts w:hint="eastAsia"/>
                <w:b w:val="0"/>
                <w:bCs w:val="0"/>
                <w:color w:val="auto"/>
                <w:sz w:val="21"/>
                <w:szCs w:val="21"/>
              </w:rPr>
              <w:t>主要用途：</w:t>
            </w:r>
          </w:p>
        </w:tc>
        <w:tc>
          <w:tcPr>
            <w:tcW w:w="6776" w:type="dxa"/>
            <w:noWrap w:val="0"/>
            <w:vAlign w:val="center"/>
          </w:tcPr>
          <w:p w14:paraId="5966C57C">
            <w:pPr>
              <w:spacing w:line="280" w:lineRule="exact"/>
              <w:rPr>
                <w:rFonts w:hint="eastAsia"/>
                <w:b w:val="0"/>
                <w:bCs w:val="0"/>
                <w:color w:val="auto"/>
                <w:sz w:val="21"/>
                <w:szCs w:val="21"/>
              </w:rPr>
            </w:pPr>
            <w:r>
              <w:rPr>
                <w:rFonts w:hint="eastAsia"/>
                <w:b w:val="0"/>
                <w:bCs w:val="0"/>
                <w:color w:val="auto"/>
                <w:sz w:val="21"/>
                <w:szCs w:val="21"/>
              </w:rPr>
              <w:t>用作防腐剂，用于金属热处理及陶瓷、搪瓷、玻璃制造。</w:t>
            </w:r>
          </w:p>
        </w:tc>
      </w:tr>
      <w:tr w14:paraId="2945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548" w:type="dxa"/>
            <w:vMerge w:val="continue"/>
            <w:noWrap w:val="0"/>
            <w:textDirection w:val="tbRlV"/>
            <w:vAlign w:val="center"/>
          </w:tcPr>
          <w:p w14:paraId="3316AD31">
            <w:pPr>
              <w:spacing w:line="280" w:lineRule="exact"/>
              <w:ind w:left="113" w:right="113"/>
              <w:jc w:val="center"/>
              <w:rPr>
                <w:rFonts w:hint="eastAsia"/>
                <w:b w:val="0"/>
                <w:bCs w:val="0"/>
                <w:color w:val="auto"/>
                <w:sz w:val="21"/>
                <w:szCs w:val="21"/>
              </w:rPr>
            </w:pPr>
          </w:p>
        </w:tc>
        <w:tc>
          <w:tcPr>
            <w:tcW w:w="1900" w:type="dxa"/>
            <w:noWrap w:val="0"/>
            <w:vAlign w:val="center"/>
          </w:tcPr>
          <w:p w14:paraId="7EF382D7">
            <w:pPr>
              <w:spacing w:line="280" w:lineRule="exact"/>
              <w:rPr>
                <w:rFonts w:hint="eastAsia"/>
                <w:b w:val="0"/>
                <w:bCs w:val="0"/>
                <w:color w:val="auto"/>
                <w:sz w:val="21"/>
                <w:szCs w:val="21"/>
              </w:rPr>
            </w:pPr>
            <w:r>
              <w:rPr>
                <w:rFonts w:hint="eastAsia"/>
                <w:b w:val="0"/>
                <w:bCs w:val="0"/>
                <w:color w:val="auto"/>
                <w:sz w:val="21"/>
                <w:szCs w:val="21"/>
              </w:rPr>
              <w:t>熔点(℃)：</w:t>
            </w:r>
          </w:p>
        </w:tc>
        <w:tc>
          <w:tcPr>
            <w:tcW w:w="6776" w:type="dxa"/>
            <w:noWrap w:val="0"/>
            <w:vAlign w:val="center"/>
          </w:tcPr>
          <w:p w14:paraId="16392BD9">
            <w:pPr>
              <w:spacing w:line="280" w:lineRule="exact"/>
              <w:rPr>
                <w:rFonts w:hint="default" w:eastAsia="宋体"/>
                <w:b w:val="0"/>
                <w:bCs w:val="0"/>
                <w:color w:val="auto"/>
                <w:sz w:val="21"/>
                <w:szCs w:val="21"/>
                <w:lang w:val="en-US" w:eastAsia="zh-CN"/>
              </w:rPr>
            </w:pPr>
            <w:r>
              <w:rPr>
                <w:rFonts w:hint="eastAsia"/>
                <w:b w:val="0"/>
                <w:bCs w:val="0"/>
                <w:color w:val="auto"/>
                <w:sz w:val="21"/>
                <w:szCs w:val="21"/>
                <w:lang w:val="en-US" w:eastAsia="zh-CN"/>
              </w:rPr>
              <w:t>1280</w:t>
            </w:r>
            <w:r>
              <w:rPr>
                <w:rFonts w:hint="eastAsia"/>
                <w:b w:val="0"/>
                <w:bCs w:val="0"/>
                <w:color w:val="auto"/>
                <w:sz w:val="21"/>
                <w:szCs w:val="21"/>
              </w:rPr>
              <w:t xml:space="preserve">                 沸点(℃)：  </w:t>
            </w:r>
            <w:r>
              <w:rPr>
                <w:rFonts w:hint="eastAsia"/>
                <w:b w:val="0"/>
                <w:bCs w:val="0"/>
                <w:color w:val="auto"/>
                <w:sz w:val="21"/>
                <w:szCs w:val="21"/>
                <w:lang w:val="en-US" w:eastAsia="zh-CN"/>
              </w:rPr>
              <w:t>2260</w:t>
            </w:r>
          </w:p>
        </w:tc>
      </w:tr>
      <w:tr w14:paraId="4B62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548" w:type="dxa"/>
            <w:vMerge w:val="continue"/>
            <w:noWrap w:val="0"/>
            <w:textDirection w:val="tbRlV"/>
            <w:vAlign w:val="center"/>
          </w:tcPr>
          <w:p w14:paraId="626ACD97">
            <w:pPr>
              <w:spacing w:line="280" w:lineRule="exact"/>
              <w:ind w:left="113" w:right="113"/>
              <w:jc w:val="center"/>
              <w:rPr>
                <w:rFonts w:hint="eastAsia"/>
                <w:b w:val="0"/>
                <w:bCs w:val="0"/>
                <w:color w:val="auto"/>
                <w:sz w:val="21"/>
                <w:szCs w:val="21"/>
              </w:rPr>
            </w:pPr>
          </w:p>
        </w:tc>
        <w:tc>
          <w:tcPr>
            <w:tcW w:w="1900" w:type="dxa"/>
            <w:noWrap w:val="0"/>
            <w:vAlign w:val="center"/>
          </w:tcPr>
          <w:p w14:paraId="4FFF6236">
            <w:pPr>
              <w:spacing w:line="280" w:lineRule="exact"/>
              <w:rPr>
                <w:rFonts w:hint="eastAsia"/>
                <w:b w:val="0"/>
                <w:bCs w:val="0"/>
                <w:color w:val="auto"/>
                <w:sz w:val="21"/>
                <w:szCs w:val="21"/>
              </w:rPr>
            </w:pPr>
            <w:r>
              <w:rPr>
                <w:rFonts w:hint="eastAsia"/>
                <w:b w:val="0"/>
                <w:bCs w:val="0"/>
                <w:color w:val="auto"/>
                <w:sz w:val="21"/>
                <w:szCs w:val="21"/>
              </w:rPr>
              <w:t>相对密度(水=1)：</w:t>
            </w:r>
          </w:p>
        </w:tc>
        <w:tc>
          <w:tcPr>
            <w:tcW w:w="6776" w:type="dxa"/>
            <w:noWrap w:val="0"/>
            <w:vAlign w:val="center"/>
          </w:tcPr>
          <w:p w14:paraId="681A89FC">
            <w:pPr>
              <w:spacing w:line="280" w:lineRule="exact"/>
              <w:rPr>
                <w:rFonts w:hint="eastAsia" w:eastAsia="宋体"/>
                <w:b w:val="0"/>
                <w:bCs w:val="0"/>
                <w:color w:val="auto"/>
                <w:sz w:val="21"/>
                <w:szCs w:val="21"/>
                <w:lang w:eastAsia="zh-CN"/>
              </w:rPr>
            </w:pPr>
            <w:r>
              <w:rPr>
                <w:rFonts w:hint="eastAsia"/>
                <w:b w:val="0"/>
                <w:bCs w:val="0"/>
                <w:color w:val="auto"/>
                <w:sz w:val="21"/>
                <w:szCs w:val="21"/>
                <w:lang w:val="en-US" w:eastAsia="zh-CN"/>
              </w:rPr>
              <w:t>4.89</w:t>
            </w:r>
            <w:r>
              <w:rPr>
                <w:rFonts w:hint="eastAsia"/>
                <w:b w:val="0"/>
                <w:bCs w:val="0"/>
                <w:color w:val="auto"/>
                <w:sz w:val="21"/>
                <w:szCs w:val="21"/>
              </w:rPr>
              <w:t xml:space="preserve">                   饱和蒸汽压(kPa) ：</w:t>
            </w:r>
            <w:r>
              <w:rPr>
                <w:rFonts w:hint="eastAsia"/>
                <w:b w:val="0"/>
                <w:bCs w:val="0"/>
                <w:color w:val="auto"/>
                <w:sz w:val="21"/>
                <w:szCs w:val="21"/>
                <w:lang w:val="en-US" w:eastAsia="zh-CN"/>
              </w:rPr>
              <w:t>无资料</w:t>
            </w:r>
          </w:p>
        </w:tc>
      </w:tr>
      <w:tr w14:paraId="3CA7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548" w:type="dxa"/>
            <w:vMerge w:val="continue"/>
            <w:noWrap w:val="0"/>
            <w:textDirection w:val="tbRlV"/>
            <w:vAlign w:val="center"/>
          </w:tcPr>
          <w:p w14:paraId="1AB63C90">
            <w:pPr>
              <w:spacing w:line="280" w:lineRule="exact"/>
              <w:ind w:left="113" w:right="113"/>
              <w:jc w:val="center"/>
              <w:rPr>
                <w:rFonts w:hint="eastAsia"/>
                <w:b w:val="0"/>
                <w:bCs w:val="0"/>
                <w:color w:val="auto"/>
                <w:sz w:val="21"/>
                <w:szCs w:val="21"/>
              </w:rPr>
            </w:pPr>
          </w:p>
        </w:tc>
        <w:tc>
          <w:tcPr>
            <w:tcW w:w="1900" w:type="dxa"/>
            <w:noWrap w:val="0"/>
            <w:vAlign w:val="center"/>
          </w:tcPr>
          <w:p w14:paraId="53E5F0FD">
            <w:pPr>
              <w:spacing w:line="280" w:lineRule="exact"/>
              <w:rPr>
                <w:rFonts w:hint="eastAsia"/>
                <w:b w:val="0"/>
                <w:bCs w:val="0"/>
                <w:color w:val="auto"/>
                <w:sz w:val="21"/>
                <w:szCs w:val="21"/>
              </w:rPr>
            </w:pPr>
            <w:r>
              <w:rPr>
                <w:rFonts w:hint="eastAsia"/>
                <w:b w:val="0"/>
                <w:bCs w:val="0"/>
                <w:color w:val="auto"/>
                <w:sz w:val="21"/>
                <w:szCs w:val="21"/>
              </w:rPr>
              <w:t>溶解性：</w:t>
            </w:r>
          </w:p>
        </w:tc>
        <w:tc>
          <w:tcPr>
            <w:tcW w:w="6776" w:type="dxa"/>
            <w:noWrap w:val="0"/>
            <w:vAlign w:val="center"/>
          </w:tcPr>
          <w:p w14:paraId="63D4849F">
            <w:pPr>
              <w:spacing w:line="280" w:lineRule="exact"/>
              <w:rPr>
                <w:rFonts w:hint="eastAsia"/>
                <w:b w:val="0"/>
                <w:bCs w:val="0"/>
                <w:color w:val="auto"/>
                <w:sz w:val="21"/>
                <w:szCs w:val="21"/>
              </w:rPr>
            </w:pPr>
            <w:r>
              <w:rPr>
                <w:rFonts w:hint="eastAsia"/>
                <w:b w:val="0"/>
                <w:bCs w:val="0"/>
                <w:color w:val="auto"/>
                <w:sz w:val="21"/>
                <w:szCs w:val="21"/>
              </w:rPr>
              <w:t>微溶于水，溶于盐酸、硝酸、氢氟酸、氯化铵。</w:t>
            </w:r>
          </w:p>
        </w:tc>
      </w:tr>
      <w:tr w14:paraId="29D4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restart"/>
            <w:noWrap w:val="0"/>
            <w:textDirection w:val="tbRlV"/>
            <w:vAlign w:val="center"/>
          </w:tcPr>
          <w:p w14:paraId="1C9E854C">
            <w:pPr>
              <w:spacing w:line="280" w:lineRule="exact"/>
              <w:ind w:left="113" w:right="113"/>
              <w:jc w:val="center"/>
              <w:rPr>
                <w:rFonts w:hint="eastAsia"/>
                <w:b w:val="0"/>
                <w:bCs w:val="0"/>
                <w:color w:val="auto"/>
                <w:sz w:val="21"/>
                <w:szCs w:val="21"/>
              </w:rPr>
            </w:pPr>
            <w:r>
              <w:rPr>
                <w:rFonts w:hint="eastAsia"/>
                <w:b w:val="0"/>
                <w:bCs w:val="0"/>
                <w:color w:val="auto"/>
                <w:sz w:val="21"/>
                <w:szCs w:val="21"/>
              </w:rPr>
              <w:t>燃烧爆炸危险性</w:t>
            </w:r>
          </w:p>
        </w:tc>
        <w:tc>
          <w:tcPr>
            <w:tcW w:w="1900" w:type="dxa"/>
            <w:noWrap w:val="0"/>
            <w:vAlign w:val="center"/>
          </w:tcPr>
          <w:p w14:paraId="3D11AB59">
            <w:pPr>
              <w:spacing w:line="280" w:lineRule="exact"/>
              <w:rPr>
                <w:rFonts w:hint="eastAsia"/>
                <w:b w:val="0"/>
                <w:bCs w:val="0"/>
                <w:color w:val="auto"/>
                <w:sz w:val="21"/>
                <w:szCs w:val="21"/>
              </w:rPr>
            </w:pPr>
            <w:r>
              <w:rPr>
                <w:rFonts w:hint="eastAsia"/>
                <w:b w:val="0"/>
                <w:bCs w:val="0"/>
                <w:color w:val="auto"/>
                <w:sz w:val="21"/>
                <w:szCs w:val="21"/>
              </w:rPr>
              <w:t>避免接触的条件：</w:t>
            </w:r>
          </w:p>
        </w:tc>
        <w:tc>
          <w:tcPr>
            <w:tcW w:w="6776" w:type="dxa"/>
            <w:noWrap w:val="0"/>
            <w:vAlign w:val="center"/>
          </w:tcPr>
          <w:p w14:paraId="7EF81D0C">
            <w:pPr>
              <w:spacing w:line="280" w:lineRule="exact"/>
              <w:rPr>
                <w:rFonts w:hint="default" w:eastAsia="宋体"/>
                <w:b w:val="0"/>
                <w:bCs w:val="0"/>
                <w:color w:val="auto"/>
                <w:sz w:val="21"/>
                <w:szCs w:val="21"/>
                <w:lang w:val="en-US" w:eastAsia="zh-CN"/>
              </w:rPr>
            </w:pPr>
            <w:r>
              <w:rPr>
                <w:rFonts w:hint="eastAsia"/>
                <w:b w:val="0"/>
                <w:bCs w:val="0"/>
                <w:color w:val="auto"/>
                <w:sz w:val="21"/>
                <w:szCs w:val="21"/>
                <w:lang w:val="en-US" w:eastAsia="zh-CN"/>
              </w:rPr>
              <w:t>静电放电、热、潮湿等</w:t>
            </w:r>
          </w:p>
        </w:tc>
      </w:tr>
      <w:tr w14:paraId="598F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093AC46E">
            <w:pPr>
              <w:spacing w:line="280" w:lineRule="exact"/>
              <w:ind w:left="113" w:right="113"/>
              <w:jc w:val="center"/>
              <w:rPr>
                <w:rFonts w:hint="eastAsia"/>
                <w:b w:val="0"/>
                <w:bCs w:val="0"/>
                <w:color w:val="auto"/>
                <w:sz w:val="21"/>
                <w:szCs w:val="21"/>
              </w:rPr>
            </w:pPr>
          </w:p>
        </w:tc>
        <w:tc>
          <w:tcPr>
            <w:tcW w:w="1900" w:type="dxa"/>
            <w:noWrap w:val="0"/>
            <w:vAlign w:val="center"/>
          </w:tcPr>
          <w:p w14:paraId="78CFD0F4">
            <w:pPr>
              <w:spacing w:line="280" w:lineRule="exact"/>
              <w:rPr>
                <w:rFonts w:hint="eastAsia"/>
                <w:b w:val="0"/>
                <w:bCs w:val="0"/>
                <w:color w:val="auto"/>
                <w:sz w:val="21"/>
                <w:szCs w:val="21"/>
              </w:rPr>
            </w:pPr>
            <w:r>
              <w:rPr>
                <w:rFonts w:hint="eastAsia"/>
                <w:b w:val="0"/>
                <w:bCs w:val="0"/>
                <w:color w:val="auto"/>
                <w:sz w:val="21"/>
                <w:szCs w:val="21"/>
              </w:rPr>
              <w:t>燃烧性：</w:t>
            </w:r>
          </w:p>
        </w:tc>
        <w:tc>
          <w:tcPr>
            <w:tcW w:w="6776" w:type="dxa"/>
            <w:noWrap w:val="0"/>
            <w:vAlign w:val="center"/>
          </w:tcPr>
          <w:p w14:paraId="771C9465">
            <w:pPr>
              <w:spacing w:line="280" w:lineRule="exact"/>
              <w:rPr>
                <w:rFonts w:hint="eastAsia"/>
                <w:b w:val="0"/>
                <w:bCs w:val="0"/>
                <w:color w:val="auto"/>
                <w:sz w:val="21"/>
                <w:szCs w:val="21"/>
              </w:rPr>
            </w:pPr>
            <w:r>
              <w:rPr>
                <w:rFonts w:hint="eastAsia"/>
                <w:b w:val="0"/>
                <w:bCs w:val="0"/>
                <w:color w:val="auto"/>
                <w:sz w:val="21"/>
                <w:szCs w:val="21"/>
              </w:rPr>
              <w:t>不燃</w:t>
            </w:r>
          </w:p>
        </w:tc>
      </w:tr>
      <w:tr w14:paraId="3C3D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2C5E3D4D">
            <w:pPr>
              <w:spacing w:line="280" w:lineRule="exact"/>
              <w:ind w:left="113" w:right="113"/>
              <w:jc w:val="center"/>
              <w:rPr>
                <w:rFonts w:hint="eastAsia"/>
                <w:b w:val="0"/>
                <w:bCs w:val="0"/>
                <w:color w:val="auto"/>
                <w:sz w:val="21"/>
                <w:szCs w:val="21"/>
              </w:rPr>
            </w:pPr>
          </w:p>
        </w:tc>
        <w:tc>
          <w:tcPr>
            <w:tcW w:w="1900" w:type="dxa"/>
            <w:noWrap w:val="0"/>
            <w:vAlign w:val="center"/>
          </w:tcPr>
          <w:p w14:paraId="1161A2F5">
            <w:pPr>
              <w:spacing w:line="280" w:lineRule="exact"/>
              <w:rPr>
                <w:rFonts w:hint="eastAsia"/>
                <w:b w:val="0"/>
                <w:bCs w:val="0"/>
                <w:color w:val="auto"/>
                <w:sz w:val="21"/>
                <w:szCs w:val="21"/>
              </w:rPr>
            </w:pPr>
            <w:r>
              <w:rPr>
                <w:rFonts w:hint="eastAsia"/>
                <w:b w:val="0"/>
                <w:bCs w:val="0"/>
                <w:color w:val="auto"/>
                <w:sz w:val="21"/>
                <w:szCs w:val="21"/>
              </w:rPr>
              <w:t>危险特性：</w:t>
            </w:r>
          </w:p>
        </w:tc>
        <w:tc>
          <w:tcPr>
            <w:tcW w:w="6776" w:type="dxa"/>
            <w:noWrap w:val="0"/>
            <w:vAlign w:val="center"/>
          </w:tcPr>
          <w:p w14:paraId="57701434">
            <w:pPr>
              <w:rPr>
                <w:rFonts w:hint="eastAsia"/>
                <w:b w:val="0"/>
                <w:bCs w:val="0"/>
                <w:color w:val="auto"/>
                <w:sz w:val="21"/>
                <w:szCs w:val="21"/>
              </w:rPr>
            </w:pPr>
            <w:r>
              <w:rPr>
                <w:rFonts w:hint="eastAsia"/>
                <w:b w:val="0"/>
                <w:bCs w:val="0"/>
                <w:color w:val="auto"/>
                <w:sz w:val="21"/>
                <w:szCs w:val="21"/>
              </w:rPr>
              <w:t>本身不能燃烧。受高热分解放出有毒的气体。</w:t>
            </w:r>
          </w:p>
        </w:tc>
      </w:tr>
      <w:tr w14:paraId="2B88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4EC07EE1">
            <w:pPr>
              <w:spacing w:line="280" w:lineRule="exact"/>
              <w:ind w:left="113" w:right="113"/>
              <w:jc w:val="center"/>
              <w:rPr>
                <w:rFonts w:hint="eastAsia"/>
                <w:b w:val="0"/>
                <w:bCs w:val="0"/>
                <w:color w:val="auto"/>
                <w:sz w:val="21"/>
                <w:szCs w:val="21"/>
              </w:rPr>
            </w:pPr>
          </w:p>
        </w:tc>
        <w:tc>
          <w:tcPr>
            <w:tcW w:w="1900" w:type="dxa"/>
            <w:noWrap w:val="0"/>
            <w:vAlign w:val="center"/>
          </w:tcPr>
          <w:p w14:paraId="376A4F61">
            <w:pPr>
              <w:spacing w:line="280" w:lineRule="exact"/>
              <w:rPr>
                <w:rFonts w:hint="eastAsia"/>
                <w:b w:val="0"/>
                <w:bCs w:val="0"/>
                <w:color w:val="auto"/>
                <w:sz w:val="21"/>
                <w:szCs w:val="21"/>
              </w:rPr>
            </w:pPr>
            <w:r>
              <w:rPr>
                <w:rFonts w:hint="eastAsia"/>
                <w:b w:val="0"/>
                <w:bCs w:val="0"/>
                <w:color w:val="auto"/>
                <w:sz w:val="21"/>
                <w:szCs w:val="21"/>
              </w:rPr>
              <w:t>燃烧(分解)产物：</w:t>
            </w:r>
          </w:p>
        </w:tc>
        <w:tc>
          <w:tcPr>
            <w:tcW w:w="6776" w:type="dxa"/>
            <w:noWrap w:val="0"/>
            <w:vAlign w:val="center"/>
          </w:tcPr>
          <w:p w14:paraId="12833304">
            <w:pPr>
              <w:spacing w:line="280" w:lineRule="exact"/>
              <w:rPr>
                <w:rFonts w:hint="eastAsia"/>
                <w:b w:val="0"/>
                <w:bCs w:val="0"/>
                <w:color w:val="auto"/>
                <w:sz w:val="21"/>
                <w:szCs w:val="21"/>
              </w:rPr>
            </w:pPr>
            <w:r>
              <w:rPr>
                <w:rFonts w:hint="eastAsia"/>
                <w:b w:val="0"/>
                <w:bCs w:val="0"/>
                <w:color w:val="auto"/>
                <w:sz w:val="21"/>
                <w:szCs w:val="21"/>
              </w:rPr>
              <w:t>氧化钡、氟化氢。              稳定性：稳定</w:t>
            </w:r>
          </w:p>
        </w:tc>
      </w:tr>
      <w:tr w14:paraId="2A75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245242E7">
            <w:pPr>
              <w:spacing w:line="280" w:lineRule="exact"/>
              <w:ind w:left="113" w:right="113"/>
              <w:jc w:val="center"/>
              <w:rPr>
                <w:rFonts w:hint="eastAsia"/>
                <w:b w:val="0"/>
                <w:bCs w:val="0"/>
                <w:color w:val="auto"/>
                <w:sz w:val="21"/>
                <w:szCs w:val="21"/>
              </w:rPr>
            </w:pPr>
          </w:p>
        </w:tc>
        <w:tc>
          <w:tcPr>
            <w:tcW w:w="1900" w:type="dxa"/>
            <w:noWrap w:val="0"/>
            <w:vAlign w:val="center"/>
          </w:tcPr>
          <w:p w14:paraId="205C546D">
            <w:pPr>
              <w:spacing w:line="280" w:lineRule="exact"/>
              <w:rPr>
                <w:rFonts w:hint="eastAsia"/>
                <w:b w:val="0"/>
                <w:bCs w:val="0"/>
                <w:color w:val="auto"/>
                <w:sz w:val="21"/>
                <w:szCs w:val="21"/>
              </w:rPr>
            </w:pPr>
            <w:r>
              <w:rPr>
                <w:rFonts w:hint="eastAsia"/>
                <w:b w:val="0"/>
                <w:bCs w:val="0"/>
                <w:color w:val="auto"/>
                <w:sz w:val="21"/>
                <w:szCs w:val="21"/>
              </w:rPr>
              <w:t>聚合危害：</w:t>
            </w:r>
          </w:p>
        </w:tc>
        <w:tc>
          <w:tcPr>
            <w:tcW w:w="6776" w:type="dxa"/>
            <w:noWrap w:val="0"/>
            <w:vAlign w:val="center"/>
          </w:tcPr>
          <w:p w14:paraId="62F61A2D">
            <w:pPr>
              <w:spacing w:line="280" w:lineRule="exact"/>
              <w:rPr>
                <w:rFonts w:hint="eastAsia"/>
                <w:b w:val="0"/>
                <w:bCs w:val="0"/>
                <w:color w:val="auto"/>
                <w:sz w:val="21"/>
                <w:szCs w:val="21"/>
              </w:rPr>
            </w:pPr>
            <w:r>
              <w:rPr>
                <w:rFonts w:hint="eastAsia"/>
                <w:b w:val="0"/>
                <w:bCs w:val="0"/>
                <w:color w:val="auto"/>
                <w:sz w:val="21"/>
                <w:szCs w:val="21"/>
              </w:rPr>
              <w:t>不能出现             禁忌物：强酸</w:t>
            </w:r>
            <w:r>
              <w:rPr>
                <w:rFonts w:hint="eastAsia"/>
                <w:b w:val="0"/>
                <w:bCs w:val="0"/>
                <w:color w:val="auto"/>
                <w:sz w:val="21"/>
                <w:szCs w:val="21"/>
                <w:lang w:eastAsia="zh-CN"/>
              </w:rPr>
              <w:t>、</w:t>
            </w:r>
            <w:r>
              <w:rPr>
                <w:rFonts w:hint="eastAsia"/>
                <w:b w:val="0"/>
                <w:bCs w:val="0"/>
                <w:color w:val="auto"/>
                <w:sz w:val="21"/>
                <w:szCs w:val="21"/>
                <w:lang w:val="en-US" w:eastAsia="zh-CN"/>
              </w:rPr>
              <w:t>强碱</w:t>
            </w:r>
            <w:r>
              <w:rPr>
                <w:rFonts w:hint="eastAsia"/>
                <w:b w:val="0"/>
                <w:bCs w:val="0"/>
                <w:color w:val="auto"/>
                <w:sz w:val="21"/>
                <w:szCs w:val="21"/>
              </w:rPr>
              <w:t>。</w:t>
            </w:r>
          </w:p>
        </w:tc>
      </w:tr>
      <w:tr w14:paraId="398F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706330C8">
            <w:pPr>
              <w:spacing w:line="280" w:lineRule="exact"/>
              <w:ind w:left="113" w:right="113"/>
              <w:jc w:val="center"/>
              <w:rPr>
                <w:rFonts w:hint="eastAsia"/>
                <w:b w:val="0"/>
                <w:bCs w:val="0"/>
                <w:color w:val="auto"/>
                <w:sz w:val="21"/>
                <w:szCs w:val="21"/>
              </w:rPr>
            </w:pPr>
          </w:p>
        </w:tc>
        <w:tc>
          <w:tcPr>
            <w:tcW w:w="1900" w:type="dxa"/>
            <w:noWrap w:val="0"/>
            <w:vAlign w:val="center"/>
          </w:tcPr>
          <w:p w14:paraId="6CCFB9DB">
            <w:pPr>
              <w:spacing w:line="280" w:lineRule="exact"/>
              <w:rPr>
                <w:rFonts w:hint="eastAsia"/>
                <w:b w:val="0"/>
                <w:bCs w:val="0"/>
                <w:color w:val="auto"/>
                <w:sz w:val="21"/>
                <w:szCs w:val="21"/>
              </w:rPr>
            </w:pPr>
            <w:r>
              <w:rPr>
                <w:rFonts w:hint="eastAsia"/>
                <w:b w:val="0"/>
                <w:bCs w:val="0"/>
                <w:color w:val="auto"/>
                <w:sz w:val="21"/>
                <w:szCs w:val="21"/>
              </w:rPr>
              <w:t>灭火方法：</w:t>
            </w:r>
          </w:p>
        </w:tc>
        <w:tc>
          <w:tcPr>
            <w:tcW w:w="6776" w:type="dxa"/>
            <w:noWrap w:val="0"/>
            <w:vAlign w:val="center"/>
          </w:tcPr>
          <w:p w14:paraId="54FB459B">
            <w:pPr>
              <w:spacing w:line="280" w:lineRule="exact"/>
              <w:rPr>
                <w:rFonts w:hint="eastAsia"/>
                <w:b w:val="0"/>
                <w:bCs w:val="0"/>
                <w:color w:val="auto"/>
                <w:sz w:val="21"/>
                <w:szCs w:val="21"/>
              </w:rPr>
            </w:pPr>
            <w:r>
              <w:rPr>
                <w:rFonts w:hint="eastAsia"/>
                <w:b w:val="0"/>
                <w:bCs w:val="0"/>
                <w:color w:val="auto"/>
                <w:sz w:val="21"/>
                <w:szCs w:val="21"/>
              </w:rPr>
              <w:t>不燃。火场周围可用的灭火介质。</w:t>
            </w:r>
          </w:p>
        </w:tc>
      </w:tr>
      <w:tr w14:paraId="5530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548" w:type="dxa"/>
            <w:vMerge w:val="restart"/>
            <w:noWrap w:val="0"/>
            <w:textDirection w:val="tbRlV"/>
            <w:vAlign w:val="center"/>
          </w:tcPr>
          <w:p w14:paraId="28DEC8EA">
            <w:pPr>
              <w:spacing w:line="280" w:lineRule="exact"/>
              <w:ind w:left="113" w:right="113"/>
              <w:jc w:val="center"/>
              <w:rPr>
                <w:rFonts w:hint="eastAsia"/>
                <w:b w:val="0"/>
                <w:bCs w:val="0"/>
                <w:color w:val="auto"/>
                <w:sz w:val="21"/>
                <w:szCs w:val="21"/>
              </w:rPr>
            </w:pPr>
            <w:r>
              <w:rPr>
                <w:rFonts w:hint="eastAsia"/>
                <w:b w:val="0"/>
                <w:bCs w:val="0"/>
                <w:color w:val="auto"/>
                <w:sz w:val="21"/>
                <w:szCs w:val="21"/>
              </w:rPr>
              <w:t>包装与储运</w:t>
            </w:r>
          </w:p>
        </w:tc>
        <w:tc>
          <w:tcPr>
            <w:tcW w:w="1900" w:type="dxa"/>
            <w:noWrap w:val="0"/>
            <w:vAlign w:val="center"/>
          </w:tcPr>
          <w:p w14:paraId="4441D54A">
            <w:pPr>
              <w:spacing w:line="280" w:lineRule="exact"/>
              <w:rPr>
                <w:rFonts w:hint="eastAsia"/>
                <w:b w:val="0"/>
                <w:bCs w:val="0"/>
                <w:color w:val="auto"/>
                <w:sz w:val="21"/>
                <w:szCs w:val="21"/>
              </w:rPr>
            </w:pPr>
            <w:r>
              <w:rPr>
                <w:rFonts w:hint="eastAsia"/>
                <w:b w:val="0"/>
                <w:bCs w:val="0"/>
                <w:color w:val="auto"/>
                <w:sz w:val="21"/>
                <w:szCs w:val="21"/>
              </w:rPr>
              <w:t>危险性类别：</w:t>
            </w:r>
          </w:p>
        </w:tc>
        <w:tc>
          <w:tcPr>
            <w:tcW w:w="6776" w:type="dxa"/>
            <w:noWrap w:val="0"/>
            <w:vAlign w:val="center"/>
          </w:tcPr>
          <w:p w14:paraId="76D9ECEA">
            <w:pPr>
              <w:spacing w:line="280" w:lineRule="exact"/>
              <w:rPr>
                <w:rFonts w:hint="eastAsia"/>
                <w:b w:val="0"/>
                <w:bCs w:val="0"/>
                <w:color w:val="auto"/>
                <w:sz w:val="21"/>
                <w:szCs w:val="21"/>
              </w:rPr>
            </w:pPr>
            <w:r>
              <w:rPr>
                <w:rFonts w:hint="eastAsia"/>
                <w:b w:val="0"/>
                <w:bCs w:val="0"/>
                <w:color w:val="auto"/>
                <w:sz w:val="21"/>
                <w:szCs w:val="21"/>
              </w:rPr>
              <w:t>第6．1类  毒害品   包装类别： Ⅱ</w:t>
            </w:r>
          </w:p>
        </w:tc>
      </w:tr>
      <w:tr w14:paraId="51F1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trPr>
        <w:tc>
          <w:tcPr>
            <w:tcW w:w="548" w:type="dxa"/>
            <w:vMerge w:val="continue"/>
            <w:noWrap w:val="0"/>
            <w:textDirection w:val="tbRlV"/>
            <w:vAlign w:val="center"/>
          </w:tcPr>
          <w:p w14:paraId="1BF3CAAF">
            <w:pPr>
              <w:spacing w:line="280" w:lineRule="exact"/>
              <w:ind w:left="113" w:right="113"/>
              <w:jc w:val="center"/>
              <w:rPr>
                <w:rFonts w:hint="eastAsia"/>
                <w:b w:val="0"/>
                <w:bCs w:val="0"/>
                <w:color w:val="auto"/>
                <w:sz w:val="21"/>
                <w:szCs w:val="21"/>
              </w:rPr>
            </w:pPr>
          </w:p>
        </w:tc>
        <w:tc>
          <w:tcPr>
            <w:tcW w:w="1900" w:type="dxa"/>
            <w:noWrap w:val="0"/>
            <w:vAlign w:val="center"/>
          </w:tcPr>
          <w:p w14:paraId="29B14533">
            <w:pPr>
              <w:spacing w:line="280" w:lineRule="exact"/>
              <w:rPr>
                <w:rFonts w:hint="eastAsia"/>
                <w:b w:val="0"/>
                <w:bCs w:val="0"/>
                <w:color w:val="auto"/>
                <w:sz w:val="21"/>
                <w:szCs w:val="21"/>
              </w:rPr>
            </w:pPr>
            <w:r>
              <w:rPr>
                <w:rFonts w:hint="eastAsia"/>
                <w:b w:val="0"/>
                <w:bCs w:val="0"/>
                <w:color w:val="auto"/>
                <w:sz w:val="21"/>
                <w:szCs w:val="21"/>
              </w:rPr>
              <w:t>储运注意事项：</w:t>
            </w:r>
          </w:p>
        </w:tc>
        <w:tc>
          <w:tcPr>
            <w:tcW w:w="6776" w:type="dxa"/>
            <w:noWrap w:val="0"/>
            <w:vAlign w:val="center"/>
          </w:tcPr>
          <w:p w14:paraId="0EFFD4CD">
            <w:pPr>
              <w:spacing w:line="280" w:lineRule="exact"/>
              <w:rPr>
                <w:rFonts w:hint="eastAsia"/>
                <w:b w:val="0"/>
                <w:bCs w:val="0"/>
                <w:color w:val="auto"/>
                <w:sz w:val="21"/>
                <w:szCs w:val="21"/>
              </w:rPr>
            </w:pPr>
            <w:r>
              <w:rPr>
                <w:rFonts w:hint="eastAsia"/>
                <w:b w:val="0"/>
                <w:bCs w:val="0"/>
                <w:color w:val="auto"/>
                <w:sz w:val="21"/>
                <w:szCs w:val="21"/>
              </w:rPr>
              <w:t>储存于阴凉、通风的库房。远离火种、热源。防止阳光直射。包装密封。应与碱类、酸类、食用化学品分开存放，切忌混储。储区应备有合适的材料收容泄漏物。</w:t>
            </w:r>
          </w:p>
        </w:tc>
      </w:tr>
      <w:tr w14:paraId="0216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548" w:type="dxa"/>
            <w:vMerge w:val="restart"/>
            <w:noWrap w:val="0"/>
            <w:textDirection w:val="tbRlV"/>
            <w:vAlign w:val="center"/>
          </w:tcPr>
          <w:p w14:paraId="2B112CFD">
            <w:pPr>
              <w:spacing w:line="280" w:lineRule="exact"/>
              <w:ind w:left="113" w:right="113"/>
              <w:jc w:val="center"/>
              <w:rPr>
                <w:rFonts w:hint="eastAsia"/>
                <w:b w:val="0"/>
                <w:bCs w:val="0"/>
                <w:color w:val="auto"/>
                <w:sz w:val="21"/>
                <w:szCs w:val="21"/>
              </w:rPr>
            </w:pPr>
            <w:r>
              <w:rPr>
                <w:rFonts w:hint="eastAsia"/>
                <w:b w:val="0"/>
                <w:bCs w:val="0"/>
                <w:color w:val="auto"/>
                <w:sz w:val="21"/>
                <w:szCs w:val="21"/>
              </w:rPr>
              <w:t>毒性危害</w:t>
            </w:r>
          </w:p>
        </w:tc>
        <w:tc>
          <w:tcPr>
            <w:tcW w:w="1900" w:type="dxa"/>
            <w:noWrap w:val="0"/>
            <w:vAlign w:val="center"/>
          </w:tcPr>
          <w:p w14:paraId="0D8EC0FC">
            <w:pPr>
              <w:spacing w:line="280" w:lineRule="exact"/>
              <w:rPr>
                <w:rFonts w:hint="eastAsia"/>
                <w:b w:val="0"/>
                <w:bCs w:val="0"/>
                <w:color w:val="auto"/>
                <w:sz w:val="21"/>
                <w:szCs w:val="21"/>
              </w:rPr>
            </w:pPr>
            <w:r>
              <w:rPr>
                <w:rFonts w:hint="eastAsia"/>
                <w:b w:val="0"/>
                <w:bCs w:val="0"/>
                <w:color w:val="auto"/>
                <w:sz w:val="21"/>
                <w:szCs w:val="21"/>
              </w:rPr>
              <w:t>接触限值：</w:t>
            </w:r>
          </w:p>
        </w:tc>
        <w:tc>
          <w:tcPr>
            <w:tcW w:w="6776" w:type="dxa"/>
            <w:noWrap w:val="0"/>
            <w:vAlign w:val="center"/>
          </w:tcPr>
          <w:p w14:paraId="6278BC47">
            <w:pPr>
              <w:rPr>
                <w:rFonts w:hint="eastAsia"/>
                <w:b w:val="0"/>
                <w:bCs w:val="0"/>
                <w:color w:val="auto"/>
                <w:sz w:val="21"/>
                <w:szCs w:val="21"/>
              </w:rPr>
            </w:pPr>
            <w:r>
              <w:rPr>
                <w:rFonts w:hint="eastAsia"/>
                <w:b w:val="0"/>
                <w:bCs w:val="0"/>
                <w:color w:val="auto"/>
                <w:sz w:val="21"/>
                <w:szCs w:val="21"/>
              </w:rPr>
              <w:t>中国MAC：lmg[F]/m</w:t>
            </w:r>
            <w:r>
              <w:rPr>
                <w:rFonts w:hint="eastAsia"/>
                <w:b w:val="0"/>
                <w:bCs w:val="0"/>
                <w:color w:val="auto"/>
                <w:sz w:val="21"/>
                <w:szCs w:val="21"/>
                <w:vertAlign w:val="superscript"/>
              </w:rPr>
              <w:t>3</w:t>
            </w:r>
            <w:r>
              <w:rPr>
                <w:rFonts w:hint="eastAsia"/>
                <w:b w:val="0"/>
                <w:bCs w:val="0"/>
                <w:color w:val="auto"/>
                <w:sz w:val="21"/>
                <w:szCs w:val="21"/>
              </w:rPr>
              <w:t>；苏联MAC：</w:t>
            </w:r>
            <w:r>
              <w:rPr>
                <w:rFonts w:hint="eastAsia"/>
                <w:b w:val="0"/>
                <w:bCs w:val="0"/>
                <w:color w:val="auto"/>
                <w:sz w:val="21"/>
                <w:szCs w:val="21"/>
                <w:lang w:val="en-US" w:eastAsia="zh-CN"/>
              </w:rPr>
              <w:t>0.1</w:t>
            </w:r>
            <w:r>
              <w:rPr>
                <w:rFonts w:hint="eastAsia"/>
                <w:b w:val="0"/>
                <w:bCs w:val="0"/>
                <w:color w:val="auto"/>
                <w:sz w:val="21"/>
                <w:szCs w:val="21"/>
              </w:rPr>
              <w:t>；</w:t>
            </w:r>
          </w:p>
          <w:p w14:paraId="0C054953">
            <w:pPr>
              <w:spacing w:line="280" w:lineRule="exact"/>
              <w:rPr>
                <w:rFonts w:hint="eastAsia"/>
                <w:b w:val="0"/>
                <w:bCs w:val="0"/>
                <w:color w:val="auto"/>
                <w:sz w:val="21"/>
                <w:szCs w:val="21"/>
              </w:rPr>
            </w:pPr>
            <w:r>
              <w:rPr>
                <w:rFonts w:hint="eastAsia"/>
                <w:b w:val="0"/>
                <w:bCs w:val="0"/>
                <w:color w:val="auto"/>
                <w:sz w:val="21"/>
                <w:szCs w:val="21"/>
              </w:rPr>
              <w:t xml:space="preserve">美国TWA：OSHA </w:t>
            </w:r>
            <w:r>
              <w:rPr>
                <w:rFonts w:hint="eastAsia"/>
                <w:b w:val="0"/>
                <w:bCs w:val="0"/>
                <w:color w:val="auto"/>
                <w:sz w:val="21"/>
                <w:szCs w:val="21"/>
                <w:lang w:val="en-US" w:eastAsia="zh-CN"/>
              </w:rPr>
              <w:t>0</w:t>
            </w:r>
            <w:r>
              <w:rPr>
                <w:rFonts w:hint="eastAsia"/>
                <w:b w:val="0"/>
                <w:bCs w:val="0"/>
                <w:color w:val="auto"/>
                <w:sz w:val="21"/>
                <w:szCs w:val="21"/>
              </w:rPr>
              <w:t>.5mg[F]/m3；ACGIH 2.5mg[F]/m</w:t>
            </w:r>
            <w:r>
              <w:rPr>
                <w:rFonts w:hint="eastAsia"/>
                <w:b w:val="0"/>
                <w:bCs w:val="0"/>
                <w:color w:val="auto"/>
                <w:sz w:val="21"/>
                <w:szCs w:val="21"/>
                <w:vertAlign w:val="superscript"/>
              </w:rPr>
              <w:t>3</w:t>
            </w:r>
            <w:r>
              <w:rPr>
                <w:rFonts w:hint="eastAsia"/>
                <w:b w:val="0"/>
                <w:bCs w:val="0"/>
                <w:color w:val="auto"/>
                <w:sz w:val="21"/>
                <w:szCs w:val="21"/>
              </w:rPr>
              <w:t>；美国STEL：未制定标准</w:t>
            </w:r>
          </w:p>
        </w:tc>
      </w:tr>
      <w:tr w14:paraId="17C0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548" w:type="dxa"/>
            <w:vMerge w:val="continue"/>
            <w:noWrap w:val="0"/>
            <w:textDirection w:val="tbRlV"/>
            <w:vAlign w:val="center"/>
          </w:tcPr>
          <w:p w14:paraId="14D04410">
            <w:pPr>
              <w:spacing w:line="280" w:lineRule="exact"/>
              <w:ind w:left="113" w:right="113"/>
              <w:jc w:val="center"/>
              <w:rPr>
                <w:rFonts w:hint="eastAsia"/>
                <w:b w:val="0"/>
                <w:bCs w:val="0"/>
                <w:color w:val="auto"/>
                <w:sz w:val="21"/>
                <w:szCs w:val="21"/>
              </w:rPr>
            </w:pPr>
          </w:p>
        </w:tc>
        <w:tc>
          <w:tcPr>
            <w:tcW w:w="1900" w:type="dxa"/>
            <w:noWrap w:val="0"/>
            <w:vAlign w:val="center"/>
          </w:tcPr>
          <w:p w14:paraId="778F5B5C">
            <w:pPr>
              <w:spacing w:line="280" w:lineRule="exact"/>
              <w:rPr>
                <w:rFonts w:hint="eastAsia"/>
                <w:b w:val="0"/>
                <w:bCs w:val="0"/>
                <w:color w:val="auto"/>
                <w:sz w:val="21"/>
                <w:szCs w:val="21"/>
              </w:rPr>
            </w:pPr>
            <w:r>
              <w:rPr>
                <w:rFonts w:hint="eastAsia"/>
                <w:b w:val="0"/>
                <w:bCs w:val="0"/>
                <w:color w:val="auto"/>
                <w:sz w:val="21"/>
                <w:szCs w:val="21"/>
              </w:rPr>
              <w:t>侵入途径：</w:t>
            </w:r>
          </w:p>
        </w:tc>
        <w:tc>
          <w:tcPr>
            <w:tcW w:w="6776" w:type="dxa"/>
            <w:noWrap w:val="0"/>
            <w:vAlign w:val="center"/>
          </w:tcPr>
          <w:p w14:paraId="53441691">
            <w:pPr>
              <w:spacing w:line="280" w:lineRule="exact"/>
              <w:rPr>
                <w:rFonts w:hint="eastAsia"/>
                <w:b w:val="0"/>
                <w:bCs w:val="0"/>
                <w:color w:val="auto"/>
                <w:sz w:val="21"/>
                <w:szCs w:val="21"/>
              </w:rPr>
            </w:pPr>
            <w:r>
              <w:rPr>
                <w:rFonts w:hint="eastAsia"/>
                <w:b w:val="0"/>
                <w:bCs w:val="0"/>
                <w:color w:val="auto"/>
                <w:sz w:val="21"/>
                <w:szCs w:val="21"/>
              </w:rPr>
              <w:t>吸入  食入</w:t>
            </w:r>
          </w:p>
        </w:tc>
      </w:tr>
      <w:tr w14:paraId="75CF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548" w:type="dxa"/>
            <w:vMerge w:val="continue"/>
            <w:noWrap w:val="0"/>
            <w:textDirection w:val="tbRlV"/>
            <w:vAlign w:val="center"/>
          </w:tcPr>
          <w:p w14:paraId="316D2A57">
            <w:pPr>
              <w:spacing w:line="280" w:lineRule="exact"/>
              <w:ind w:left="113" w:right="113"/>
              <w:jc w:val="center"/>
              <w:rPr>
                <w:rFonts w:hint="eastAsia"/>
                <w:b w:val="0"/>
                <w:bCs w:val="0"/>
                <w:color w:val="auto"/>
                <w:sz w:val="21"/>
                <w:szCs w:val="21"/>
              </w:rPr>
            </w:pPr>
          </w:p>
        </w:tc>
        <w:tc>
          <w:tcPr>
            <w:tcW w:w="1900" w:type="dxa"/>
            <w:noWrap w:val="0"/>
            <w:vAlign w:val="center"/>
          </w:tcPr>
          <w:p w14:paraId="0AD01F27">
            <w:pPr>
              <w:spacing w:line="280" w:lineRule="exact"/>
              <w:rPr>
                <w:rFonts w:hint="eastAsia"/>
                <w:b w:val="0"/>
                <w:bCs w:val="0"/>
                <w:color w:val="auto"/>
                <w:sz w:val="21"/>
                <w:szCs w:val="21"/>
              </w:rPr>
            </w:pPr>
            <w:r>
              <w:rPr>
                <w:rFonts w:hint="eastAsia"/>
                <w:b w:val="0"/>
                <w:bCs w:val="0"/>
                <w:color w:val="auto"/>
                <w:sz w:val="21"/>
                <w:szCs w:val="21"/>
              </w:rPr>
              <w:t>毒性：</w:t>
            </w:r>
          </w:p>
        </w:tc>
        <w:tc>
          <w:tcPr>
            <w:tcW w:w="6776" w:type="dxa"/>
            <w:noWrap w:val="0"/>
            <w:vAlign w:val="center"/>
          </w:tcPr>
          <w:p w14:paraId="59CAC462">
            <w:pPr>
              <w:spacing w:line="280" w:lineRule="exact"/>
              <w:rPr>
                <w:rFonts w:hint="default" w:eastAsia="宋体"/>
                <w:b w:val="0"/>
                <w:bCs w:val="0"/>
                <w:color w:val="auto"/>
                <w:sz w:val="21"/>
                <w:szCs w:val="21"/>
                <w:lang w:val="en-US" w:eastAsia="zh-CN"/>
              </w:rPr>
            </w:pPr>
            <w:r>
              <w:rPr>
                <w:rFonts w:hint="eastAsia"/>
                <w:b w:val="0"/>
                <w:bCs w:val="0"/>
                <w:color w:val="auto"/>
                <w:sz w:val="21"/>
                <w:szCs w:val="21"/>
              </w:rPr>
              <w:t>LD50：</w:t>
            </w:r>
            <w:r>
              <w:rPr>
                <w:rFonts w:hint="eastAsia"/>
                <w:b w:val="0"/>
                <w:bCs w:val="0"/>
                <w:color w:val="auto"/>
                <w:sz w:val="21"/>
                <w:szCs w:val="21"/>
                <w:lang w:val="en-US" w:eastAsia="zh-CN"/>
              </w:rPr>
              <w:t>250</w:t>
            </w:r>
            <w:r>
              <w:rPr>
                <w:rFonts w:hint="eastAsia"/>
                <w:b w:val="0"/>
                <w:bCs w:val="0"/>
                <w:color w:val="auto"/>
                <w:sz w:val="21"/>
                <w:szCs w:val="21"/>
              </w:rPr>
              <w:t>mg/kg(大鼠经口)；</w:t>
            </w:r>
            <w:r>
              <w:rPr>
                <w:rFonts w:hint="eastAsia"/>
                <w:b w:val="0"/>
                <w:bCs w:val="0"/>
                <w:color w:val="auto"/>
                <w:sz w:val="21"/>
                <w:szCs w:val="21"/>
                <w:lang w:val="en-US" w:eastAsia="zh-CN"/>
              </w:rPr>
              <w:t>LC50：/</w:t>
            </w:r>
          </w:p>
        </w:tc>
      </w:tr>
      <w:tr w14:paraId="6D367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548" w:type="dxa"/>
            <w:vMerge w:val="continue"/>
            <w:noWrap w:val="0"/>
            <w:textDirection w:val="tbRlV"/>
            <w:vAlign w:val="center"/>
          </w:tcPr>
          <w:p w14:paraId="706794F6">
            <w:pPr>
              <w:spacing w:line="280" w:lineRule="exact"/>
              <w:ind w:left="113" w:right="113"/>
              <w:jc w:val="center"/>
              <w:rPr>
                <w:rFonts w:hint="eastAsia"/>
                <w:b w:val="0"/>
                <w:bCs w:val="0"/>
                <w:color w:val="auto"/>
                <w:sz w:val="21"/>
                <w:szCs w:val="21"/>
              </w:rPr>
            </w:pPr>
          </w:p>
        </w:tc>
        <w:tc>
          <w:tcPr>
            <w:tcW w:w="1900" w:type="dxa"/>
            <w:noWrap w:val="0"/>
            <w:vAlign w:val="center"/>
          </w:tcPr>
          <w:p w14:paraId="0ABA0C30">
            <w:pPr>
              <w:spacing w:line="280" w:lineRule="exact"/>
              <w:rPr>
                <w:rFonts w:hint="eastAsia"/>
                <w:b w:val="0"/>
                <w:bCs w:val="0"/>
                <w:color w:val="auto"/>
                <w:sz w:val="21"/>
                <w:szCs w:val="21"/>
              </w:rPr>
            </w:pPr>
            <w:r>
              <w:rPr>
                <w:rFonts w:hint="eastAsia"/>
                <w:b w:val="0"/>
                <w:bCs w:val="0"/>
                <w:color w:val="auto"/>
                <w:sz w:val="21"/>
                <w:szCs w:val="21"/>
              </w:rPr>
              <w:t>健康危害：</w:t>
            </w:r>
          </w:p>
        </w:tc>
        <w:tc>
          <w:tcPr>
            <w:tcW w:w="6776" w:type="dxa"/>
            <w:noWrap w:val="0"/>
            <w:vAlign w:val="center"/>
          </w:tcPr>
          <w:p w14:paraId="693426CB">
            <w:pPr>
              <w:spacing w:line="280" w:lineRule="exact"/>
              <w:rPr>
                <w:rFonts w:hint="eastAsia"/>
                <w:b w:val="0"/>
                <w:bCs w:val="0"/>
                <w:color w:val="auto"/>
                <w:sz w:val="21"/>
                <w:szCs w:val="21"/>
              </w:rPr>
            </w:pPr>
            <w:r>
              <w:rPr>
                <w:rFonts w:hint="eastAsia"/>
                <w:b w:val="0"/>
                <w:bCs w:val="0"/>
                <w:color w:val="auto"/>
                <w:sz w:val="21"/>
                <w:szCs w:val="21"/>
              </w:rPr>
              <w:t>对眼睛、皮肤、</w:t>
            </w:r>
            <w:r>
              <w:rPr>
                <w:rFonts w:hint="eastAsia"/>
                <w:b w:val="0"/>
                <w:bCs w:val="0"/>
                <w:color w:val="auto"/>
                <w:sz w:val="21"/>
                <w:szCs w:val="21"/>
                <w:lang w:eastAsia="zh-CN"/>
              </w:rPr>
              <w:t>黏膜</w:t>
            </w:r>
            <w:r>
              <w:rPr>
                <w:rFonts w:hint="eastAsia"/>
                <w:b w:val="0"/>
                <w:bCs w:val="0"/>
                <w:color w:val="auto"/>
                <w:sz w:val="21"/>
                <w:szCs w:val="21"/>
              </w:rPr>
              <w:t>和上呼吸道有强烈刺激作用。过量接触，可引起唾液分泌增加、恶心、呕吐、腹痛、发烧、血中钙减少。慢性影响可致骨、韧带、肌腱钙化。</w:t>
            </w:r>
          </w:p>
        </w:tc>
      </w:tr>
      <w:tr w14:paraId="40EA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restart"/>
            <w:noWrap w:val="0"/>
            <w:textDirection w:val="tbRlV"/>
            <w:vAlign w:val="center"/>
          </w:tcPr>
          <w:p w14:paraId="256BACEB">
            <w:pPr>
              <w:spacing w:line="280" w:lineRule="exact"/>
              <w:ind w:left="113" w:right="113"/>
              <w:jc w:val="center"/>
              <w:rPr>
                <w:rFonts w:hint="eastAsia"/>
                <w:b w:val="0"/>
                <w:bCs w:val="0"/>
                <w:color w:val="auto"/>
                <w:sz w:val="21"/>
                <w:szCs w:val="21"/>
              </w:rPr>
            </w:pPr>
            <w:r>
              <w:rPr>
                <w:rFonts w:hint="eastAsia"/>
                <w:b w:val="0"/>
                <w:bCs w:val="0"/>
                <w:color w:val="auto"/>
                <w:sz w:val="21"/>
                <w:szCs w:val="21"/>
              </w:rPr>
              <w:t>急救</w:t>
            </w:r>
          </w:p>
        </w:tc>
        <w:tc>
          <w:tcPr>
            <w:tcW w:w="1900" w:type="dxa"/>
            <w:noWrap w:val="0"/>
            <w:vAlign w:val="center"/>
          </w:tcPr>
          <w:p w14:paraId="232447BA">
            <w:pPr>
              <w:spacing w:line="280" w:lineRule="exact"/>
              <w:rPr>
                <w:rFonts w:hint="eastAsia"/>
                <w:b w:val="0"/>
                <w:bCs w:val="0"/>
                <w:color w:val="auto"/>
                <w:sz w:val="21"/>
                <w:szCs w:val="21"/>
              </w:rPr>
            </w:pPr>
            <w:r>
              <w:rPr>
                <w:rFonts w:hint="eastAsia"/>
                <w:b w:val="0"/>
                <w:bCs w:val="0"/>
                <w:color w:val="auto"/>
                <w:sz w:val="21"/>
                <w:szCs w:val="21"/>
              </w:rPr>
              <w:t>皮肤接触：</w:t>
            </w:r>
          </w:p>
        </w:tc>
        <w:tc>
          <w:tcPr>
            <w:tcW w:w="6776" w:type="dxa"/>
            <w:noWrap w:val="0"/>
            <w:vAlign w:val="center"/>
          </w:tcPr>
          <w:p w14:paraId="22F1E7FB">
            <w:pPr>
              <w:spacing w:line="280" w:lineRule="exact"/>
              <w:rPr>
                <w:rFonts w:hint="eastAsia"/>
                <w:b w:val="0"/>
                <w:bCs w:val="0"/>
                <w:color w:val="auto"/>
                <w:sz w:val="21"/>
                <w:szCs w:val="21"/>
              </w:rPr>
            </w:pPr>
            <w:r>
              <w:rPr>
                <w:rFonts w:hint="eastAsia"/>
                <w:b w:val="0"/>
                <w:bCs w:val="0"/>
                <w:color w:val="auto"/>
                <w:sz w:val="21"/>
                <w:szCs w:val="21"/>
              </w:rPr>
              <w:t>脱去污染的衣着，立即用流动清水彻底冲洗。</w:t>
            </w:r>
          </w:p>
        </w:tc>
      </w:tr>
      <w:tr w14:paraId="3D7C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4D8FA580">
            <w:pPr>
              <w:spacing w:line="280" w:lineRule="exact"/>
              <w:ind w:left="113" w:right="113"/>
              <w:jc w:val="center"/>
              <w:rPr>
                <w:rFonts w:hint="eastAsia"/>
                <w:b w:val="0"/>
                <w:bCs w:val="0"/>
                <w:color w:val="auto"/>
                <w:sz w:val="21"/>
                <w:szCs w:val="21"/>
              </w:rPr>
            </w:pPr>
          </w:p>
        </w:tc>
        <w:tc>
          <w:tcPr>
            <w:tcW w:w="1900" w:type="dxa"/>
            <w:noWrap w:val="0"/>
            <w:vAlign w:val="center"/>
          </w:tcPr>
          <w:p w14:paraId="0F7BA9AD">
            <w:pPr>
              <w:spacing w:line="280" w:lineRule="exact"/>
              <w:rPr>
                <w:rFonts w:hint="eastAsia"/>
                <w:b w:val="0"/>
                <w:bCs w:val="0"/>
                <w:color w:val="auto"/>
                <w:sz w:val="21"/>
                <w:szCs w:val="21"/>
              </w:rPr>
            </w:pPr>
            <w:r>
              <w:rPr>
                <w:rFonts w:hint="eastAsia"/>
                <w:b w:val="0"/>
                <w:bCs w:val="0"/>
                <w:color w:val="auto"/>
                <w:sz w:val="21"/>
                <w:szCs w:val="21"/>
              </w:rPr>
              <w:t>眼睛接触：</w:t>
            </w:r>
          </w:p>
        </w:tc>
        <w:tc>
          <w:tcPr>
            <w:tcW w:w="6776" w:type="dxa"/>
            <w:noWrap w:val="0"/>
            <w:vAlign w:val="center"/>
          </w:tcPr>
          <w:p w14:paraId="0A98D831">
            <w:pPr>
              <w:rPr>
                <w:rFonts w:hint="eastAsia"/>
                <w:b w:val="0"/>
                <w:bCs w:val="0"/>
                <w:color w:val="auto"/>
                <w:sz w:val="21"/>
                <w:szCs w:val="21"/>
              </w:rPr>
            </w:pPr>
            <w:r>
              <w:rPr>
                <w:rFonts w:hint="eastAsia"/>
                <w:b w:val="0"/>
                <w:bCs w:val="0"/>
                <w:color w:val="auto"/>
                <w:sz w:val="21"/>
                <w:szCs w:val="21"/>
              </w:rPr>
              <w:t>立即提起眼睑，用大量流动清水或生理盐水彻底冲洗至少15分钟。就医。</w:t>
            </w:r>
          </w:p>
        </w:tc>
      </w:tr>
      <w:tr w14:paraId="1E52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2E753991">
            <w:pPr>
              <w:spacing w:line="280" w:lineRule="exact"/>
              <w:ind w:left="113" w:right="113"/>
              <w:jc w:val="center"/>
              <w:rPr>
                <w:rFonts w:hint="eastAsia"/>
                <w:b w:val="0"/>
                <w:bCs w:val="0"/>
                <w:color w:val="auto"/>
                <w:sz w:val="21"/>
                <w:szCs w:val="21"/>
              </w:rPr>
            </w:pPr>
          </w:p>
        </w:tc>
        <w:tc>
          <w:tcPr>
            <w:tcW w:w="1900" w:type="dxa"/>
            <w:noWrap w:val="0"/>
            <w:vAlign w:val="center"/>
          </w:tcPr>
          <w:p w14:paraId="62CCC6E7">
            <w:pPr>
              <w:spacing w:line="280" w:lineRule="exact"/>
              <w:rPr>
                <w:rFonts w:hint="eastAsia"/>
                <w:b w:val="0"/>
                <w:bCs w:val="0"/>
                <w:color w:val="auto"/>
                <w:sz w:val="21"/>
                <w:szCs w:val="21"/>
              </w:rPr>
            </w:pPr>
            <w:r>
              <w:rPr>
                <w:rFonts w:hint="eastAsia"/>
                <w:b w:val="0"/>
                <w:bCs w:val="0"/>
                <w:color w:val="auto"/>
                <w:sz w:val="21"/>
                <w:szCs w:val="21"/>
              </w:rPr>
              <w:t>吸入：</w:t>
            </w:r>
          </w:p>
        </w:tc>
        <w:tc>
          <w:tcPr>
            <w:tcW w:w="6776" w:type="dxa"/>
            <w:noWrap w:val="0"/>
            <w:vAlign w:val="center"/>
          </w:tcPr>
          <w:p w14:paraId="1175D8CA">
            <w:pPr>
              <w:rPr>
                <w:rFonts w:hint="eastAsia"/>
                <w:b w:val="0"/>
                <w:bCs w:val="0"/>
                <w:color w:val="auto"/>
                <w:sz w:val="21"/>
                <w:szCs w:val="21"/>
              </w:rPr>
            </w:pPr>
            <w:r>
              <w:rPr>
                <w:rFonts w:hint="eastAsia"/>
                <w:b w:val="0"/>
                <w:bCs w:val="0"/>
                <w:color w:val="auto"/>
                <w:sz w:val="21"/>
                <w:szCs w:val="21"/>
              </w:rPr>
              <w:t>脱离现场至空气新鲜处。必要时进行人工呼吸。就医。</w:t>
            </w:r>
          </w:p>
        </w:tc>
      </w:tr>
      <w:tr w14:paraId="05F5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5A598815">
            <w:pPr>
              <w:spacing w:line="280" w:lineRule="exact"/>
              <w:ind w:left="113" w:right="113"/>
              <w:jc w:val="center"/>
              <w:rPr>
                <w:rFonts w:hint="eastAsia"/>
                <w:b w:val="0"/>
                <w:bCs w:val="0"/>
                <w:color w:val="auto"/>
                <w:sz w:val="21"/>
                <w:szCs w:val="21"/>
              </w:rPr>
            </w:pPr>
          </w:p>
        </w:tc>
        <w:tc>
          <w:tcPr>
            <w:tcW w:w="1900" w:type="dxa"/>
            <w:noWrap w:val="0"/>
            <w:vAlign w:val="center"/>
          </w:tcPr>
          <w:p w14:paraId="68F719C8">
            <w:pPr>
              <w:spacing w:line="280" w:lineRule="exact"/>
              <w:rPr>
                <w:rFonts w:hint="eastAsia"/>
                <w:b w:val="0"/>
                <w:bCs w:val="0"/>
                <w:color w:val="auto"/>
                <w:sz w:val="21"/>
                <w:szCs w:val="21"/>
              </w:rPr>
            </w:pPr>
            <w:r>
              <w:rPr>
                <w:rFonts w:hint="eastAsia"/>
                <w:b w:val="0"/>
                <w:bCs w:val="0"/>
                <w:color w:val="auto"/>
                <w:sz w:val="21"/>
                <w:szCs w:val="21"/>
              </w:rPr>
              <w:t xml:space="preserve">食入： </w:t>
            </w:r>
          </w:p>
        </w:tc>
        <w:tc>
          <w:tcPr>
            <w:tcW w:w="6776" w:type="dxa"/>
            <w:noWrap w:val="0"/>
            <w:vAlign w:val="center"/>
          </w:tcPr>
          <w:p w14:paraId="6AE8586A">
            <w:pPr>
              <w:rPr>
                <w:rFonts w:hint="eastAsia"/>
                <w:b w:val="0"/>
                <w:bCs w:val="0"/>
                <w:color w:val="auto"/>
                <w:sz w:val="21"/>
                <w:szCs w:val="21"/>
              </w:rPr>
            </w:pPr>
            <w:r>
              <w:rPr>
                <w:rFonts w:hint="eastAsia"/>
                <w:b w:val="0"/>
                <w:bCs w:val="0"/>
                <w:color w:val="auto"/>
                <w:sz w:val="21"/>
                <w:szCs w:val="21"/>
              </w:rPr>
              <w:t>患者清醒时给饮大量温水，催吐，尽快洗胃。就医。</w:t>
            </w:r>
          </w:p>
        </w:tc>
      </w:tr>
      <w:tr w14:paraId="0E2E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restart"/>
            <w:noWrap w:val="0"/>
            <w:textDirection w:val="tbRlV"/>
            <w:vAlign w:val="center"/>
          </w:tcPr>
          <w:p w14:paraId="59708831">
            <w:pPr>
              <w:spacing w:line="280" w:lineRule="exact"/>
              <w:ind w:left="113" w:right="113"/>
              <w:jc w:val="center"/>
              <w:rPr>
                <w:rFonts w:hint="eastAsia"/>
                <w:b w:val="0"/>
                <w:bCs w:val="0"/>
                <w:color w:val="auto"/>
                <w:sz w:val="21"/>
                <w:szCs w:val="21"/>
              </w:rPr>
            </w:pPr>
            <w:r>
              <w:rPr>
                <w:rFonts w:hint="eastAsia"/>
                <w:b w:val="0"/>
                <w:bCs w:val="0"/>
                <w:color w:val="auto"/>
                <w:sz w:val="21"/>
                <w:szCs w:val="21"/>
              </w:rPr>
              <w:t>防护措施</w:t>
            </w:r>
          </w:p>
        </w:tc>
        <w:tc>
          <w:tcPr>
            <w:tcW w:w="1900" w:type="dxa"/>
            <w:noWrap w:val="0"/>
            <w:vAlign w:val="center"/>
          </w:tcPr>
          <w:p w14:paraId="2BC03D56">
            <w:pPr>
              <w:spacing w:line="280" w:lineRule="exact"/>
              <w:rPr>
                <w:rFonts w:hint="eastAsia"/>
                <w:b w:val="0"/>
                <w:bCs w:val="0"/>
                <w:color w:val="auto"/>
                <w:sz w:val="21"/>
                <w:szCs w:val="21"/>
              </w:rPr>
            </w:pPr>
            <w:r>
              <w:rPr>
                <w:rFonts w:hint="eastAsia"/>
                <w:b w:val="0"/>
                <w:bCs w:val="0"/>
                <w:color w:val="auto"/>
                <w:sz w:val="21"/>
                <w:szCs w:val="21"/>
              </w:rPr>
              <w:t>工程控制：</w:t>
            </w:r>
          </w:p>
        </w:tc>
        <w:tc>
          <w:tcPr>
            <w:tcW w:w="6776" w:type="dxa"/>
            <w:noWrap w:val="0"/>
            <w:vAlign w:val="center"/>
          </w:tcPr>
          <w:p w14:paraId="4187BE7C">
            <w:pPr>
              <w:spacing w:line="280" w:lineRule="exact"/>
              <w:rPr>
                <w:rFonts w:hint="eastAsia"/>
                <w:b w:val="0"/>
                <w:bCs w:val="0"/>
                <w:color w:val="auto"/>
                <w:sz w:val="21"/>
                <w:szCs w:val="21"/>
              </w:rPr>
            </w:pPr>
            <w:r>
              <w:rPr>
                <w:rFonts w:hint="eastAsia"/>
                <w:b w:val="0"/>
                <w:bCs w:val="0"/>
                <w:color w:val="auto"/>
                <w:sz w:val="21"/>
                <w:szCs w:val="21"/>
              </w:rPr>
              <w:t>密闭操作，局部排风。</w:t>
            </w:r>
          </w:p>
        </w:tc>
      </w:tr>
      <w:tr w14:paraId="58CF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10E08A96">
            <w:pPr>
              <w:spacing w:line="280" w:lineRule="exact"/>
              <w:ind w:left="113" w:right="113"/>
              <w:jc w:val="center"/>
              <w:rPr>
                <w:rFonts w:hint="eastAsia"/>
                <w:b w:val="0"/>
                <w:bCs w:val="0"/>
                <w:color w:val="auto"/>
                <w:sz w:val="21"/>
                <w:szCs w:val="21"/>
              </w:rPr>
            </w:pPr>
          </w:p>
        </w:tc>
        <w:tc>
          <w:tcPr>
            <w:tcW w:w="1900" w:type="dxa"/>
            <w:noWrap w:val="0"/>
            <w:vAlign w:val="center"/>
          </w:tcPr>
          <w:p w14:paraId="69EA6ABE">
            <w:pPr>
              <w:spacing w:line="280" w:lineRule="exact"/>
              <w:rPr>
                <w:rFonts w:hint="eastAsia"/>
                <w:b w:val="0"/>
                <w:bCs w:val="0"/>
                <w:color w:val="auto"/>
                <w:sz w:val="21"/>
                <w:szCs w:val="21"/>
              </w:rPr>
            </w:pPr>
            <w:r>
              <w:rPr>
                <w:rFonts w:hint="eastAsia"/>
                <w:b w:val="0"/>
                <w:bCs w:val="0"/>
                <w:color w:val="auto"/>
                <w:sz w:val="21"/>
                <w:szCs w:val="21"/>
              </w:rPr>
              <w:t>呼吸系统防护：</w:t>
            </w:r>
          </w:p>
        </w:tc>
        <w:tc>
          <w:tcPr>
            <w:tcW w:w="6776" w:type="dxa"/>
            <w:noWrap w:val="0"/>
            <w:vAlign w:val="center"/>
          </w:tcPr>
          <w:p w14:paraId="001E07D2">
            <w:pPr>
              <w:spacing w:line="280" w:lineRule="exact"/>
              <w:rPr>
                <w:rFonts w:hint="eastAsia"/>
                <w:b w:val="0"/>
                <w:bCs w:val="0"/>
                <w:color w:val="auto"/>
                <w:sz w:val="21"/>
                <w:szCs w:val="21"/>
              </w:rPr>
            </w:pPr>
            <w:r>
              <w:rPr>
                <w:rFonts w:hint="eastAsia"/>
                <w:b w:val="0"/>
                <w:bCs w:val="0"/>
                <w:color w:val="auto"/>
                <w:sz w:val="21"/>
                <w:szCs w:val="21"/>
              </w:rPr>
              <w:t>可能接触其粉尘时，必须佩戴防尘面具（全面罩）。紧急事态抢救或撤离时，应该佩戴空气呼吸器。</w:t>
            </w:r>
          </w:p>
        </w:tc>
      </w:tr>
      <w:tr w14:paraId="55BC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2D43EC24">
            <w:pPr>
              <w:spacing w:line="280" w:lineRule="exact"/>
              <w:ind w:left="113" w:right="113"/>
              <w:jc w:val="center"/>
              <w:rPr>
                <w:rFonts w:hint="eastAsia"/>
                <w:b w:val="0"/>
                <w:bCs w:val="0"/>
                <w:color w:val="auto"/>
                <w:sz w:val="21"/>
                <w:szCs w:val="21"/>
              </w:rPr>
            </w:pPr>
          </w:p>
        </w:tc>
        <w:tc>
          <w:tcPr>
            <w:tcW w:w="1900" w:type="dxa"/>
            <w:noWrap w:val="0"/>
            <w:vAlign w:val="center"/>
          </w:tcPr>
          <w:p w14:paraId="1EF4FF4A">
            <w:pPr>
              <w:spacing w:line="280" w:lineRule="exact"/>
              <w:rPr>
                <w:rFonts w:hint="eastAsia"/>
                <w:b w:val="0"/>
                <w:bCs w:val="0"/>
                <w:color w:val="auto"/>
                <w:sz w:val="21"/>
                <w:szCs w:val="21"/>
              </w:rPr>
            </w:pPr>
            <w:r>
              <w:rPr>
                <w:rFonts w:hint="eastAsia"/>
                <w:b w:val="0"/>
                <w:bCs w:val="0"/>
                <w:color w:val="auto"/>
                <w:sz w:val="21"/>
                <w:szCs w:val="21"/>
              </w:rPr>
              <w:t>眼睛防护：</w:t>
            </w:r>
          </w:p>
        </w:tc>
        <w:tc>
          <w:tcPr>
            <w:tcW w:w="6776" w:type="dxa"/>
            <w:noWrap w:val="0"/>
            <w:vAlign w:val="center"/>
          </w:tcPr>
          <w:p w14:paraId="335AFB97">
            <w:pPr>
              <w:spacing w:line="280" w:lineRule="exact"/>
              <w:rPr>
                <w:rFonts w:hint="eastAsia"/>
                <w:b w:val="0"/>
                <w:bCs w:val="0"/>
                <w:color w:val="auto"/>
                <w:sz w:val="21"/>
                <w:szCs w:val="21"/>
              </w:rPr>
            </w:pPr>
            <w:r>
              <w:rPr>
                <w:rFonts w:hint="eastAsia"/>
                <w:b w:val="0"/>
                <w:bCs w:val="0"/>
                <w:color w:val="auto"/>
                <w:sz w:val="21"/>
                <w:szCs w:val="21"/>
              </w:rPr>
              <w:t>戴化学安全防护眼镜。</w:t>
            </w:r>
          </w:p>
        </w:tc>
      </w:tr>
      <w:tr w14:paraId="77EC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56D9BF48">
            <w:pPr>
              <w:spacing w:line="280" w:lineRule="exact"/>
              <w:ind w:left="113" w:right="113"/>
              <w:jc w:val="center"/>
              <w:rPr>
                <w:rFonts w:hint="eastAsia"/>
                <w:b w:val="0"/>
                <w:bCs w:val="0"/>
                <w:color w:val="auto"/>
                <w:sz w:val="21"/>
                <w:szCs w:val="21"/>
              </w:rPr>
            </w:pPr>
          </w:p>
        </w:tc>
        <w:tc>
          <w:tcPr>
            <w:tcW w:w="1900" w:type="dxa"/>
            <w:noWrap w:val="0"/>
            <w:vAlign w:val="center"/>
          </w:tcPr>
          <w:p w14:paraId="7DD11E99">
            <w:pPr>
              <w:spacing w:line="280" w:lineRule="exact"/>
              <w:rPr>
                <w:rFonts w:hint="eastAsia"/>
                <w:b w:val="0"/>
                <w:bCs w:val="0"/>
                <w:color w:val="auto"/>
                <w:sz w:val="21"/>
                <w:szCs w:val="21"/>
              </w:rPr>
            </w:pPr>
            <w:r>
              <w:rPr>
                <w:rFonts w:hint="eastAsia"/>
                <w:b w:val="0"/>
                <w:bCs w:val="0"/>
                <w:color w:val="auto"/>
                <w:sz w:val="21"/>
                <w:szCs w:val="21"/>
              </w:rPr>
              <w:t>防护服：</w:t>
            </w:r>
          </w:p>
        </w:tc>
        <w:tc>
          <w:tcPr>
            <w:tcW w:w="6776" w:type="dxa"/>
            <w:noWrap w:val="0"/>
            <w:vAlign w:val="center"/>
          </w:tcPr>
          <w:p w14:paraId="6E2AABE8">
            <w:pPr>
              <w:spacing w:line="280" w:lineRule="exact"/>
              <w:rPr>
                <w:rFonts w:hint="eastAsia"/>
                <w:b w:val="0"/>
                <w:bCs w:val="0"/>
                <w:color w:val="auto"/>
                <w:sz w:val="21"/>
                <w:szCs w:val="21"/>
              </w:rPr>
            </w:pPr>
            <w:r>
              <w:rPr>
                <w:rFonts w:hint="eastAsia"/>
                <w:b w:val="0"/>
                <w:bCs w:val="0"/>
                <w:color w:val="auto"/>
                <w:sz w:val="21"/>
                <w:szCs w:val="21"/>
              </w:rPr>
              <w:t>穿相应的防护服。</w:t>
            </w:r>
          </w:p>
        </w:tc>
      </w:tr>
      <w:tr w14:paraId="307C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25013E13">
            <w:pPr>
              <w:spacing w:line="280" w:lineRule="exact"/>
              <w:ind w:left="113" w:right="113"/>
              <w:jc w:val="center"/>
              <w:rPr>
                <w:rFonts w:hint="eastAsia"/>
                <w:b w:val="0"/>
                <w:bCs w:val="0"/>
                <w:color w:val="auto"/>
                <w:sz w:val="21"/>
                <w:szCs w:val="21"/>
              </w:rPr>
            </w:pPr>
          </w:p>
        </w:tc>
        <w:tc>
          <w:tcPr>
            <w:tcW w:w="1900" w:type="dxa"/>
            <w:noWrap w:val="0"/>
            <w:vAlign w:val="center"/>
          </w:tcPr>
          <w:p w14:paraId="3FEAEFAC">
            <w:pPr>
              <w:spacing w:line="280" w:lineRule="exact"/>
              <w:rPr>
                <w:rFonts w:hint="eastAsia"/>
                <w:b w:val="0"/>
                <w:bCs w:val="0"/>
                <w:color w:val="auto"/>
                <w:sz w:val="21"/>
                <w:szCs w:val="21"/>
              </w:rPr>
            </w:pPr>
            <w:r>
              <w:rPr>
                <w:rFonts w:hint="eastAsia"/>
                <w:b w:val="0"/>
                <w:bCs w:val="0"/>
                <w:color w:val="auto"/>
                <w:sz w:val="21"/>
                <w:szCs w:val="21"/>
              </w:rPr>
              <w:t>手防护：</w:t>
            </w:r>
          </w:p>
        </w:tc>
        <w:tc>
          <w:tcPr>
            <w:tcW w:w="6776" w:type="dxa"/>
            <w:noWrap w:val="0"/>
            <w:vAlign w:val="center"/>
          </w:tcPr>
          <w:p w14:paraId="49B09758">
            <w:pPr>
              <w:spacing w:line="280" w:lineRule="exact"/>
              <w:rPr>
                <w:rFonts w:hint="eastAsia"/>
                <w:b w:val="0"/>
                <w:bCs w:val="0"/>
                <w:color w:val="auto"/>
                <w:sz w:val="21"/>
                <w:szCs w:val="21"/>
              </w:rPr>
            </w:pPr>
            <w:r>
              <w:rPr>
                <w:rFonts w:hint="eastAsia"/>
                <w:b w:val="0"/>
                <w:bCs w:val="0"/>
                <w:color w:val="auto"/>
                <w:sz w:val="21"/>
                <w:szCs w:val="21"/>
              </w:rPr>
              <w:t>戴防化学品手套。</w:t>
            </w:r>
          </w:p>
        </w:tc>
      </w:tr>
      <w:tr w14:paraId="051E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trPr>
        <w:tc>
          <w:tcPr>
            <w:tcW w:w="2448" w:type="dxa"/>
            <w:gridSpan w:val="2"/>
            <w:noWrap w:val="0"/>
            <w:vAlign w:val="center"/>
          </w:tcPr>
          <w:p w14:paraId="68680053">
            <w:pPr>
              <w:spacing w:line="280" w:lineRule="exact"/>
              <w:jc w:val="center"/>
              <w:rPr>
                <w:rFonts w:hint="eastAsia"/>
                <w:b w:val="0"/>
                <w:bCs w:val="0"/>
                <w:color w:val="auto"/>
                <w:sz w:val="21"/>
                <w:szCs w:val="21"/>
              </w:rPr>
            </w:pPr>
            <w:r>
              <w:rPr>
                <w:rFonts w:hint="eastAsia"/>
                <w:b w:val="0"/>
                <w:bCs w:val="0"/>
                <w:color w:val="auto"/>
                <w:sz w:val="21"/>
                <w:szCs w:val="21"/>
              </w:rPr>
              <w:t>泄漏处置：</w:t>
            </w:r>
          </w:p>
        </w:tc>
        <w:tc>
          <w:tcPr>
            <w:tcW w:w="6776" w:type="dxa"/>
            <w:noWrap w:val="0"/>
            <w:vAlign w:val="center"/>
          </w:tcPr>
          <w:p w14:paraId="20ADECAB">
            <w:pPr>
              <w:spacing w:line="280" w:lineRule="exact"/>
              <w:rPr>
                <w:rFonts w:hint="eastAsia"/>
                <w:b w:val="0"/>
                <w:bCs w:val="0"/>
                <w:color w:val="auto"/>
                <w:sz w:val="21"/>
                <w:szCs w:val="21"/>
              </w:rPr>
            </w:pPr>
            <w:r>
              <w:rPr>
                <w:rFonts w:hint="eastAsia"/>
                <w:b w:val="0"/>
                <w:bCs w:val="0"/>
                <w:color w:val="auto"/>
                <w:sz w:val="21"/>
                <w:szCs w:val="21"/>
              </w:rPr>
              <w:t>隔离泄漏污染区，周围设警告标志，建议应急处理人员戴好防毒面具，穿相应的工作服。不要直接接触泄漏物，避免扬尘，用清洁的铲子收集于干燥净洁有盖的容器中，运至废物处理场所。如大量泄漏，收集回收或无害处理后废弃。</w:t>
            </w:r>
          </w:p>
        </w:tc>
      </w:tr>
      <w:tr w14:paraId="37C6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trPr>
        <w:tc>
          <w:tcPr>
            <w:tcW w:w="2448" w:type="dxa"/>
            <w:gridSpan w:val="2"/>
            <w:noWrap w:val="0"/>
            <w:vAlign w:val="center"/>
          </w:tcPr>
          <w:p w14:paraId="7AB5F0BF">
            <w:pPr>
              <w:spacing w:line="280" w:lineRule="exact"/>
              <w:jc w:val="center"/>
              <w:rPr>
                <w:rFonts w:hint="eastAsia"/>
                <w:b w:val="0"/>
                <w:bCs w:val="0"/>
                <w:color w:val="auto"/>
                <w:sz w:val="21"/>
                <w:szCs w:val="21"/>
              </w:rPr>
            </w:pPr>
            <w:r>
              <w:rPr>
                <w:rFonts w:hint="eastAsia"/>
                <w:b w:val="0"/>
                <w:bCs w:val="0"/>
                <w:color w:val="auto"/>
                <w:sz w:val="21"/>
                <w:szCs w:val="21"/>
              </w:rPr>
              <w:t>其他：</w:t>
            </w:r>
          </w:p>
        </w:tc>
        <w:tc>
          <w:tcPr>
            <w:tcW w:w="6776" w:type="dxa"/>
            <w:noWrap w:val="0"/>
            <w:vAlign w:val="center"/>
          </w:tcPr>
          <w:p w14:paraId="4420CD3F">
            <w:pPr>
              <w:spacing w:line="280" w:lineRule="exact"/>
              <w:rPr>
                <w:rFonts w:hint="eastAsia"/>
                <w:b w:val="0"/>
                <w:bCs w:val="0"/>
                <w:color w:val="auto"/>
                <w:sz w:val="21"/>
                <w:szCs w:val="21"/>
              </w:rPr>
            </w:pPr>
            <w:r>
              <w:rPr>
                <w:rFonts w:hint="eastAsia"/>
                <w:b w:val="0"/>
                <w:bCs w:val="0"/>
                <w:color w:val="auto"/>
                <w:sz w:val="21"/>
                <w:szCs w:val="21"/>
              </w:rPr>
              <w:t>工作现场禁止吸烟、进食和饮水。工作后，淋浴更衣。工作服不要带到非作业场所，单独存放被毒物污染的衣服，洗后再用。保持良好的卫生习惯。</w:t>
            </w:r>
          </w:p>
        </w:tc>
      </w:tr>
    </w:tbl>
    <w:p w14:paraId="034E6317">
      <w:pPr>
        <w:pStyle w:val="4"/>
        <w:numPr>
          <w:ilvl w:val="3"/>
          <w:numId w:val="10"/>
        </w:numPr>
        <w:tabs>
          <w:tab w:val="left" w:pos="1358"/>
          <w:tab w:val="left" w:pos="2153"/>
        </w:tabs>
        <w:ind w:left="1358"/>
        <w:outlineLvl w:val="4"/>
        <w:rPr>
          <w:color w:val="auto"/>
        </w:rPr>
      </w:pPr>
      <w:r>
        <w:rPr>
          <w:rFonts w:hint="eastAsia" w:ascii="Times New Roman" w:hAnsi="Times New Roman" w:cs="Times New Roman"/>
          <w:color w:val="auto"/>
          <w:lang w:val="en-US" w:eastAsia="zh-CN"/>
        </w:rPr>
        <w:t>氟硅酸锌</w:t>
      </w:r>
      <w:r>
        <w:rPr>
          <w:rFonts w:hint="default" w:ascii="Times New Roman" w:hAnsi="Times New Roman" w:eastAsia="宋体" w:cs="Times New Roman"/>
          <w:color w:val="auto"/>
          <w:lang w:val="zh-CN" w:eastAsia="zh-CN"/>
        </w:rPr>
        <w:t>安全技术说明书</w:t>
      </w:r>
    </w:p>
    <w:tbl>
      <w:tblPr>
        <w:tblStyle w:val="19"/>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1900"/>
        <w:gridCol w:w="6776"/>
      </w:tblGrid>
      <w:tr w14:paraId="4271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trPr>
        <w:tc>
          <w:tcPr>
            <w:tcW w:w="548" w:type="dxa"/>
            <w:vMerge w:val="restart"/>
            <w:noWrap w:val="0"/>
            <w:textDirection w:val="tbRlV"/>
            <w:vAlign w:val="center"/>
          </w:tcPr>
          <w:p w14:paraId="316B41EA">
            <w:pPr>
              <w:spacing w:line="280" w:lineRule="exact"/>
              <w:ind w:left="113" w:right="113"/>
              <w:jc w:val="center"/>
              <w:rPr>
                <w:rFonts w:hint="eastAsia"/>
                <w:b w:val="0"/>
                <w:bCs w:val="0"/>
                <w:color w:val="auto"/>
                <w:sz w:val="21"/>
                <w:szCs w:val="21"/>
              </w:rPr>
            </w:pPr>
            <w:r>
              <w:rPr>
                <w:rFonts w:hint="eastAsia"/>
                <w:b w:val="0"/>
                <w:bCs w:val="0"/>
                <w:color w:val="auto"/>
                <w:sz w:val="21"/>
                <w:szCs w:val="21"/>
              </w:rPr>
              <w:t>标识</w:t>
            </w:r>
          </w:p>
        </w:tc>
        <w:tc>
          <w:tcPr>
            <w:tcW w:w="1900" w:type="dxa"/>
            <w:noWrap w:val="0"/>
            <w:vAlign w:val="center"/>
          </w:tcPr>
          <w:p w14:paraId="510A98D7">
            <w:pPr>
              <w:spacing w:line="280" w:lineRule="exact"/>
              <w:rPr>
                <w:rFonts w:hint="eastAsia"/>
                <w:b w:val="0"/>
                <w:bCs w:val="0"/>
                <w:color w:val="auto"/>
                <w:sz w:val="21"/>
                <w:szCs w:val="21"/>
              </w:rPr>
            </w:pPr>
            <w:r>
              <w:rPr>
                <w:rFonts w:hint="eastAsia"/>
                <w:b w:val="0"/>
                <w:bCs w:val="0"/>
                <w:color w:val="auto"/>
                <w:sz w:val="21"/>
                <w:szCs w:val="21"/>
              </w:rPr>
              <w:t>中文名：</w:t>
            </w:r>
          </w:p>
        </w:tc>
        <w:tc>
          <w:tcPr>
            <w:tcW w:w="6776" w:type="dxa"/>
            <w:noWrap w:val="0"/>
            <w:vAlign w:val="center"/>
          </w:tcPr>
          <w:p w14:paraId="367F8589">
            <w:pPr>
              <w:spacing w:line="280" w:lineRule="exact"/>
              <w:rPr>
                <w:rFonts w:hint="eastAsia"/>
                <w:b w:val="0"/>
                <w:bCs w:val="0"/>
                <w:color w:val="auto"/>
                <w:sz w:val="21"/>
                <w:szCs w:val="21"/>
              </w:rPr>
            </w:pPr>
            <w:r>
              <w:rPr>
                <w:rFonts w:hint="eastAsia"/>
                <w:b w:val="0"/>
                <w:bCs w:val="0"/>
                <w:color w:val="auto"/>
                <w:sz w:val="21"/>
                <w:szCs w:val="21"/>
                <w:lang w:val="en-US" w:eastAsia="zh-CN"/>
              </w:rPr>
              <w:t>氟硅酸锌</w:t>
            </w:r>
            <w:r>
              <w:rPr>
                <w:rFonts w:hint="eastAsia"/>
                <w:b w:val="0"/>
                <w:bCs w:val="0"/>
                <w:color w:val="auto"/>
                <w:sz w:val="21"/>
                <w:szCs w:val="21"/>
              </w:rPr>
              <w:t xml:space="preserve">               英文名：Zinc silicofluoride</w:t>
            </w:r>
          </w:p>
        </w:tc>
      </w:tr>
      <w:tr w14:paraId="4D35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548" w:type="dxa"/>
            <w:vMerge w:val="continue"/>
            <w:noWrap w:val="0"/>
            <w:textDirection w:val="tbRlV"/>
            <w:vAlign w:val="center"/>
          </w:tcPr>
          <w:p w14:paraId="28606FCE">
            <w:pPr>
              <w:spacing w:line="280" w:lineRule="exact"/>
              <w:ind w:left="113" w:right="113"/>
              <w:jc w:val="center"/>
              <w:rPr>
                <w:rFonts w:hint="eastAsia"/>
                <w:b w:val="0"/>
                <w:bCs w:val="0"/>
                <w:color w:val="auto"/>
                <w:sz w:val="21"/>
                <w:szCs w:val="21"/>
              </w:rPr>
            </w:pPr>
          </w:p>
        </w:tc>
        <w:tc>
          <w:tcPr>
            <w:tcW w:w="1900" w:type="dxa"/>
            <w:noWrap w:val="0"/>
            <w:vAlign w:val="center"/>
          </w:tcPr>
          <w:p w14:paraId="5374076D">
            <w:pPr>
              <w:spacing w:line="280" w:lineRule="exact"/>
              <w:rPr>
                <w:rFonts w:hint="eastAsia"/>
                <w:b w:val="0"/>
                <w:bCs w:val="0"/>
                <w:color w:val="auto"/>
                <w:sz w:val="21"/>
                <w:szCs w:val="21"/>
              </w:rPr>
            </w:pPr>
            <w:r>
              <w:rPr>
                <w:rFonts w:hint="eastAsia"/>
                <w:b w:val="0"/>
                <w:bCs w:val="0"/>
                <w:color w:val="auto"/>
                <w:sz w:val="21"/>
                <w:szCs w:val="21"/>
              </w:rPr>
              <w:t>分子式：</w:t>
            </w:r>
          </w:p>
        </w:tc>
        <w:tc>
          <w:tcPr>
            <w:tcW w:w="6776" w:type="dxa"/>
            <w:noWrap w:val="0"/>
            <w:vAlign w:val="center"/>
          </w:tcPr>
          <w:p w14:paraId="5981D2C6">
            <w:pPr>
              <w:spacing w:line="280" w:lineRule="exact"/>
              <w:rPr>
                <w:rFonts w:hint="default" w:eastAsia="宋体"/>
                <w:b w:val="0"/>
                <w:bCs w:val="0"/>
                <w:color w:val="auto"/>
                <w:sz w:val="21"/>
                <w:szCs w:val="21"/>
                <w:lang w:val="en-US" w:eastAsia="zh-CN"/>
              </w:rPr>
            </w:pPr>
            <w:r>
              <w:rPr>
                <w:rFonts w:hint="eastAsia"/>
                <w:b w:val="0"/>
                <w:bCs w:val="0"/>
                <w:color w:val="auto"/>
                <w:sz w:val="21"/>
                <w:szCs w:val="21"/>
                <w:lang w:val="en-US" w:eastAsia="zh-CN"/>
              </w:rPr>
              <w:t>F</w:t>
            </w:r>
            <w:r>
              <w:rPr>
                <w:rFonts w:hint="eastAsia"/>
                <w:b w:val="0"/>
                <w:bCs w:val="0"/>
                <w:color w:val="auto"/>
                <w:sz w:val="21"/>
                <w:szCs w:val="21"/>
                <w:vertAlign w:val="subscript"/>
                <w:lang w:val="en-US" w:eastAsia="zh-CN"/>
              </w:rPr>
              <w:t>6</w:t>
            </w:r>
            <w:r>
              <w:rPr>
                <w:rFonts w:hint="eastAsia"/>
                <w:b w:val="0"/>
                <w:bCs w:val="0"/>
                <w:color w:val="auto"/>
                <w:sz w:val="21"/>
                <w:szCs w:val="21"/>
                <w:lang w:val="en-US" w:eastAsia="zh-CN"/>
              </w:rPr>
              <w:t>SiZn</w:t>
            </w:r>
            <w:r>
              <w:rPr>
                <w:rFonts w:hint="eastAsia"/>
                <w:b w:val="0"/>
                <w:bCs w:val="0"/>
                <w:color w:val="auto"/>
                <w:sz w:val="21"/>
                <w:szCs w:val="21"/>
              </w:rPr>
              <w:t xml:space="preserve">                 分子量：</w:t>
            </w:r>
            <w:r>
              <w:rPr>
                <w:rFonts w:hint="eastAsia"/>
                <w:b w:val="0"/>
                <w:bCs w:val="0"/>
                <w:color w:val="auto"/>
                <w:sz w:val="21"/>
                <w:szCs w:val="21"/>
                <w:lang w:val="en-US" w:eastAsia="zh-CN"/>
              </w:rPr>
              <w:t>207.485</w:t>
            </w:r>
          </w:p>
        </w:tc>
      </w:tr>
      <w:tr w14:paraId="5DE5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48" w:type="dxa"/>
            <w:vMerge w:val="continue"/>
            <w:noWrap w:val="0"/>
            <w:textDirection w:val="tbRlV"/>
            <w:vAlign w:val="center"/>
          </w:tcPr>
          <w:p w14:paraId="5198A5AA">
            <w:pPr>
              <w:spacing w:line="280" w:lineRule="exact"/>
              <w:ind w:left="113" w:right="113"/>
              <w:jc w:val="center"/>
              <w:rPr>
                <w:rFonts w:hint="eastAsia"/>
                <w:b w:val="0"/>
                <w:bCs w:val="0"/>
                <w:color w:val="auto"/>
                <w:sz w:val="21"/>
                <w:szCs w:val="21"/>
              </w:rPr>
            </w:pPr>
          </w:p>
        </w:tc>
        <w:tc>
          <w:tcPr>
            <w:tcW w:w="1900" w:type="dxa"/>
            <w:noWrap w:val="0"/>
            <w:vAlign w:val="center"/>
          </w:tcPr>
          <w:p w14:paraId="6E7FE526">
            <w:pPr>
              <w:spacing w:line="280" w:lineRule="exact"/>
              <w:rPr>
                <w:rFonts w:hint="eastAsia"/>
                <w:b w:val="0"/>
                <w:bCs w:val="0"/>
                <w:color w:val="auto"/>
                <w:sz w:val="21"/>
                <w:szCs w:val="21"/>
              </w:rPr>
            </w:pPr>
            <w:r>
              <w:rPr>
                <w:rFonts w:hint="eastAsia"/>
                <w:b w:val="0"/>
                <w:bCs w:val="0"/>
                <w:color w:val="auto"/>
                <w:sz w:val="21"/>
                <w:szCs w:val="21"/>
              </w:rPr>
              <w:t>CAS号：</w:t>
            </w:r>
          </w:p>
        </w:tc>
        <w:tc>
          <w:tcPr>
            <w:tcW w:w="6776" w:type="dxa"/>
            <w:noWrap w:val="0"/>
            <w:vAlign w:val="center"/>
          </w:tcPr>
          <w:p w14:paraId="0AF7DD7E">
            <w:pPr>
              <w:spacing w:line="280" w:lineRule="exact"/>
              <w:rPr>
                <w:rFonts w:hint="eastAsia"/>
                <w:b w:val="0"/>
                <w:bCs w:val="0"/>
                <w:color w:val="auto"/>
                <w:sz w:val="21"/>
                <w:szCs w:val="21"/>
              </w:rPr>
            </w:pPr>
            <w:r>
              <w:rPr>
                <w:rFonts w:hint="eastAsia"/>
                <w:b w:val="0"/>
                <w:bCs w:val="0"/>
                <w:color w:val="auto"/>
                <w:sz w:val="21"/>
                <w:szCs w:val="21"/>
                <w:lang w:val="en-US" w:eastAsia="zh-CN"/>
              </w:rPr>
              <w:t>16871-71-9</w:t>
            </w:r>
            <w:r>
              <w:rPr>
                <w:rFonts w:hint="eastAsia"/>
                <w:b w:val="0"/>
                <w:bCs w:val="0"/>
                <w:color w:val="auto"/>
                <w:sz w:val="21"/>
                <w:szCs w:val="21"/>
              </w:rPr>
              <w:t xml:space="preserve"> </w:t>
            </w:r>
          </w:p>
        </w:tc>
      </w:tr>
      <w:tr w14:paraId="0E01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trPr>
        <w:tc>
          <w:tcPr>
            <w:tcW w:w="548" w:type="dxa"/>
            <w:vMerge w:val="restart"/>
            <w:noWrap w:val="0"/>
            <w:textDirection w:val="tbRlV"/>
            <w:vAlign w:val="center"/>
          </w:tcPr>
          <w:p w14:paraId="31A5537A">
            <w:pPr>
              <w:spacing w:line="280" w:lineRule="exact"/>
              <w:ind w:left="113" w:right="113"/>
              <w:jc w:val="center"/>
              <w:rPr>
                <w:rFonts w:hint="eastAsia"/>
                <w:b w:val="0"/>
                <w:bCs w:val="0"/>
                <w:color w:val="auto"/>
                <w:sz w:val="21"/>
                <w:szCs w:val="21"/>
              </w:rPr>
            </w:pPr>
            <w:r>
              <w:rPr>
                <w:rFonts w:hint="eastAsia"/>
                <w:b w:val="0"/>
                <w:bCs w:val="0"/>
                <w:color w:val="auto"/>
                <w:sz w:val="21"/>
                <w:szCs w:val="21"/>
              </w:rPr>
              <w:t>理化性质</w:t>
            </w:r>
          </w:p>
        </w:tc>
        <w:tc>
          <w:tcPr>
            <w:tcW w:w="1900" w:type="dxa"/>
            <w:noWrap w:val="0"/>
            <w:vAlign w:val="center"/>
          </w:tcPr>
          <w:p w14:paraId="66D10DD4">
            <w:pPr>
              <w:spacing w:line="280" w:lineRule="exact"/>
              <w:rPr>
                <w:rFonts w:hint="eastAsia"/>
                <w:b w:val="0"/>
                <w:bCs w:val="0"/>
                <w:color w:val="auto"/>
                <w:sz w:val="21"/>
                <w:szCs w:val="21"/>
              </w:rPr>
            </w:pPr>
            <w:r>
              <w:rPr>
                <w:rFonts w:hint="eastAsia"/>
                <w:b w:val="0"/>
                <w:bCs w:val="0"/>
                <w:color w:val="auto"/>
                <w:sz w:val="21"/>
                <w:szCs w:val="21"/>
              </w:rPr>
              <w:t>外观与性状：</w:t>
            </w:r>
          </w:p>
        </w:tc>
        <w:tc>
          <w:tcPr>
            <w:tcW w:w="6776" w:type="dxa"/>
            <w:noWrap w:val="0"/>
            <w:vAlign w:val="center"/>
          </w:tcPr>
          <w:p w14:paraId="79CB42FE">
            <w:pPr>
              <w:spacing w:line="280" w:lineRule="exact"/>
              <w:rPr>
                <w:rFonts w:hint="eastAsia"/>
                <w:b w:val="0"/>
                <w:bCs w:val="0"/>
                <w:color w:val="auto"/>
                <w:sz w:val="21"/>
                <w:szCs w:val="21"/>
              </w:rPr>
            </w:pPr>
            <w:r>
              <w:rPr>
                <w:rFonts w:hint="eastAsia"/>
                <w:b w:val="0"/>
                <w:bCs w:val="0"/>
                <w:color w:val="auto"/>
                <w:sz w:val="21"/>
                <w:szCs w:val="21"/>
              </w:rPr>
              <w:t>白色结晶粉末。</w:t>
            </w:r>
          </w:p>
        </w:tc>
      </w:tr>
      <w:tr w14:paraId="6A170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548" w:type="dxa"/>
            <w:vMerge w:val="continue"/>
            <w:noWrap w:val="0"/>
            <w:textDirection w:val="tbRlV"/>
            <w:vAlign w:val="center"/>
          </w:tcPr>
          <w:p w14:paraId="5CF04339">
            <w:pPr>
              <w:spacing w:line="280" w:lineRule="exact"/>
              <w:ind w:left="113" w:right="113"/>
              <w:jc w:val="center"/>
              <w:rPr>
                <w:rFonts w:hint="eastAsia"/>
                <w:b w:val="0"/>
                <w:bCs w:val="0"/>
                <w:color w:val="auto"/>
                <w:sz w:val="21"/>
                <w:szCs w:val="21"/>
              </w:rPr>
            </w:pPr>
          </w:p>
        </w:tc>
        <w:tc>
          <w:tcPr>
            <w:tcW w:w="1900" w:type="dxa"/>
            <w:noWrap w:val="0"/>
            <w:vAlign w:val="center"/>
          </w:tcPr>
          <w:p w14:paraId="5762D4B3">
            <w:pPr>
              <w:spacing w:line="280" w:lineRule="exact"/>
              <w:rPr>
                <w:rFonts w:hint="eastAsia"/>
                <w:b w:val="0"/>
                <w:bCs w:val="0"/>
                <w:color w:val="auto"/>
                <w:sz w:val="21"/>
                <w:szCs w:val="21"/>
              </w:rPr>
            </w:pPr>
            <w:r>
              <w:rPr>
                <w:rFonts w:hint="eastAsia"/>
                <w:b w:val="0"/>
                <w:bCs w:val="0"/>
                <w:color w:val="auto"/>
                <w:sz w:val="21"/>
                <w:szCs w:val="21"/>
              </w:rPr>
              <w:t>主要用途：</w:t>
            </w:r>
          </w:p>
        </w:tc>
        <w:tc>
          <w:tcPr>
            <w:tcW w:w="6776" w:type="dxa"/>
            <w:noWrap w:val="0"/>
            <w:vAlign w:val="center"/>
          </w:tcPr>
          <w:p w14:paraId="1DD9A134">
            <w:pPr>
              <w:spacing w:line="280" w:lineRule="exact"/>
              <w:rPr>
                <w:rFonts w:hint="eastAsia"/>
                <w:b w:val="0"/>
                <w:bCs w:val="0"/>
                <w:color w:val="auto"/>
                <w:sz w:val="21"/>
                <w:szCs w:val="21"/>
              </w:rPr>
            </w:pPr>
            <w:r>
              <w:rPr>
                <w:rFonts w:hint="eastAsia"/>
                <w:b w:val="0"/>
                <w:bCs w:val="0"/>
                <w:color w:val="auto"/>
                <w:sz w:val="21"/>
                <w:szCs w:val="21"/>
              </w:rPr>
              <w:t>用作木材防腐剂、熟石膏增强剂、锌电解浴、混凝土硬化剂及用于合成洗涤剂生产。</w:t>
            </w:r>
          </w:p>
        </w:tc>
      </w:tr>
      <w:tr w14:paraId="7111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548" w:type="dxa"/>
            <w:vMerge w:val="continue"/>
            <w:noWrap w:val="0"/>
            <w:textDirection w:val="tbRlV"/>
            <w:vAlign w:val="center"/>
          </w:tcPr>
          <w:p w14:paraId="0B6BAB72">
            <w:pPr>
              <w:spacing w:line="280" w:lineRule="exact"/>
              <w:ind w:left="113" w:right="113"/>
              <w:jc w:val="center"/>
              <w:rPr>
                <w:rFonts w:hint="eastAsia"/>
                <w:b w:val="0"/>
                <w:bCs w:val="0"/>
                <w:color w:val="auto"/>
                <w:sz w:val="21"/>
                <w:szCs w:val="21"/>
              </w:rPr>
            </w:pPr>
          </w:p>
        </w:tc>
        <w:tc>
          <w:tcPr>
            <w:tcW w:w="1900" w:type="dxa"/>
            <w:noWrap w:val="0"/>
            <w:vAlign w:val="center"/>
          </w:tcPr>
          <w:p w14:paraId="1703DECE">
            <w:pPr>
              <w:spacing w:line="280" w:lineRule="exact"/>
              <w:rPr>
                <w:rFonts w:hint="eastAsia"/>
                <w:b w:val="0"/>
                <w:bCs w:val="0"/>
                <w:color w:val="auto"/>
                <w:sz w:val="21"/>
                <w:szCs w:val="21"/>
              </w:rPr>
            </w:pPr>
            <w:r>
              <w:rPr>
                <w:rFonts w:hint="eastAsia"/>
                <w:b w:val="0"/>
                <w:bCs w:val="0"/>
                <w:color w:val="auto"/>
                <w:sz w:val="21"/>
                <w:szCs w:val="21"/>
              </w:rPr>
              <w:t>熔点(℃)：</w:t>
            </w:r>
          </w:p>
        </w:tc>
        <w:tc>
          <w:tcPr>
            <w:tcW w:w="6776" w:type="dxa"/>
            <w:noWrap w:val="0"/>
            <w:vAlign w:val="center"/>
          </w:tcPr>
          <w:p w14:paraId="15B81782">
            <w:pPr>
              <w:spacing w:line="280" w:lineRule="exact"/>
              <w:rPr>
                <w:rFonts w:hint="default" w:eastAsia="宋体"/>
                <w:b w:val="0"/>
                <w:bCs w:val="0"/>
                <w:color w:val="auto"/>
                <w:sz w:val="21"/>
                <w:szCs w:val="21"/>
                <w:lang w:val="en-US" w:eastAsia="zh-CN"/>
              </w:rPr>
            </w:pPr>
            <w:r>
              <w:rPr>
                <w:rFonts w:hint="eastAsia"/>
                <w:b w:val="0"/>
                <w:bCs w:val="0"/>
                <w:color w:val="auto"/>
                <w:sz w:val="21"/>
                <w:szCs w:val="21"/>
                <w:lang w:val="en-US" w:eastAsia="zh-CN"/>
              </w:rPr>
              <w:t>50~70（分解）</w:t>
            </w:r>
            <w:r>
              <w:rPr>
                <w:rFonts w:hint="eastAsia"/>
                <w:b w:val="0"/>
                <w:bCs w:val="0"/>
                <w:color w:val="auto"/>
                <w:sz w:val="21"/>
                <w:szCs w:val="21"/>
              </w:rPr>
              <w:t xml:space="preserve">                 沸点(℃)：</w:t>
            </w:r>
          </w:p>
        </w:tc>
      </w:tr>
      <w:tr w14:paraId="7F7E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548" w:type="dxa"/>
            <w:vMerge w:val="continue"/>
            <w:noWrap w:val="0"/>
            <w:textDirection w:val="tbRlV"/>
            <w:vAlign w:val="center"/>
          </w:tcPr>
          <w:p w14:paraId="081C0210">
            <w:pPr>
              <w:spacing w:line="280" w:lineRule="exact"/>
              <w:ind w:left="113" w:right="113"/>
              <w:jc w:val="center"/>
              <w:rPr>
                <w:rFonts w:hint="eastAsia"/>
                <w:b w:val="0"/>
                <w:bCs w:val="0"/>
                <w:color w:val="auto"/>
                <w:sz w:val="21"/>
                <w:szCs w:val="21"/>
              </w:rPr>
            </w:pPr>
          </w:p>
        </w:tc>
        <w:tc>
          <w:tcPr>
            <w:tcW w:w="1900" w:type="dxa"/>
            <w:noWrap w:val="0"/>
            <w:vAlign w:val="center"/>
          </w:tcPr>
          <w:p w14:paraId="75146335">
            <w:pPr>
              <w:spacing w:line="280" w:lineRule="exact"/>
              <w:rPr>
                <w:rFonts w:hint="eastAsia"/>
                <w:b w:val="0"/>
                <w:bCs w:val="0"/>
                <w:color w:val="auto"/>
                <w:sz w:val="21"/>
                <w:szCs w:val="21"/>
              </w:rPr>
            </w:pPr>
            <w:r>
              <w:rPr>
                <w:rFonts w:hint="eastAsia"/>
                <w:b w:val="0"/>
                <w:bCs w:val="0"/>
                <w:color w:val="auto"/>
                <w:sz w:val="21"/>
                <w:szCs w:val="21"/>
              </w:rPr>
              <w:t>相对密度(水=1)：</w:t>
            </w:r>
          </w:p>
        </w:tc>
        <w:tc>
          <w:tcPr>
            <w:tcW w:w="6776" w:type="dxa"/>
            <w:noWrap w:val="0"/>
            <w:vAlign w:val="center"/>
          </w:tcPr>
          <w:p w14:paraId="26591940">
            <w:pPr>
              <w:spacing w:line="280" w:lineRule="exact"/>
              <w:rPr>
                <w:rFonts w:hint="eastAsia" w:eastAsia="宋体"/>
                <w:b w:val="0"/>
                <w:bCs w:val="0"/>
                <w:color w:val="auto"/>
                <w:sz w:val="21"/>
                <w:szCs w:val="21"/>
                <w:lang w:eastAsia="zh-CN"/>
              </w:rPr>
            </w:pPr>
            <w:r>
              <w:rPr>
                <w:rFonts w:hint="eastAsia"/>
                <w:b w:val="0"/>
                <w:bCs w:val="0"/>
                <w:color w:val="auto"/>
                <w:sz w:val="21"/>
                <w:szCs w:val="21"/>
                <w:lang w:val="en-US" w:eastAsia="zh-CN"/>
              </w:rPr>
              <w:t>2.104</w:t>
            </w:r>
            <w:r>
              <w:rPr>
                <w:rFonts w:hint="eastAsia"/>
                <w:b w:val="0"/>
                <w:bCs w:val="0"/>
                <w:color w:val="auto"/>
                <w:sz w:val="21"/>
                <w:szCs w:val="21"/>
              </w:rPr>
              <w:t xml:space="preserve">                   饱和蒸汽压(kPa) ：</w:t>
            </w:r>
            <w:r>
              <w:rPr>
                <w:rFonts w:hint="eastAsia"/>
                <w:b w:val="0"/>
                <w:bCs w:val="0"/>
                <w:color w:val="auto"/>
                <w:sz w:val="21"/>
                <w:szCs w:val="21"/>
                <w:lang w:val="en-US" w:eastAsia="zh-CN"/>
              </w:rPr>
              <w:t>无资料</w:t>
            </w:r>
          </w:p>
        </w:tc>
      </w:tr>
      <w:tr w14:paraId="1FBB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548" w:type="dxa"/>
            <w:vMerge w:val="continue"/>
            <w:noWrap w:val="0"/>
            <w:textDirection w:val="tbRlV"/>
            <w:vAlign w:val="center"/>
          </w:tcPr>
          <w:p w14:paraId="21632400">
            <w:pPr>
              <w:spacing w:line="280" w:lineRule="exact"/>
              <w:ind w:left="113" w:right="113"/>
              <w:jc w:val="center"/>
              <w:rPr>
                <w:rFonts w:hint="eastAsia"/>
                <w:b w:val="0"/>
                <w:bCs w:val="0"/>
                <w:color w:val="auto"/>
                <w:sz w:val="21"/>
                <w:szCs w:val="21"/>
              </w:rPr>
            </w:pPr>
          </w:p>
        </w:tc>
        <w:tc>
          <w:tcPr>
            <w:tcW w:w="1900" w:type="dxa"/>
            <w:noWrap w:val="0"/>
            <w:vAlign w:val="center"/>
          </w:tcPr>
          <w:p w14:paraId="0022F17E">
            <w:pPr>
              <w:spacing w:line="280" w:lineRule="exact"/>
              <w:rPr>
                <w:rFonts w:hint="eastAsia"/>
                <w:b w:val="0"/>
                <w:bCs w:val="0"/>
                <w:color w:val="auto"/>
                <w:sz w:val="21"/>
                <w:szCs w:val="21"/>
              </w:rPr>
            </w:pPr>
            <w:r>
              <w:rPr>
                <w:rFonts w:hint="eastAsia"/>
                <w:b w:val="0"/>
                <w:bCs w:val="0"/>
                <w:color w:val="auto"/>
                <w:sz w:val="21"/>
                <w:szCs w:val="21"/>
              </w:rPr>
              <w:t>溶解性：</w:t>
            </w:r>
          </w:p>
        </w:tc>
        <w:tc>
          <w:tcPr>
            <w:tcW w:w="6776" w:type="dxa"/>
            <w:noWrap w:val="0"/>
            <w:vAlign w:val="center"/>
          </w:tcPr>
          <w:p w14:paraId="0AAF3A75">
            <w:pPr>
              <w:spacing w:line="280" w:lineRule="exact"/>
              <w:rPr>
                <w:rFonts w:hint="eastAsia"/>
                <w:b w:val="0"/>
                <w:bCs w:val="0"/>
                <w:color w:val="auto"/>
                <w:sz w:val="21"/>
                <w:szCs w:val="21"/>
              </w:rPr>
            </w:pPr>
            <w:r>
              <w:rPr>
                <w:rFonts w:hint="eastAsia"/>
                <w:b w:val="0"/>
                <w:bCs w:val="0"/>
                <w:color w:val="auto"/>
                <w:sz w:val="21"/>
                <w:szCs w:val="21"/>
              </w:rPr>
              <w:t>溶于水、无机酸，不溶于甲醇。</w:t>
            </w:r>
          </w:p>
        </w:tc>
      </w:tr>
      <w:tr w14:paraId="010A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restart"/>
            <w:noWrap w:val="0"/>
            <w:textDirection w:val="tbRlV"/>
            <w:vAlign w:val="center"/>
          </w:tcPr>
          <w:p w14:paraId="7E1FB5B3">
            <w:pPr>
              <w:spacing w:line="280" w:lineRule="exact"/>
              <w:ind w:left="113" w:right="113"/>
              <w:jc w:val="center"/>
              <w:rPr>
                <w:rFonts w:hint="eastAsia"/>
                <w:b w:val="0"/>
                <w:bCs w:val="0"/>
                <w:color w:val="auto"/>
                <w:sz w:val="21"/>
                <w:szCs w:val="21"/>
              </w:rPr>
            </w:pPr>
            <w:r>
              <w:rPr>
                <w:rFonts w:hint="eastAsia"/>
                <w:b w:val="0"/>
                <w:bCs w:val="0"/>
                <w:color w:val="auto"/>
                <w:sz w:val="21"/>
                <w:szCs w:val="21"/>
              </w:rPr>
              <w:t>燃烧爆炸危险性</w:t>
            </w:r>
          </w:p>
        </w:tc>
        <w:tc>
          <w:tcPr>
            <w:tcW w:w="1900" w:type="dxa"/>
            <w:noWrap w:val="0"/>
            <w:vAlign w:val="center"/>
          </w:tcPr>
          <w:p w14:paraId="18BDD7FD">
            <w:pPr>
              <w:spacing w:line="280" w:lineRule="exact"/>
              <w:rPr>
                <w:rFonts w:hint="eastAsia"/>
                <w:b w:val="0"/>
                <w:bCs w:val="0"/>
                <w:color w:val="auto"/>
                <w:sz w:val="21"/>
                <w:szCs w:val="21"/>
              </w:rPr>
            </w:pPr>
            <w:r>
              <w:rPr>
                <w:rFonts w:hint="eastAsia"/>
                <w:b w:val="0"/>
                <w:bCs w:val="0"/>
                <w:color w:val="auto"/>
                <w:sz w:val="21"/>
                <w:szCs w:val="21"/>
              </w:rPr>
              <w:t>避免接触的条件：</w:t>
            </w:r>
          </w:p>
        </w:tc>
        <w:tc>
          <w:tcPr>
            <w:tcW w:w="6776" w:type="dxa"/>
            <w:noWrap w:val="0"/>
            <w:vAlign w:val="center"/>
          </w:tcPr>
          <w:p w14:paraId="0D5EFA97">
            <w:pPr>
              <w:spacing w:line="280" w:lineRule="exact"/>
              <w:rPr>
                <w:rFonts w:hint="default" w:eastAsia="宋体"/>
                <w:b w:val="0"/>
                <w:bCs w:val="0"/>
                <w:color w:val="auto"/>
                <w:sz w:val="21"/>
                <w:szCs w:val="21"/>
                <w:lang w:val="en-US" w:eastAsia="zh-CN"/>
              </w:rPr>
            </w:pPr>
            <w:r>
              <w:rPr>
                <w:rFonts w:hint="eastAsia"/>
                <w:b w:val="0"/>
                <w:bCs w:val="0"/>
                <w:color w:val="auto"/>
                <w:sz w:val="21"/>
                <w:szCs w:val="21"/>
                <w:lang w:val="en-US" w:eastAsia="zh-CN"/>
              </w:rPr>
              <w:t>/</w:t>
            </w:r>
          </w:p>
        </w:tc>
      </w:tr>
      <w:tr w14:paraId="3168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1D015E7D">
            <w:pPr>
              <w:spacing w:line="280" w:lineRule="exact"/>
              <w:ind w:left="113" w:right="113"/>
              <w:jc w:val="center"/>
              <w:rPr>
                <w:rFonts w:hint="eastAsia"/>
                <w:b w:val="0"/>
                <w:bCs w:val="0"/>
                <w:color w:val="auto"/>
                <w:sz w:val="21"/>
                <w:szCs w:val="21"/>
              </w:rPr>
            </w:pPr>
          </w:p>
        </w:tc>
        <w:tc>
          <w:tcPr>
            <w:tcW w:w="1900" w:type="dxa"/>
            <w:noWrap w:val="0"/>
            <w:vAlign w:val="center"/>
          </w:tcPr>
          <w:p w14:paraId="54557510">
            <w:pPr>
              <w:spacing w:line="280" w:lineRule="exact"/>
              <w:rPr>
                <w:rFonts w:hint="eastAsia"/>
                <w:b w:val="0"/>
                <w:bCs w:val="0"/>
                <w:color w:val="auto"/>
                <w:sz w:val="21"/>
                <w:szCs w:val="21"/>
              </w:rPr>
            </w:pPr>
            <w:r>
              <w:rPr>
                <w:rFonts w:hint="eastAsia"/>
                <w:b w:val="0"/>
                <w:bCs w:val="0"/>
                <w:color w:val="auto"/>
                <w:sz w:val="21"/>
                <w:szCs w:val="21"/>
              </w:rPr>
              <w:t>燃烧性：</w:t>
            </w:r>
          </w:p>
        </w:tc>
        <w:tc>
          <w:tcPr>
            <w:tcW w:w="6776" w:type="dxa"/>
            <w:noWrap w:val="0"/>
            <w:vAlign w:val="center"/>
          </w:tcPr>
          <w:p w14:paraId="2D7CAC79">
            <w:pPr>
              <w:spacing w:line="280" w:lineRule="exact"/>
              <w:rPr>
                <w:rFonts w:hint="eastAsia"/>
                <w:b w:val="0"/>
                <w:bCs w:val="0"/>
                <w:color w:val="auto"/>
                <w:sz w:val="21"/>
                <w:szCs w:val="21"/>
              </w:rPr>
            </w:pPr>
            <w:r>
              <w:rPr>
                <w:rFonts w:hint="eastAsia"/>
                <w:b w:val="0"/>
                <w:bCs w:val="0"/>
                <w:color w:val="auto"/>
                <w:sz w:val="21"/>
                <w:szCs w:val="21"/>
              </w:rPr>
              <w:t>不燃</w:t>
            </w:r>
          </w:p>
        </w:tc>
      </w:tr>
      <w:tr w14:paraId="5840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7BE9D041">
            <w:pPr>
              <w:spacing w:line="280" w:lineRule="exact"/>
              <w:ind w:left="113" w:right="113"/>
              <w:jc w:val="center"/>
              <w:rPr>
                <w:rFonts w:hint="eastAsia"/>
                <w:b w:val="0"/>
                <w:bCs w:val="0"/>
                <w:color w:val="auto"/>
                <w:sz w:val="21"/>
                <w:szCs w:val="21"/>
              </w:rPr>
            </w:pPr>
          </w:p>
        </w:tc>
        <w:tc>
          <w:tcPr>
            <w:tcW w:w="1900" w:type="dxa"/>
            <w:noWrap w:val="0"/>
            <w:vAlign w:val="center"/>
          </w:tcPr>
          <w:p w14:paraId="42BAF162">
            <w:pPr>
              <w:spacing w:line="280" w:lineRule="exact"/>
              <w:rPr>
                <w:rFonts w:hint="eastAsia"/>
                <w:b w:val="0"/>
                <w:bCs w:val="0"/>
                <w:color w:val="auto"/>
                <w:sz w:val="21"/>
                <w:szCs w:val="21"/>
              </w:rPr>
            </w:pPr>
            <w:r>
              <w:rPr>
                <w:rFonts w:hint="eastAsia"/>
                <w:b w:val="0"/>
                <w:bCs w:val="0"/>
                <w:color w:val="auto"/>
                <w:sz w:val="21"/>
                <w:szCs w:val="21"/>
              </w:rPr>
              <w:t>危险特性：</w:t>
            </w:r>
          </w:p>
        </w:tc>
        <w:tc>
          <w:tcPr>
            <w:tcW w:w="6776" w:type="dxa"/>
            <w:noWrap w:val="0"/>
            <w:vAlign w:val="center"/>
          </w:tcPr>
          <w:p w14:paraId="2FECADCA">
            <w:pPr>
              <w:rPr>
                <w:rFonts w:hint="eastAsia"/>
                <w:b w:val="0"/>
                <w:bCs w:val="0"/>
                <w:color w:val="auto"/>
                <w:sz w:val="21"/>
                <w:szCs w:val="21"/>
              </w:rPr>
            </w:pPr>
            <w:r>
              <w:rPr>
                <w:rFonts w:hint="eastAsia"/>
                <w:b w:val="0"/>
                <w:bCs w:val="0"/>
                <w:color w:val="auto"/>
                <w:sz w:val="21"/>
                <w:szCs w:val="21"/>
              </w:rPr>
              <w:t>与酸反应，放出有毒的腐蚀性烟气。受高热分解，放出有毒的烟气。</w:t>
            </w:r>
          </w:p>
        </w:tc>
      </w:tr>
      <w:tr w14:paraId="5FFF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4B0826A0">
            <w:pPr>
              <w:spacing w:line="280" w:lineRule="exact"/>
              <w:ind w:left="113" w:right="113"/>
              <w:jc w:val="center"/>
              <w:rPr>
                <w:rFonts w:hint="eastAsia"/>
                <w:b w:val="0"/>
                <w:bCs w:val="0"/>
                <w:color w:val="auto"/>
                <w:sz w:val="21"/>
                <w:szCs w:val="21"/>
              </w:rPr>
            </w:pPr>
          </w:p>
        </w:tc>
        <w:tc>
          <w:tcPr>
            <w:tcW w:w="1900" w:type="dxa"/>
            <w:noWrap w:val="0"/>
            <w:vAlign w:val="center"/>
          </w:tcPr>
          <w:p w14:paraId="19020038">
            <w:pPr>
              <w:spacing w:line="280" w:lineRule="exact"/>
              <w:rPr>
                <w:rFonts w:hint="eastAsia"/>
                <w:b w:val="0"/>
                <w:bCs w:val="0"/>
                <w:color w:val="auto"/>
                <w:sz w:val="21"/>
                <w:szCs w:val="21"/>
              </w:rPr>
            </w:pPr>
            <w:r>
              <w:rPr>
                <w:rFonts w:hint="eastAsia"/>
                <w:b w:val="0"/>
                <w:bCs w:val="0"/>
                <w:color w:val="auto"/>
                <w:sz w:val="21"/>
                <w:szCs w:val="21"/>
              </w:rPr>
              <w:t>燃烧(分解)产物：</w:t>
            </w:r>
          </w:p>
        </w:tc>
        <w:tc>
          <w:tcPr>
            <w:tcW w:w="6776" w:type="dxa"/>
            <w:noWrap w:val="0"/>
            <w:vAlign w:val="center"/>
          </w:tcPr>
          <w:p w14:paraId="6015436D">
            <w:pPr>
              <w:spacing w:line="280" w:lineRule="exact"/>
              <w:rPr>
                <w:rFonts w:hint="eastAsia"/>
                <w:b w:val="0"/>
                <w:bCs w:val="0"/>
                <w:color w:val="auto"/>
                <w:sz w:val="21"/>
                <w:szCs w:val="21"/>
              </w:rPr>
            </w:pPr>
            <w:r>
              <w:rPr>
                <w:rFonts w:hint="eastAsia"/>
                <w:b w:val="0"/>
                <w:bCs w:val="0"/>
                <w:color w:val="auto"/>
                <w:sz w:val="21"/>
                <w:szCs w:val="21"/>
              </w:rPr>
              <w:t>氧化锌、氟化氢、氧化硅。              稳定性：稳定</w:t>
            </w:r>
          </w:p>
        </w:tc>
      </w:tr>
      <w:tr w14:paraId="1F2A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42D72E80">
            <w:pPr>
              <w:spacing w:line="280" w:lineRule="exact"/>
              <w:ind w:left="113" w:right="113"/>
              <w:jc w:val="center"/>
              <w:rPr>
                <w:rFonts w:hint="eastAsia"/>
                <w:b w:val="0"/>
                <w:bCs w:val="0"/>
                <w:color w:val="auto"/>
                <w:sz w:val="21"/>
                <w:szCs w:val="21"/>
              </w:rPr>
            </w:pPr>
          </w:p>
        </w:tc>
        <w:tc>
          <w:tcPr>
            <w:tcW w:w="1900" w:type="dxa"/>
            <w:noWrap w:val="0"/>
            <w:vAlign w:val="center"/>
          </w:tcPr>
          <w:p w14:paraId="4032AC72">
            <w:pPr>
              <w:spacing w:line="280" w:lineRule="exact"/>
              <w:rPr>
                <w:rFonts w:hint="eastAsia"/>
                <w:b w:val="0"/>
                <w:bCs w:val="0"/>
                <w:color w:val="auto"/>
                <w:sz w:val="21"/>
                <w:szCs w:val="21"/>
              </w:rPr>
            </w:pPr>
            <w:r>
              <w:rPr>
                <w:rFonts w:hint="eastAsia"/>
                <w:b w:val="0"/>
                <w:bCs w:val="0"/>
                <w:color w:val="auto"/>
                <w:sz w:val="21"/>
                <w:szCs w:val="21"/>
              </w:rPr>
              <w:t>聚合危害：</w:t>
            </w:r>
          </w:p>
        </w:tc>
        <w:tc>
          <w:tcPr>
            <w:tcW w:w="6776" w:type="dxa"/>
            <w:noWrap w:val="0"/>
            <w:vAlign w:val="center"/>
          </w:tcPr>
          <w:p w14:paraId="71B6C240">
            <w:pPr>
              <w:spacing w:line="280" w:lineRule="exact"/>
              <w:rPr>
                <w:rFonts w:hint="eastAsia"/>
                <w:b w:val="0"/>
                <w:bCs w:val="0"/>
                <w:color w:val="auto"/>
                <w:sz w:val="21"/>
                <w:szCs w:val="21"/>
              </w:rPr>
            </w:pPr>
            <w:r>
              <w:rPr>
                <w:rFonts w:hint="eastAsia"/>
                <w:b w:val="0"/>
                <w:bCs w:val="0"/>
                <w:color w:val="auto"/>
                <w:sz w:val="21"/>
                <w:szCs w:val="21"/>
              </w:rPr>
              <w:t>不能出现             禁忌物：强酸。</w:t>
            </w:r>
          </w:p>
        </w:tc>
      </w:tr>
      <w:tr w14:paraId="0C54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7B11F4C8">
            <w:pPr>
              <w:spacing w:line="280" w:lineRule="exact"/>
              <w:ind w:left="113" w:right="113"/>
              <w:jc w:val="center"/>
              <w:rPr>
                <w:rFonts w:hint="eastAsia"/>
                <w:b w:val="0"/>
                <w:bCs w:val="0"/>
                <w:color w:val="auto"/>
                <w:sz w:val="21"/>
                <w:szCs w:val="21"/>
              </w:rPr>
            </w:pPr>
          </w:p>
        </w:tc>
        <w:tc>
          <w:tcPr>
            <w:tcW w:w="1900" w:type="dxa"/>
            <w:noWrap w:val="0"/>
            <w:vAlign w:val="center"/>
          </w:tcPr>
          <w:p w14:paraId="4276F549">
            <w:pPr>
              <w:spacing w:line="280" w:lineRule="exact"/>
              <w:rPr>
                <w:rFonts w:hint="eastAsia"/>
                <w:b w:val="0"/>
                <w:bCs w:val="0"/>
                <w:color w:val="auto"/>
                <w:sz w:val="21"/>
                <w:szCs w:val="21"/>
              </w:rPr>
            </w:pPr>
            <w:r>
              <w:rPr>
                <w:rFonts w:hint="eastAsia"/>
                <w:b w:val="0"/>
                <w:bCs w:val="0"/>
                <w:color w:val="auto"/>
                <w:sz w:val="21"/>
                <w:szCs w:val="21"/>
              </w:rPr>
              <w:t>灭火方法：</w:t>
            </w:r>
          </w:p>
        </w:tc>
        <w:tc>
          <w:tcPr>
            <w:tcW w:w="6776" w:type="dxa"/>
            <w:noWrap w:val="0"/>
            <w:vAlign w:val="center"/>
          </w:tcPr>
          <w:p w14:paraId="0E03D6CD">
            <w:pPr>
              <w:spacing w:line="280" w:lineRule="exact"/>
              <w:rPr>
                <w:rFonts w:hint="eastAsia"/>
                <w:b w:val="0"/>
                <w:bCs w:val="0"/>
                <w:color w:val="auto"/>
                <w:sz w:val="21"/>
                <w:szCs w:val="21"/>
              </w:rPr>
            </w:pPr>
            <w:r>
              <w:rPr>
                <w:rFonts w:hint="eastAsia"/>
                <w:b w:val="0"/>
                <w:bCs w:val="0"/>
                <w:color w:val="auto"/>
                <w:sz w:val="21"/>
                <w:szCs w:val="21"/>
                <w:lang w:val="en-US" w:eastAsia="zh-CN"/>
              </w:rPr>
              <w:t>水</w:t>
            </w:r>
            <w:r>
              <w:rPr>
                <w:rFonts w:hint="eastAsia"/>
                <w:b w:val="0"/>
                <w:bCs w:val="0"/>
                <w:color w:val="auto"/>
                <w:sz w:val="21"/>
                <w:szCs w:val="21"/>
              </w:rPr>
              <w:t>。</w:t>
            </w:r>
          </w:p>
        </w:tc>
      </w:tr>
      <w:tr w14:paraId="6865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548" w:type="dxa"/>
            <w:vMerge w:val="restart"/>
            <w:noWrap w:val="0"/>
            <w:textDirection w:val="tbRlV"/>
            <w:vAlign w:val="center"/>
          </w:tcPr>
          <w:p w14:paraId="1EFD7FA4">
            <w:pPr>
              <w:spacing w:line="280" w:lineRule="exact"/>
              <w:ind w:left="113" w:right="113"/>
              <w:jc w:val="center"/>
              <w:rPr>
                <w:rFonts w:hint="eastAsia"/>
                <w:b w:val="0"/>
                <w:bCs w:val="0"/>
                <w:color w:val="auto"/>
                <w:sz w:val="21"/>
                <w:szCs w:val="21"/>
              </w:rPr>
            </w:pPr>
            <w:r>
              <w:rPr>
                <w:rFonts w:hint="eastAsia"/>
                <w:b w:val="0"/>
                <w:bCs w:val="0"/>
                <w:color w:val="auto"/>
                <w:sz w:val="21"/>
                <w:szCs w:val="21"/>
              </w:rPr>
              <w:t>包装与储运</w:t>
            </w:r>
          </w:p>
        </w:tc>
        <w:tc>
          <w:tcPr>
            <w:tcW w:w="1900" w:type="dxa"/>
            <w:noWrap w:val="0"/>
            <w:vAlign w:val="center"/>
          </w:tcPr>
          <w:p w14:paraId="6B84B95B">
            <w:pPr>
              <w:spacing w:line="280" w:lineRule="exact"/>
              <w:rPr>
                <w:rFonts w:hint="eastAsia"/>
                <w:b w:val="0"/>
                <w:bCs w:val="0"/>
                <w:color w:val="auto"/>
                <w:sz w:val="21"/>
                <w:szCs w:val="21"/>
              </w:rPr>
            </w:pPr>
            <w:r>
              <w:rPr>
                <w:rFonts w:hint="eastAsia"/>
                <w:b w:val="0"/>
                <w:bCs w:val="0"/>
                <w:color w:val="auto"/>
                <w:sz w:val="21"/>
                <w:szCs w:val="21"/>
              </w:rPr>
              <w:t>危险性类别：</w:t>
            </w:r>
          </w:p>
        </w:tc>
        <w:tc>
          <w:tcPr>
            <w:tcW w:w="6776" w:type="dxa"/>
            <w:noWrap w:val="0"/>
            <w:vAlign w:val="center"/>
          </w:tcPr>
          <w:p w14:paraId="133BE683">
            <w:pPr>
              <w:spacing w:line="280" w:lineRule="exact"/>
              <w:rPr>
                <w:rFonts w:hint="eastAsia"/>
                <w:b w:val="0"/>
                <w:bCs w:val="0"/>
                <w:color w:val="auto"/>
                <w:sz w:val="21"/>
                <w:szCs w:val="21"/>
              </w:rPr>
            </w:pPr>
            <w:r>
              <w:rPr>
                <w:rFonts w:hint="eastAsia"/>
                <w:b w:val="0"/>
                <w:bCs w:val="0"/>
                <w:color w:val="auto"/>
                <w:sz w:val="21"/>
                <w:szCs w:val="21"/>
              </w:rPr>
              <w:t>第6．1类  毒害品   包装类别： Ⅲ</w:t>
            </w:r>
          </w:p>
        </w:tc>
      </w:tr>
      <w:tr w14:paraId="3848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trPr>
        <w:tc>
          <w:tcPr>
            <w:tcW w:w="548" w:type="dxa"/>
            <w:vMerge w:val="continue"/>
            <w:noWrap w:val="0"/>
            <w:textDirection w:val="tbRlV"/>
            <w:vAlign w:val="center"/>
          </w:tcPr>
          <w:p w14:paraId="269238A1">
            <w:pPr>
              <w:spacing w:line="280" w:lineRule="exact"/>
              <w:ind w:left="113" w:right="113"/>
              <w:jc w:val="center"/>
              <w:rPr>
                <w:rFonts w:hint="eastAsia"/>
                <w:b w:val="0"/>
                <w:bCs w:val="0"/>
                <w:color w:val="auto"/>
                <w:sz w:val="21"/>
                <w:szCs w:val="21"/>
              </w:rPr>
            </w:pPr>
          </w:p>
        </w:tc>
        <w:tc>
          <w:tcPr>
            <w:tcW w:w="1900" w:type="dxa"/>
            <w:noWrap w:val="0"/>
            <w:vAlign w:val="center"/>
          </w:tcPr>
          <w:p w14:paraId="1EDE1699">
            <w:pPr>
              <w:spacing w:line="280" w:lineRule="exact"/>
              <w:rPr>
                <w:rFonts w:hint="eastAsia"/>
                <w:b w:val="0"/>
                <w:bCs w:val="0"/>
                <w:color w:val="auto"/>
                <w:sz w:val="21"/>
                <w:szCs w:val="21"/>
              </w:rPr>
            </w:pPr>
            <w:r>
              <w:rPr>
                <w:rFonts w:hint="eastAsia"/>
                <w:b w:val="0"/>
                <w:bCs w:val="0"/>
                <w:color w:val="auto"/>
                <w:sz w:val="21"/>
                <w:szCs w:val="21"/>
              </w:rPr>
              <w:t>储运注意事项：</w:t>
            </w:r>
          </w:p>
        </w:tc>
        <w:tc>
          <w:tcPr>
            <w:tcW w:w="6776" w:type="dxa"/>
            <w:noWrap w:val="0"/>
            <w:vAlign w:val="center"/>
          </w:tcPr>
          <w:p w14:paraId="64B76421">
            <w:pPr>
              <w:spacing w:line="280" w:lineRule="exact"/>
              <w:rPr>
                <w:rFonts w:hint="eastAsia"/>
                <w:b w:val="0"/>
                <w:bCs w:val="0"/>
                <w:color w:val="auto"/>
                <w:sz w:val="21"/>
                <w:szCs w:val="21"/>
              </w:rPr>
            </w:pPr>
            <w:r>
              <w:rPr>
                <w:rFonts w:hint="eastAsia"/>
                <w:b w:val="0"/>
                <w:bCs w:val="0"/>
                <w:color w:val="auto"/>
                <w:sz w:val="21"/>
                <w:szCs w:val="21"/>
              </w:rPr>
              <w:t>应贮存在阴凉、干燥的库房中。包装必须严密。不可与食用物品及酸类物资等共贮混运。失火时可用水和砂土扑救。。</w:t>
            </w:r>
          </w:p>
        </w:tc>
      </w:tr>
      <w:tr w14:paraId="1560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548" w:type="dxa"/>
            <w:vMerge w:val="restart"/>
            <w:noWrap w:val="0"/>
            <w:textDirection w:val="tbRlV"/>
            <w:vAlign w:val="center"/>
          </w:tcPr>
          <w:p w14:paraId="76F903CE">
            <w:pPr>
              <w:spacing w:line="280" w:lineRule="exact"/>
              <w:ind w:left="113" w:right="113"/>
              <w:jc w:val="center"/>
              <w:rPr>
                <w:rFonts w:hint="eastAsia"/>
                <w:b w:val="0"/>
                <w:bCs w:val="0"/>
                <w:color w:val="auto"/>
                <w:sz w:val="21"/>
                <w:szCs w:val="21"/>
              </w:rPr>
            </w:pPr>
            <w:r>
              <w:rPr>
                <w:rFonts w:hint="eastAsia"/>
                <w:b w:val="0"/>
                <w:bCs w:val="0"/>
                <w:color w:val="auto"/>
                <w:sz w:val="21"/>
                <w:szCs w:val="21"/>
              </w:rPr>
              <w:t>毒性危害</w:t>
            </w:r>
          </w:p>
        </w:tc>
        <w:tc>
          <w:tcPr>
            <w:tcW w:w="1900" w:type="dxa"/>
            <w:noWrap w:val="0"/>
            <w:vAlign w:val="center"/>
          </w:tcPr>
          <w:p w14:paraId="488EB23A">
            <w:pPr>
              <w:spacing w:line="280" w:lineRule="exact"/>
              <w:rPr>
                <w:rFonts w:hint="eastAsia"/>
                <w:b w:val="0"/>
                <w:bCs w:val="0"/>
                <w:color w:val="auto"/>
                <w:sz w:val="21"/>
                <w:szCs w:val="21"/>
              </w:rPr>
            </w:pPr>
            <w:r>
              <w:rPr>
                <w:rFonts w:hint="eastAsia"/>
                <w:b w:val="0"/>
                <w:bCs w:val="0"/>
                <w:color w:val="auto"/>
                <w:sz w:val="21"/>
                <w:szCs w:val="21"/>
              </w:rPr>
              <w:t>接触限值：</w:t>
            </w:r>
          </w:p>
        </w:tc>
        <w:tc>
          <w:tcPr>
            <w:tcW w:w="6776" w:type="dxa"/>
            <w:noWrap w:val="0"/>
            <w:vAlign w:val="center"/>
          </w:tcPr>
          <w:p w14:paraId="1F546BBC">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  国  MAC：未制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r>
              <w:rPr>
                <w:rFonts w:hint="eastAsia" w:cs="Times New Roman"/>
                <w:color w:val="auto"/>
                <w:sz w:val="21"/>
                <w:szCs w:val="21"/>
                <w:lang w:eastAsia="zh-CN"/>
              </w:rPr>
              <w:t>苏联</w:t>
            </w:r>
            <w:r>
              <w:rPr>
                <w:rFonts w:hint="eastAsia" w:ascii="Times New Roman" w:hAnsi="Times New Roman" w:eastAsia="宋体" w:cs="Times New Roman"/>
                <w:color w:val="auto"/>
                <w:sz w:val="21"/>
                <w:szCs w:val="21"/>
              </w:rPr>
              <w:t>MAC：未制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p>
          <w:p w14:paraId="28200EEA">
            <w:pPr>
              <w:spacing w:line="280" w:lineRule="exact"/>
              <w:rPr>
                <w:rFonts w:hint="eastAsia"/>
                <w:b w:val="0"/>
                <w:bCs w:val="0"/>
                <w:color w:val="auto"/>
                <w:sz w:val="21"/>
                <w:szCs w:val="21"/>
              </w:rPr>
            </w:pPr>
            <w:r>
              <w:rPr>
                <w:rFonts w:hint="eastAsia" w:ascii="Times New Roman" w:hAnsi="Times New Roman" w:eastAsia="宋体" w:cs="Times New Roman"/>
                <w:color w:val="auto"/>
                <w:sz w:val="21"/>
                <w:szCs w:val="21"/>
              </w:rPr>
              <w:t>美国TLV—TWA：未制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标准；美国TLV—STEL：未制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p>
        </w:tc>
      </w:tr>
      <w:tr w14:paraId="1FCB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548" w:type="dxa"/>
            <w:vMerge w:val="continue"/>
            <w:noWrap w:val="0"/>
            <w:textDirection w:val="tbRlV"/>
            <w:vAlign w:val="center"/>
          </w:tcPr>
          <w:p w14:paraId="3DFDD34D">
            <w:pPr>
              <w:spacing w:line="280" w:lineRule="exact"/>
              <w:ind w:left="113" w:right="113"/>
              <w:jc w:val="center"/>
              <w:rPr>
                <w:rFonts w:hint="eastAsia"/>
                <w:b w:val="0"/>
                <w:bCs w:val="0"/>
                <w:color w:val="auto"/>
                <w:sz w:val="21"/>
                <w:szCs w:val="21"/>
              </w:rPr>
            </w:pPr>
          </w:p>
        </w:tc>
        <w:tc>
          <w:tcPr>
            <w:tcW w:w="1900" w:type="dxa"/>
            <w:noWrap w:val="0"/>
            <w:vAlign w:val="center"/>
          </w:tcPr>
          <w:p w14:paraId="43A2D445">
            <w:pPr>
              <w:spacing w:line="280" w:lineRule="exact"/>
              <w:rPr>
                <w:rFonts w:hint="eastAsia"/>
                <w:b w:val="0"/>
                <w:bCs w:val="0"/>
                <w:color w:val="auto"/>
                <w:sz w:val="21"/>
                <w:szCs w:val="21"/>
              </w:rPr>
            </w:pPr>
            <w:r>
              <w:rPr>
                <w:rFonts w:hint="eastAsia"/>
                <w:b w:val="0"/>
                <w:bCs w:val="0"/>
                <w:color w:val="auto"/>
                <w:sz w:val="21"/>
                <w:szCs w:val="21"/>
              </w:rPr>
              <w:t>侵入途径：</w:t>
            </w:r>
          </w:p>
        </w:tc>
        <w:tc>
          <w:tcPr>
            <w:tcW w:w="6776" w:type="dxa"/>
            <w:noWrap w:val="0"/>
            <w:vAlign w:val="center"/>
          </w:tcPr>
          <w:p w14:paraId="7A44B45F">
            <w:pPr>
              <w:spacing w:line="280" w:lineRule="exact"/>
              <w:rPr>
                <w:rFonts w:hint="eastAsia"/>
                <w:b w:val="0"/>
                <w:bCs w:val="0"/>
                <w:color w:val="auto"/>
                <w:sz w:val="21"/>
                <w:szCs w:val="21"/>
              </w:rPr>
            </w:pPr>
            <w:r>
              <w:rPr>
                <w:rFonts w:hint="eastAsia"/>
                <w:b w:val="0"/>
                <w:bCs w:val="0"/>
                <w:color w:val="auto"/>
                <w:sz w:val="21"/>
                <w:szCs w:val="21"/>
              </w:rPr>
              <w:t>吸入  食入</w:t>
            </w:r>
          </w:p>
        </w:tc>
      </w:tr>
      <w:tr w14:paraId="5874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548" w:type="dxa"/>
            <w:vMerge w:val="continue"/>
            <w:noWrap w:val="0"/>
            <w:textDirection w:val="tbRlV"/>
            <w:vAlign w:val="center"/>
          </w:tcPr>
          <w:p w14:paraId="10C4A5F9">
            <w:pPr>
              <w:spacing w:line="280" w:lineRule="exact"/>
              <w:ind w:left="113" w:right="113"/>
              <w:jc w:val="center"/>
              <w:rPr>
                <w:rFonts w:hint="eastAsia"/>
                <w:b w:val="0"/>
                <w:bCs w:val="0"/>
                <w:color w:val="auto"/>
                <w:sz w:val="21"/>
                <w:szCs w:val="21"/>
              </w:rPr>
            </w:pPr>
          </w:p>
        </w:tc>
        <w:tc>
          <w:tcPr>
            <w:tcW w:w="1900" w:type="dxa"/>
            <w:noWrap w:val="0"/>
            <w:vAlign w:val="center"/>
          </w:tcPr>
          <w:p w14:paraId="1A9EAE8F">
            <w:pPr>
              <w:spacing w:line="280" w:lineRule="exact"/>
              <w:rPr>
                <w:rFonts w:hint="eastAsia"/>
                <w:b w:val="0"/>
                <w:bCs w:val="0"/>
                <w:color w:val="auto"/>
                <w:sz w:val="21"/>
                <w:szCs w:val="21"/>
              </w:rPr>
            </w:pPr>
            <w:r>
              <w:rPr>
                <w:rFonts w:hint="eastAsia"/>
                <w:b w:val="0"/>
                <w:bCs w:val="0"/>
                <w:color w:val="auto"/>
                <w:sz w:val="21"/>
                <w:szCs w:val="21"/>
              </w:rPr>
              <w:t>毒性：</w:t>
            </w:r>
          </w:p>
        </w:tc>
        <w:tc>
          <w:tcPr>
            <w:tcW w:w="6776" w:type="dxa"/>
            <w:noWrap w:val="0"/>
            <w:vAlign w:val="center"/>
          </w:tcPr>
          <w:p w14:paraId="227486BB">
            <w:pPr>
              <w:spacing w:line="280" w:lineRule="exact"/>
              <w:rPr>
                <w:rFonts w:hint="default" w:eastAsia="宋体"/>
                <w:b w:val="0"/>
                <w:bCs w:val="0"/>
                <w:color w:val="auto"/>
                <w:sz w:val="21"/>
                <w:szCs w:val="21"/>
                <w:lang w:val="en-US" w:eastAsia="zh-CN"/>
              </w:rPr>
            </w:pPr>
            <w:r>
              <w:rPr>
                <w:rFonts w:hint="eastAsia"/>
                <w:b w:val="0"/>
                <w:bCs w:val="0"/>
                <w:color w:val="auto"/>
                <w:sz w:val="21"/>
                <w:szCs w:val="21"/>
              </w:rPr>
              <w:t>LD50：</w:t>
            </w:r>
            <w:r>
              <w:rPr>
                <w:rFonts w:hint="eastAsia"/>
                <w:b w:val="0"/>
                <w:bCs w:val="0"/>
                <w:color w:val="auto"/>
                <w:sz w:val="21"/>
                <w:szCs w:val="21"/>
                <w:lang w:val="en-US" w:eastAsia="zh-CN"/>
              </w:rPr>
              <w:t>100</w:t>
            </w:r>
            <w:r>
              <w:rPr>
                <w:rFonts w:hint="eastAsia"/>
                <w:b w:val="0"/>
                <w:bCs w:val="0"/>
                <w:color w:val="auto"/>
                <w:sz w:val="21"/>
                <w:szCs w:val="21"/>
              </w:rPr>
              <w:t>mg/kg(大鼠经口)；</w:t>
            </w:r>
            <w:r>
              <w:rPr>
                <w:rFonts w:hint="eastAsia"/>
                <w:b w:val="0"/>
                <w:bCs w:val="0"/>
                <w:color w:val="auto"/>
                <w:sz w:val="21"/>
                <w:szCs w:val="21"/>
                <w:lang w:val="en-US" w:eastAsia="zh-CN"/>
              </w:rPr>
              <w:t>LC50：/</w:t>
            </w:r>
          </w:p>
        </w:tc>
      </w:tr>
      <w:tr w14:paraId="3BFF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548" w:type="dxa"/>
            <w:vMerge w:val="continue"/>
            <w:noWrap w:val="0"/>
            <w:textDirection w:val="tbRlV"/>
            <w:vAlign w:val="center"/>
          </w:tcPr>
          <w:p w14:paraId="3800371D">
            <w:pPr>
              <w:spacing w:line="280" w:lineRule="exact"/>
              <w:ind w:left="113" w:right="113"/>
              <w:jc w:val="center"/>
              <w:rPr>
                <w:rFonts w:hint="eastAsia"/>
                <w:b w:val="0"/>
                <w:bCs w:val="0"/>
                <w:color w:val="auto"/>
                <w:sz w:val="21"/>
                <w:szCs w:val="21"/>
              </w:rPr>
            </w:pPr>
          </w:p>
        </w:tc>
        <w:tc>
          <w:tcPr>
            <w:tcW w:w="1900" w:type="dxa"/>
            <w:noWrap w:val="0"/>
            <w:vAlign w:val="center"/>
          </w:tcPr>
          <w:p w14:paraId="2CB19376">
            <w:pPr>
              <w:spacing w:line="280" w:lineRule="exact"/>
              <w:rPr>
                <w:rFonts w:hint="eastAsia"/>
                <w:b w:val="0"/>
                <w:bCs w:val="0"/>
                <w:color w:val="auto"/>
                <w:sz w:val="21"/>
                <w:szCs w:val="21"/>
              </w:rPr>
            </w:pPr>
            <w:r>
              <w:rPr>
                <w:rFonts w:hint="eastAsia"/>
                <w:b w:val="0"/>
                <w:bCs w:val="0"/>
                <w:color w:val="auto"/>
                <w:sz w:val="21"/>
                <w:szCs w:val="21"/>
              </w:rPr>
              <w:t>健康危害：</w:t>
            </w:r>
          </w:p>
        </w:tc>
        <w:tc>
          <w:tcPr>
            <w:tcW w:w="6776" w:type="dxa"/>
            <w:noWrap w:val="0"/>
            <w:vAlign w:val="center"/>
          </w:tcPr>
          <w:p w14:paraId="54063872">
            <w:pPr>
              <w:spacing w:line="280" w:lineRule="exact"/>
              <w:rPr>
                <w:rFonts w:hint="eastAsia"/>
                <w:b w:val="0"/>
                <w:bCs w:val="0"/>
                <w:color w:val="auto"/>
                <w:sz w:val="21"/>
                <w:szCs w:val="21"/>
              </w:rPr>
            </w:pPr>
            <w:r>
              <w:rPr>
                <w:rFonts w:hint="eastAsia"/>
                <w:b w:val="0"/>
                <w:bCs w:val="0"/>
                <w:color w:val="auto"/>
                <w:sz w:val="21"/>
                <w:szCs w:val="21"/>
              </w:rPr>
              <w:t>有毒。误服或吸入粉尘会中毒。遇热分解释出有毒的氟和氧化锌烟雾。</w:t>
            </w:r>
          </w:p>
        </w:tc>
      </w:tr>
      <w:tr w14:paraId="23E5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restart"/>
            <w:noWrap w:val="0"/>
            <w:textDirection w:val="tbRlV"/>
            <w:vAlign w:val="center"/>
          </w:tcPr>
          <w:p w14:paraId="136D1D1B">
            <w:pPr>
              <w:spacing w:line="280" w:lineRule="exact"/>
              <w:ind w:left="113" w:right="113"/>
              <w:jc w:val="center"/>
              <w:rPr>
                <w:rFonts w:hint="eastAsia"/>
                <w:b w:val="0"/>
                <w:bCs w:val="0"/>
                <w:color w:val="auto"/>
                <w:sz w:val="21"/>
                <w:szCs w:val="21"/>
              </w:rPr>
            </w:pPr>
            <w:r>
              <w:rPr>
                <w:rFonts w:hint="eastAsia"/>
                <w:b w:val="0"/>
                <w:bCs w:val="0"/>
                <w:color w:val="auto"/>
                <w:sz w:val="21"/>
                <w:szCs w:val="21"/>
              </w:rPr>
              <w:t>急救</w:t>
            </w:r>
          </w:p>
        </w:tc>
        <w:tc>
          <w:tcPr>
            <w:tcW w:w="1900" w:type="dxa"/>
            <w:noWrap w:val="0"/>
            <w:vAlign w:val="center"/>
          </w:tcPr>
          <w:p w14:paraId="4E1B19E8">
            <w:pPr>
              <w:spacing w:line="280" w:lineRule="exact"/>
              <w:rPr>
                <w:rFonts w:hint="eastAsia"/>
                <w:b w:val="0"/>
                <w:bCs w:val="0"/>
                <w:color w:val="auto"/>
                <w:sz w:val="21"/>
                <w:szCs w:val="21"/>
              </w:rPr>
            </w:pPr>
            <w:r>
              <w:rPr>
                <w:rFonts w:hint="eastAsia"/>
                <w:b w:val="0"/>
                <w:bCs w:val="0"/>
                <w:color w:val="auto"/>
                <w:sz w:val="21"/>
                <w:szCs w:val="21"/>
              </w:rPr>
              <w:t>皮肤接触：</w:t>
            </w:r>
          </w:p>
        </w:tc>
        <w:tc>
          <w:tcPr>
            <w:tcW w:w="6776" w:type="dxa"/>
            <w:noWrap w:val="0"/>
            <w:vAlign w:val="center"/>
          </w:tcPr>
          <w:p w14:paraId="75F9AEC1">
            <w:pPr>
              <w:spacing w:line="280" w:lineRule="exact"/>
              <w:rPr>
                <w:rFonts w:hint="eastAsia"/>
                <w:b w:val="0"/>
                <w:bCs w:val="0"/>
                <w:color w:val="auto"/>
                <w:sz w:val="21"/>
                <w:szCs w:val="21"/>
              </w:rPr>
            </w:pPr>
            <w:r>
              <w:rPr>
                <w:rFonts w:hint="eastAsia"/>
                <w:b w:val="0"/>
                <w:bCs w:val="0"/>
                <w:color w:val="auto"/>
                <w:sz w:val="21"/>
                <w:szCs w:val="21"/>
              </w:rPr>
              <w:t>脱去污染的衣着，立即用流动清水彻底冲洗。</w:t>
            </w:r>
          </w:p>
        </w:tc>
      </w:tr>
      <w:tr w14:paraId="6C41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0A771377">
            <w:pPr>
              <w:spacing w:line="280" w:lineRule="exact"/>
              <w:ind w:left="113" w:right="113"/>
              <w:jc w:val="center"/>
              <w:rPr>
                <w:rFonts w:hint="eastAsia"/>
                <w:b w:val="0"/>
                <w:bCs w:val="0"/>
                <w:color w:val="auto"/>
                <w:sz w:val="21"/>
                <w:szCs w:val="21"/>
              </w:rPr>
            </w:pPr>
          </w:p>
        </w:tc>
        <w:tc>
          <w:tcPr>
            <w:tcW w:w="1900" w:type="dxa"/>
            <w:noWrap w:val="0"/>
            <w:vAlign w:val="center"/>
          </w:tcPr>
          <w:p w14:paraId="129B915F">
            <w:pPr>
              <w:spacing w:line="280" w:lineRule="exact"/>
              <w:rPr>
                <w:rFonts w:hint="eastAsia"/>
                <w:b w:val="0"/>
                <w:bCs w:val="0"/>
                <w:color w:val="auto"/>
                <w:sz w:val="21"/>
                <w:szCs w:val="21"/>
              </w:rPr>
            </w:pPr>
            <w:r>
              <w:rPr>
                <w:rFonts w:hint="eastAsia"/>
                <w:b w:val="0"/>
                <w:bCs w:val="0"/>
                <w:color w:val="auto"/>
                <w:sz w:val="21"/>
                <w:szCs w:val="21"/>
              </w:rPr>
              <w:t>眼睛接触：</w:t>
            </w:r>
          </w:p>
        </w:tc>
        <w:tc>
          <w:tcPr>
            <w:tcW w:w="6776" w:type="dxa"/>
            <w:noWrap w:val="0"/>
            <w:vAlign w:val="center"/>
          </w:tcPr>
          <w:p w14:paraId="0E1549AC">
            <w:pPr>
              <w:rPr>
                <w:rFonts w:hint="eastAsia"/>
                <w:b w:val="0"/>
                <w:bCs w:val="0"/>
                <w:color w:val="auto"/>
                <w:sz w:val="21"/>
                <w:szCs w:val="21"/>
              </w:rPr>
            </w:pPr>
            <w:r>
              <w:rPr>
                <w:rFonts w:hint="eastAsia"/>
                <w:b w:val="0"/>
                <w:bCs w:val="0"/>
                <w:color w:val="auto"/>
                <w:sz w:val="21"/>
                <w:szCs w:val="21"/>
              </w:rPr>
              <w:t>立即提起眼睑，用大量流动清水或生理盐水彻底冲洗至少15分钟。就医。</w:t>
            </w:r>
          </w:p>
        </w:tc>
      </w:tr>
      <w:tr w14:paraId="6D937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69BC5580">
            <w:pPr>
              <w:spacing w:line="280" w:lineRule="exact"/>
              <w:ind w:left="113" w:right="113"/>
              <w:jc w:val="center"/>
              <w:rPr>
                <w:rFonts w:hint="eastAsia"/>
                <w:b w:val="0"/>
                <w:bCs w:val="0"/>
                <w:color w:val="auto"/>
                <w:sz w:val="21"/>
                <w:szCs w:val="21"/>
              </w:rPr>
            </w:pPr>
          </w:p>
        </w:tc>
        <w:tc>
          <w:tcPr>
            <w:tcW w:w="1900" w:type="dxa"/>
            <w:noWrap w:val="0"/>
            <w:vAlign w:val="center"/>
          </w:tcPr>
          <w:p w14:paraId="235DB38D">
            <w:pPr>
              <w:spacing w:line="280" w:lineRule="exact"/>
              <w:rPr>
                <w:rFonts w:hint="eastAsia"/>
                <w:b w:val="0"/>
                <w:bCs w:val="0"/>
                <w:color w:val="auto"/>
                <w:sz w:val="21"/>
                <w:szCs w:val="21"/>
              </w:rPr>
            </w:pPr>
            <w:r>
              <w:rPr>
                <w:rFonts w:hint="eastAsia"/>
                <w:b w:val="0"/>
                <w:bCs w:val="0"/>
                <w:color w:val="auto"/>
                <w:sz w:val="21"/>
                <w:szCs w:val="21"/>
              </w:rPr>
              <w:t>吸入：</w:t>
            </w:r>
          </w:p>
        </w:tc>
        <w:tc>
          <w:tcPr>
            <w:tcW w:w="6776" w:type="dxa"/>
            <w:noWrap w:val="0"/>
            <w:vAlign w:val="center"/>
          </w:tcPr>
          <w:p w14:paraId="4147F741">
            <w:pPr>
              <w:rPr>
                <w:rFonts w:hint="eastAsia"/>
                <w:b w:val="0"/>
                <w:bCs w:val="0"/>
                <w:color w:val="auto"/>
                <w:sz w:val="21"/>
                <w:szCs w:val="21"/>
              </w:rPr>
            </w:pPr>
            <w:r>
              <w:rPr>
                <w:rFonts w:hint="eastAsia"/>
                <w:b w:val="0"/>
                <w:bCs w:val="0"/>
                <w:color w:val="auto"/>
                <w:sz w:val="21"/>
                <w:szCs w:val="21"/>
              </w:rPr>
              <w:t>脱离现场至空气新鲜处。必要时进行人工呼吸。就医。</w:t>
            </w:r>
          </w:p>
        </w:tc>
      </w:tr>
      <w:tr w14:paraId="2EA3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312E9AC7">
            <w:pPr>
              <w:spacing w:line="280" w:lineRule="exact"/>
              <w:ind w:left="113" w:right="113"/>
              <w:jc w:val="center"/>
              <w:rPr>
                <w:rFonts w:hint="eastAsia"/>
                <w:b w:val="0"/>
                <w:bCs w:val="0"/>
                <w:color w:val="auto"/>
                <w:sz w:val="21"/>
                <w:szCs w:val="21"/>
              </w:rPr>
            </w:pPr>
          </w:p>
        </w:tc>
        <w:tc>
          <w:tcPr>
            <w:tcW w:w="1900" w:type="dxa"/>
            <w:noWrap w:val="0"/>
            <w:vAlign w:val="center"/>
          </w:tcPr>
          <w:p w14:paraId="3788AA29">
            <w:pPr>
              <w:spacing w:line="280" w:lineRule="exact"/>
              <w:rPr>
                <w:rFonts w:hint="eastAsia"/>
                <w:b w:val="0"/>
                <w:bCs w:val="0"/>
                <w:color w:val="auto"/>
                <w:sz w:val="21"/>
                <w:szCs w:val="21"/>
              </w:rPr>
            </w:pPr>
            <w:r>
              <w:rPr>
                <w:rFonts w:hint="eastAsia"/>
                <w:b w:val="0"/>
                <w:bCs w:val="0"/>
                <w:color w:val="auto"/>
                <w:sz w:val="21"/>
                <w:szCs w:val="21"/>
              </w:rPr>
              <w:t xml:space="preserve">食入： </w:t>
            </w:r>
          </w:p>
        </w:tc>
        <w:tc>
          <w:tcPr>
            <w:tcW w:w="6776" w:type="dxa"/>
            <w:noWrap w:val="0"/>
            <w:vAlign w:val="center"/>
          </w:tcPr>
          <w:p w14:paraId="2B0823BD">
            <w:pPr>
              <w:rPr>
                <w:rFonts w:hint="eastAsia"/>
                <w:b w:val="0"/>
                <w:bCs w:val="0"/>
                <w:color w:val="auto"/>
                <w:sz w:val="21"/>
                <w:szCs w:val="21"/>
              </w:rPr>
            </w:pPr>
            <w:r>
              <w:rPr>
                <w:rFonts w:hint="eastAsia"/>
                <w:b w:val="0"/>
                <w:bCs w:val="0"/>
                <w:color w:val="auto"/>
                <w:sz w:val="21"/>
                <w:szCs w:val="21"/>
              </w:rPr>
              <w:t>患者清醒时给饮大量温水，催吐，尽快洗胃。就医。</w:t>
            </w:r>
          </w:p>
        </w:tc>
      </w:tr>
      <w:tr w14:paraId="7428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restart"/>
            <w:noWrap w:val="0"/>
            <w:textDirection w:val="tbRlV"/>
            <w:vAlign w:val="center"/>
          </w:tcPr>
          <w:p w14:paraId="2D44C6BA">
            <w:pPr>
              <w:spacing w:line="280" w:lineRule="exact"/>
              <w:ind w:left="113" w:right="113"/>
              <w:jc w:val="center"/>
              <w:rPr>
                <w:rFonts w:hint="eastAsia"/>
                <w:b w:val="0"/>
                <w:bCs w:val="0"/>
                <w:color w:val="auto"/>
                <w:sz w:val="21"/>
                <w:szCs w:val="21"/>
              </w:rPr>
            </w:pPr>
            <w:r>
              <w:rPr>
                <w:rFonts w:hint="eastAsia"/>
                <w:b w:val="0"/>
                <w:bCs w:val="0"/>
                <w:color w:val="auto"/>
                <w:sz w:val="21"/>
                <w:szCs w:val="21"/>
              </w:rPr>
              <w:t>防护措施</w:t>
            </w:r>
          </w:p>
        </w:tc>
        <w:tc>
          <w:tcPr>
            <w:tcW w:w="1900" w:type="dxa"/>
            <w:noWrap w:val="0"/>
            <w:vAlign w:val="center"/>
          </w:tcPr>
          <w:p w14:paraId="1090B835">
            <w:pPr>
              <w:spacing w:line="280" w:lineRule="exact"/>
              <w:rPr>
                <w:rFonts w:hint="eastAsia"/>
                <w:b w:val="0"/>
                <w:bCs w:val="0"/>
                <w:color w:val="auto"/>
                <w:sz w:val="21"/>
                <w:szCs w:val="21"/>
              </w:rPr>
            </w:pPr>
            <w:r>
              <w:rPr>
                <w:rFonts w:hint="eastAsia"/>
                <w:b w:val="0"/>
                <w:bCs w:val="0"/>
                <w:color w:val="auto"/>
                <w:sz w:val="21"/>
                <w:szCs w:val="21"/>
              </w:rPr>
              <w:t>工程控制：</w:t>
            </w:r>
          </w:p>
        </w:tc>
        <w:tc>
          <w:tcPr>
            <w:tcW w:w="6776" w:type="dxa"/>
            <w:noWrap w:val="0"/>
            <w:vAlign w:val="center"/>
          </w:tcPr>
          <w:p w14:paraId="59229609">
            <w:pPr>
              <w:spacing w:line="280" w:lineRule="exact"/>
              <w:rPr>
                <w:rFonts w:hint="eastAsia"/>
                <w:b w:val="0"/>
                <w:bCs w:val="0"/>
                <w:color w:val="auto"/>
                <w:sz w:val="21"/>
                <w:szCs w:val="21"/>
              </w:rPr>
            </w:pPr>
            <w:r>
              <w:rPr>
                <w:rFonts w:hint="eastAsia"/>
                <w:b w:val="0"/>
                <w:bCs w:val="0"/>
                <w:color w:val="auto"/>
                <w:sz w:val="21"/>
                <w:szCs w:val="21"/>
              </w:rPr>
              <w:t>密闭操作，局部排风。</w:t>
            </w:r>
          </w:p>
        </w:tc>
      </w:tr>
      <w:tr w14:paraId="401A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0D67E6D8">
            <w:pPr>
              <w:spacing w:line="280" w:lineRule="exact"/>
              <w:ind w:left="113" w:right="113"/>
              <w:jc w:val="center"/>
              <w:rPr>
                <w:rFonts w:hint="eastAsia"/>
                <w:b w:val="0"/>
                <w:bCs w:val="0"/>
                <w:color w:val="auto"/>
                <w:sz w:val="21"/>
                <w:szCs w:val="21"/>
              </w:rPr>
            </w:pPr>
          </w:p>
        </w:tc>
        <w:tc>
          <w:tcPr>
            <w:tcW w:w="1900" w:type="dxa"/>
            <w:noWrap w:val="0"/>
            <w:vAlign w:val="center"/>
          </w:tcPr>
          <w:p w14:paraId="3AF08C19">
            <w:pPr>
              <w:spacing w:line="280" w:lineRule="exact"/>
              <w:rPr>
                <w:rFonts w:hint="eastAsia"/>
                <w:b w:val="0"/>
                <w:bCs w:val="0"/>
                <w:color w:val="auto"/>
                <w:sz w:val="21"/>
                <w:szCs w:val="21"/>
              </w:rPr>
            </w:pPr>
            <w:r>
              <w:rPr>
                <w:rFonts w:hint="eastAsia"/>
                <w:b w:val="0"/>
                <w:bCs w:val="0"/>
                <w:color w:val="auto"/>
                <w:sz w:val="21"/>
                <w:szCs w:val="21"/>
              </w:rPr>
              <w:t>呼吸系统防护：</w:t>
            </w:r>
          </w:p>
        </w:tc>
        <w:tc>
          <w:tcPr>
            <w:tcW w:w="6776" w:type="dxa"/>
            <w:noWrap w:val="0"/>
            <w:vAlign w:val="center"/>
          </w:tcPr>
          <w:p w14:paraId="30300047">
            <w:pPr>
              <w:spacing w:line="280" w:lineRule="exact"/>
              <w:rPr>
                <w:rFonts w:hint="eastAsia"/>
                <w:b w:val="0"/>
                <w:bCs w:val="0"/>
                <w:color w:val="auto"/>
                <w:sz w:val="21"/>
                <w:szCs w:val="21"/>
              </w:rPr>
            </w:pPr>
            <w:r>
              <w:rPr>
                <w:rFonts w:hint="eastAsia"/>
                <w:b w:val="0"/>
                <w:bCs w:val="0"/>
                <w:color w:val="auto"/>
                <w:sz w:val="21"/>
                <w:szCs w:val="21"/>
              </w:rPr>
              <w:t>佩戴防尘口罩。紧急事态抢救或逃生时，应该佩戴防毒面具。</w:t>
            </w:r>
          </w:p>
        </w:tc>
      </w:tr>
      <w:tr w14:paraId="27EE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4F918A08">
            <w:pPr>
              <w:spacing w:line="280" w:lineRule="exact"/>
              <w:ind w:left="113" w:right="113"/>
              <w:jc w:val="center"/>
              <w:rPr>
                <w:rFonts w:hint="eastAsia"/>
                <w:b w:val="0"/>
                <w:bCs w:val="0"/>
                <w:color w:val="auto"/>
                <w:sz w:val="21"/>
                <w:szCs w:val="21"/>
              </w:rPr>
            </w:pPr>
          </w:p>
        </w:tc>
        <w:tc>
          <w:tcPr>
            <w:tcW w:w="1900" w:type="dxa"/>
            <w:noWrap w:val="0"/>
            <w:vAlign w:val="center"/>
          </w:tcPr>
          <w:p w14:paraId="05F484D5">
            <w:pPr>
              <w:spacing w:line="280" w:lineRule="exact"/>
              <w:rPr>
                <w:rFonts w:hint="eastAsia"/>
                <w:b w:val="0"/>
                <w:bCs w:val="0"/>
                <w:color w:val="auto"/>
                <w:sz w:val="21"/>
                <w:szCs w:val="21"/>
              </w:rPr>
            </w:pPr>
            <w:r>
              <w:rPr>
                <w:rFonts w:hint="eastAsia"/>
                <w:b w:val="0"/>
                <w:bCs w:val="0"/>
                <w:color w:val="auto"/>
                <w:sz w:val="21"/>
                <w:szCs w:val="21"/>
              </w:rPr>
              <w:t>眼睛防护：</w:t>
            </w:r>
          </w:p>
        </w:tc>
        <w:tc>
          <w:tcPr>
            <w:tcW w:w="6776" w:type="dxa"/>
            <w:noWrap w:val="0"/>
            <w:vAlign w:val="center"/>
          </w:tcPr>
          <w:p w14:paraId="72A27167">
            <w:pPr>
              <w:spacing w:line="280" w:lineRule="exact"/>
              <w:rPr>
                <w:rFonts w:hint="eastAsia"/>
                <w:b w:val="0"/>
                <w:bCs w:val="0"/>
                <w:color w:val="auto"/>
                <w:sz w:val="21"/>
                <w:szCs w:val="21"/>
              </w:rPr>
            </w:pPr>
            <w:r>
              <w:rPr>
                <w:rFonts w:hint="eastAsia"/>
                <w:b w:val="0"/>
                <w:bCs w:val="0"/>
                <w:color w:val="auto"/>
                <w:sz w:val="21"/>
                <w:szCs w:val="21"/>
              </w:rPr>
              <w:t>戴化学安全防护眼镜。</w:t>
            </w:r>
          </w:p>
        </w:tc>
      </w:tr>
      <w:tr w14:paraId="5261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0D4773AC">
            <w:pPr>
              <w:spacing w:line="280" w:lineRule="exact"/>
              <w:ind w:left="113" w:right="113"/>
              <w:jc w:val="center"/>
              <w:rPr>
                <w:rFonts w:hint="eastAsia"/>
                <w:b w:val="0"/>
                <w:bCs w:val="0"/>
                <w:color w:val="auto"/>
                <w:sz w:val="21"/>
                <w:szCs w:val="21"/>
              </w:rPr>
            </w:pPr>
          </w:p>
        </w:tc>
        <w:tc>
          <w:tcPr>
            <w:tcW w:w="1900" w:type="dxa"/>
            <w:noWrap w:val="0"/>
            <w:vAlign w:val="center"/>
          </w:tcPr>
          <w:p w14:paraId="4F46B8A6">
            <w:pPr>
              <w:spacing w:line="280" w:lineRule="exact"/>
              <w:rPr>
                <w:rFonts w:hint="eastAsia"/>
                <w:b w:val="0"/>
                <w:bCs w:val="0"/>
                <w:color w:val="auto"/>
                <w:sz w:val="21"/>
                <w:szCs w:val="21"/>
              </w:rPr>
            </w:pPr>
            <w:r>
              <w:rPr>
                <w:rFonts w:hint="eastAsia"/>
                <w:b w:val="0"/>
                <w:bCs w:val="0"/>
                <w:color w:val="auto"/>
                <w:sz w:val="21"/>
                <w:szCs w:val="21"/>
              </w:rPr>
              <w:t>防护服：</w:t>
            </w:r>
          </w:p>
        </w:tc>
        <w:tc>
          <w:tcPr>
            <w:tcW w:w="6776" w:type="dxa"/>
            <w:noWrap w:val="0"/>
            <w:vAlign w:val="center"/>
          </w:tcPr>
          <w:p w14:paraId="6D22F5D1">
            <w:pPr>
              <w:spacing w:line="280" w:lineRule="exact"/>
              <w:rPr>
                <w:rFonts w:hint="eastAsia"/>
                <w:b w:val="0"/>
                <w:bCs w:val="0"/>
                <w:color w:val="auto"/>
                <w:sz w:val="21"/>
                <w:szCs w:val="21"/>
              </w:rPr>
            </w:pPr>
            <w:r>
              <w:rPr>
                <w:rFonts w:hint="eastAsia"/>
                <w:b w:val="0"/>
                <w:bCs w:val="0"/>
                <w:color w:val="auto"/>
                <w:sz w:val="21"/>
                <w:szCs w:val="21"/>
              </w:rPr>
              <w:t>穿相应的防护服。</w:t>
            </w:r>
          </w:p>
        </w:tc>
      </w:tr>
      <w:tr w14:paraId="2EB9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7A8033E8">
            <w:pPr>
              <w:spacing w:line="280" w:lineRule="exact"/>
              <w:ind w:left="113" w:right="113"/>
              <w:jc w:val="center"/>
              <w:rPr>
                <w:rFonts w:hint="eastAsia"/>
                <w:b w:val="0"/>
                <w:bCs w:val="0"/>
                <w:color w:val="auto"/>
                <w:sz w:val="21"/>
                <w:szCs w:val="21"/>
              </w:rPr>
            </w:pPr>
          </w:p>
        </w:tc>
        <w:tc>
          <w:tcPr>
            <w:tcW w:w="1900" w:type="dxa"/>
            <w:noWrap w:val="0"/>
            <w:vAlign w:val="center"/>
          </w:tcPr>
          <w:p w14:paraId="7ED214B3">
            <w:pPr>
              <w:spacing w:line="280" w:lineRule="exact"/>
              <w:rPr>
                <w:rFonts w:hint="eastAsia"/>
                <w:b w:val="0"/>
                <w:bCs w:val="0"/>
                <w:color w:val="auto"/>
                <w:sz w:val="21"/>
                <w:szCs w:val="21"/>
              </w:rPr>
            </w:pPr>
            <w:r>
              <w:rPr>
                <w:rFonts w:hint="eastAsia"/>
                <w:b w:val="0"/>
                <w:bCs w:val="0"/>
                <w:color w:val="auto"/>
                <w:sz w:val="21"/>
                <w:szCs w:val="21"/>
              </w:rPr>
              <w:t>手防护：</w:t>
            </w:r>
          </w:p>
        </w:tc>
        <w:tc>
          <w:tcPr>
            <w:tcW w:w="6776" w:type="dxa"/>
            <w:noWrap w:val="0"/>
            <w:vAlign w:val="center"/>
          </w:tcPr>
          <w:p w14:paraId="6302DF79">
            <w:pPr>
              <w:spacing w:line="280" w:lineRule="exact"/>
              <w:rPr>
                <w:rFonts w:hint="eastAsia"/>
                <w:b w:val="0"/>
                <w:bCs w:val="0"/>
                <w:color w:val="auto"/>
                <w:sz w:val="21"/>
                <w:szCs w:val="21"/>
              </w:rPr>
            </w:pPr>
            <w:r>
              <w:rPr>
                <w:rFonts w:hint="eastAsia"/>
                <w:b w:val="0"/>
                <w:bCs w:val="0"/>
                <w:color w:val="auto"/>
                <w:sz w:val="21"/>
                <w:szCs w:val="21"/>
              </w:rPr>
              <w:t>戴防化学品手套。</w:t>
            </w:r>
          </w:p>
        </w:tc>
      </w:tr>
      <w:tr w14:paraId="2E83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trPr>
        <w:tc>
          <w:tcPr>
            <w:tcW w:w="2448" w:type="dxa"/>
            <w:gridSpan w:val="2"/>
            <w:noWrap w:val="0"/>
            <w:vAlign w:val="center"/>
          </w:tcPr>
          <w:p w14:paraId="598EA88B">
            <w:pPr>
              <w:spacing w:line="280" w:lineRule="exact"/>
              <w:jc w:val="center"/>
              <w:rPr>
                <w:rFonts w:hint="eastAsia"/>
                <w:b w:val="0"/>
                <w:bCs w:val="0"/>
                <w:color w:val="auto"/>
                <w:sz w:val="21"/>
                <w:szCs w:val="21"/>
              </w:rPr>
            </w:pPr>
            <w:r>
              <w:rPr>
                <w:rFonts w:hint="eastAsia"/>
                <w:b w:val="0"/>
                <w:bCs w:val="0"/>
                <w:color w:val="auto"/>
                <w:sz w:val="21"/>
                <w:szCs w:val="21"/>
              </w:rPr>
              <w:t>泄漏处置：</w:t>
            </w:r>
          </w:p>
        </w:tc>
        <w:tc>
          <w:tcPr>
            <w:tcW w:w="6776" w:type="dxa"/>
            <w:noWrap w:val="0"/>
            <w:vAlign w:val="center"/>
          </w:tcPr>
          <w:p w14:paraId="7A05776D">
            <w:pPr>
              <w:spacing w:line="280" w:lineRule="exact"/>
              <w:rPr>
                <w:rFonts w:hint="eastAsia"/>
                <w:b w:val="0"/>
                <w:bCs w:val="0"/>
                <w:color w:val="auto"/>
                <w:sz w:val="21"/>
                <w:szCs w:val="21"/>
              </w:rPr>
            </w:pPr>
            <w:r>
              <w:rPr>
                <w:rFonts w:hint="eastAsia"/>
                <w:b w:val="0"/>
                <w:bCs w:val="0"/>
                <w:color w:val="auto"/>
                <w:sz w:val="21"/>
                <w:szCs w:val="21"/>
              </w:rPr>
              <w:t>隔离泄漏污染区，周围设警告标志，建议应急处理人员戴好防毒面具，穿相应的工作服。不要直接接触泄漏物，避免扬尘，用清洁的铲子收集于干燥净洁有盖的容器中，运至废物处理场所。如大量泄漏，收集回收或无害处理后废弃。</w:t>
            </w:r>
          </w:p>
        </w:tc>
      </w:tr>
      <w:tr w14:paraId="03EC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trPr>
        <w:tc>
          <w:tcPr>
            <w:tcW w:w="2448" w:type="dxa"/>
            <w:gridSpan w:val="2"/>
            <w:noWrap w:val="0"/>
            <w:vAlign w:val="center"/>
          </w:tcPr>
          <w:p w14:paraId="0BF95D54">
            <w:pPr>
              <w:spacing w:line="280" w:lineRule="exact"/>
              <w:jc w:val="center"/>
              <w:rPr>
                <w:rFonts w:hint="eastAsia"/>
                <w:b w:val="0"/>
                <w:bCs w:val="0"/>
                <w:color w:val="auto"/>
                <w:sz w:val="21"/>
                <w:szCs w:val="21"/>
              </w:rPr>
            </w:pPr>
            <w:r>
              <w:rPr>
                <w:rFonts w:hint="eastAsia"/>
                <w:b w:val="0"/>
                <w:bCs w:val="0"/>
                <w:color w:val="auto"/>
                <w:sz w:val="21"/>
                <w:szCs w:val="21"/>
              </w:rPr>
              <w:t>其他：</w:t>
            </w:r>
          </w:p>
        </w:tc>
        <w:tc>
          <w:tcPr>
            <w:tcW w:w="6776" w:type="dxa"/>
            <w:noWrap w:val="0"/>
            <w:vAlign w:val="center"/>
          </w:tcPr>
          <w:p w14:paraId="7A7E3878">
            <w:pPr>
              <w:spacing w:line="280" w:lineRule="exact"/>
              <w:rPr>
                <w:rFonts w:hint="eastAsia"/>
                <w:b w:val="0"/>
                <w:bCs w:val="0"/>
                <w:color w:val="auto"/>
                <w:sz w:val="21"/>
                <w:szCs w:val="21"/>
              </w:rPr>
            </w:pPr>
            <w:r>
              <w:rPr>
                <w:rFonts w:hint="eastAsia"/>
                <w:b w:val="0"/>
                <w:bCs w:val="0"/>
                <w:color w:val="auto"/>
                <w:sz w:val="21"/>
                <w:szCs w:val="21"/>
              </w:rPr>
              <w:t>工作现场禁止吸烟、进食和饮水。工作后，淋浴更衣。工作服不要带到非作业场所，单独存放被毒物污染的衣服，洗后再用。保持良好的卫生习惯。</w:t>
            </w:r>
          </w:p>
        </w:tc>
      </w:tr>
    </w:tbl>
    <w:p w14:paraId="14312828">
      <w:pPr>
        <w:pStyle w:val="4"/>
        <w:numPr>
          <w:ilvl w:val="3"/>
          <w:numId w:val="10"/>
        </w:numPr>
        <w:tabs>
          <w:tab w:val="left" w:pos="1358"/>
          <w:tab w:val="left" w:pos="2153"/>
        </w:tabs>
        <w:ind w:left="1358"/>
        <w:outlineLvl w:val="4"/>
        <w:rPr>
          <w:color w:val="auto"/>
        </w:rPr>
      </w:pPr>
      <w:r>
        <w:rPr>
          <w:rFonts w:hint="eastAsia" w:ascii="Times New Roman" w:hAnsi="Times New Roman" w:cs="Times New Roman"/>
          <w:color w:val="auto"/>
          <w:lang w:val="en-US" w:eastAsia="zh-CN"/>
        </w:rPr>
        <w:t>氟硅酸钾</w:t>
      </w:r>
      <w:r>
        <w:rPr>
          <w:rFonts w:hint="default" w:ascii="Times New Roman" w:hAnsi="Times New Roman" w:eastAsia="宋体" w:cs="Times New Roman"/>
          <w:color w:val="auto"/>
          <w:lang w:val="zh-CN" w:eastAsia="zh-CN"/>
        </w:rPr>
        <w:t>安全技术说明书</w:t>
      </w:r>
    </w:p>
    <w:tbl>
      <w:tblPr>
        <w:tblStyle w:val="19"/>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1900"/>
        <w:gridCol w:w="6776"/>
      </w:tblGrid>
      <w:tr w14:paraId="3389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trPr>
        <w:tc>
          <w:tcPr>
            <w:tcW w:w="548" w:type="dxa"/>
            <w:vMerge w:val="restart"/>
            <w:noWrap w:val="0"/>
            <w:textDirection w:val="tbRlV"/>
            <w:vAlign w:val="center"/>
          </w:tcPr>
          <w:p w14:paraId="7FC607FD">
            <w:pPr>
              <w:spacing w:line="280" w:lineRule="exact"/>
              <w:ind w:left="113" w:right="113"/>
              <w:jc w:val="center"/>
              <w:rPr>
                <w:rFonts w:hint="eastAsia"/>
                <w:b w:val="0"/>
                <w:bCs w:val="0"/>
                <w:color w:val="auto"/>
                <w:sz w:val="21"/>
                <w:szCs w:val="21"/>
              </w:rPr>
            </w:pPr>
            <w:r>
              <w:rPr>
                <w:rFonts w:hint="eastAsia"/>
                <w:b w:val="0"/>
                <w:bCs w:val="0"/>
                <w:color w:val="auto"/>
                <w:sz w:val="21"/>
                <w:szCs w:val="21"/>
              </w:rPr>
              <w:t>标识</w:t>
            </w:r>
          </w:p>
        </w:tc>
        <w:tc>
          <w:tcPr>
            <w:tcW w:w="1900" w:type="dxa"/>
            <w:noWrap w:val="0"/>
            <w:vAlign w:val="center"/>
          </w:tcPr>
          <w:p w14:paraId="7C951B44">
            <w:pPr>
              <w:spacing w:line="280" w:lineRule="exact"/>
              <w:rPr>
                <w:rFonts w:hint="eastAsia"/>
                <w:b w:val="0"/>
                <w:bCs w:val="0"/>
                <w:color w:val="auto"/>
                <w:sz w:val="21"/>
                <w:szCs w:val="21"/>
              </w:rPr>
            </w:pPr>
            <w:r>
              <w:rPr>
                <w:rFonts w:hint="eastAsia"/>
                <w:b w:val="0"/>
                <w:bCs w:val="0"/>
                <w:color w:val="auto"/>
                <w:sz w:val="21"/>
                <w:szCs w:val="21"/>
              </w:rPr>
              <w:t>中文名：</w:t>
            </w:r>
          </w:p>
        </w:tc>
        <w:tc>
          <w:tcPr>
            <w:tcW w:w="6776" w:type="dxa"/>
            <w:noWrap w:val="0"/>
            <w:vAlign w:val="center"/>
          </w:tcPr>
          <w:p w14:paraId="20552424">
            <w:pPr>
              <w:spacing w:line="280" w:lineRule="exact"/>
              <w:rPr>
                <w:rFonts w:hint="eastAsia"/>
                <w:b w:val="0"/>
                <w:bCs w:val="0"/>
                <w:color w:val="auto"/>
                <w:sz w:val="21"/>
                <w:szCs w:val="21"/>
              </w:rPr>
            </w:pPr>
            <w:r>
              <w:rPr>
                <w:rFonts w:hint="eastAsia"/>
                <w:b w:val="0"/>
                <w:bCs w:val="0"/>
                <w:color w:val="auto"/>
                <w:sz w:val="21"/>
                <w:szCs w:val="21"/>
                <w:lang w:val="en-US" w:eastAsia="zh-CN"/>
              </w:rPr>
              <w:t>氟硅酸钾</w:t>
            </w:r>
            <w:r>
              <w:rPr>
                <w:rFonts w:hint="eastAsia"/>
                <w:b w:val="0"/>
                <w:bCs w:val="0"/>
                <w:color w:val="auto"/>
                <w:sz w:val="21"/>
                <w:szCs w:val="21"/>
              </w:rPr>
              <w:t xml:space="preserve">               英文名：Dipotassium hexafluorosilicate</w:t>
            </w:r>
          </w:p>
        </w:tc>
      </w:tr>
      <w:tr w14:paraId="73D3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548" w:type="dxa"/>
            <w:vMerge w:val="continue"/>
            <w:noWrap w:val="0"/>
            <w:textDirection w:val="tbRlV"/>
            <w:vAlign w:val="center"/>
          </w:tcPr>
          <w:p w14:paraId="3A400D62">
            <w:pPr>
              <w:spacing w:line="280" w:lineRule="exact"/>
              <w:ind w:left="113" w:right="113"/>
              <w:jc w:val="center"/>
              <w:rPr>
                <w:rFonts w:hint="eastAsia"/>
                <w:b w:val="0"/>
                <w:bCs w:val="0"/>
                <w:color w:val="auto"/>
                <w:sz w:val="21"/>
                <w:szCs w:val="21"/>
              </w:rPr>
            </w:pPr>
          </w:p>
        </w:tc>
        <w:tc>
          <w:tcPr>
            <w:tcW w:w="1900" w:type="dxa"/>
            <w:noWrap w:val="0"/>
            <w:vAlign w:val="center"/>
          </w:tcPr>
          <w:p w14:paraId="72136055">
            <w:pPr>
              <w:spacing w:line="280" w:lineRule="exact"/>
              <w:rPr>
                <w:rFonts w:hint="eastAsia"/>
                <w:b w:val="0"/>
                <w:bCs w:val="0"/>
                <w:color w:val="auto"/>
                <w:sz w:val="21"/>
                <w:szCs w:val="21"/>
              </w:rPr>
            </w:pPr>
            <w:r>
              <w:rPr>
                <w:rFonts w:hint="eastAsia"/>
                <w:b w:val="0"/>
                <w:bCs w:val="0"/>
                <w:color w:val="auto"/>
                <w:sz w:val="21"/>
                <w:szCs w:val="21"/>
              </w:rPr>
              <w:t>分子式：</w:t>
            </w:r>
          </w:p>
        </w:tc>
        <w:tc>
          <w:tcPr>
            <w:tcW w:w="6776" w:type="dxa"/>
            <w:noWrap w:val="0"/>
            <w:vAlign w:val="center"/>
          </w:tcPr>
          <w:p w14:paraId="612BA5B4">
            <w:pPr>
              <w:spacing w:line="280" w:lineRule="exact"/>
              <w:rPr>
                <w:rFonts w:hint="default" w:eastAsia="宋体"/>
                <w:b w:val="0"/>
                <w:bCs w:val="0"/>
                <w:color w:val="auto"/>
                <w:sz w:val="21"/>
                <w:szCs w:val="21"/>
                <w:lang w:val="en-US" w:eastAsia="zh-CN"/>
              </w:rPr>
            </w:pPr>
            <w:r>
              <w:rPr>
                <w:rFonts w:hint="eastAsia"/>
                <w:b w:val="0"/>
                <w:bCs w:val="0"/>
                <w:color w:val="auto"/>
                <w:sz w:val="21"/>
                <w:szCs w:val="21"/>
                <w:lang w:val="en-US" w:eastAsia="zh-CN"/>
              </w:rPr>
              <w:t>F</w:t>
            </w:r>
            <w:r>
              <w:rPr>
                <w:rFonts w:hint="eastAsia"/>
                <w:b w:val="0"/>
                <w:bCs w:val="0"/>
                <w:color w:val="auto"/>
                <w:sz w:val="21"/>
                <w:szCs w:val="21"/>
                <w:vertAlign w:val="subscript"/>
                <w:lang w:val="en-US" w:eastAsia="zh-CN"/>
              </w:rPr>
              <w:t>6</w:t>
            </w:r>
            <w:r>
              <w:rPr>
                <w:rFonts w:hint="eastAsia"/>
                <w:b w:val="0"/>
                <w:bCs w:val="0"/>
                <w:color w:val="auto"/>
                <w:sz w:val="21"/>
                <w:szCs w:val="21"/>
                <w:vertAlign w:val="baseline"/>
                <w:lang w:val="en-US" w:eastAsia="zh-CN"/>
              </w:rPr>
              <w:t>K</w:t>
            </w:r>
            <w:r>
              <w:rPr>
                <w:rFonts w:hint="eastAsia"/>
                <w:b w:val="0"/>
                <w:bCs w:val="0"/>
                <w:color w:val="auto"/>
                <w:sz w:val="21"/>
                <w:szCs w:val="21"/>
                <w:vertAlign w:val="subscript"/>
                <w:lang w:val="en-US" w:eastAsia="zh-CN"/>
              </w:rPr>
              <w:t>2</w:t>
            </w:r>
            <w:r>
              <w:rPr>
                <w:rFonts w:hint="eastAsia"/>
                <w:b w:val="0"/>
                <w:bCs w:val="0"/>
                <w:color w:val="auto"/>
                <w:sz w:val="21"/>
                <w:szCs w:val="21"/>
                <w:lang w:val="en-US" w:eastAsia="zh-CN"/>
              </w:rPr>
              <w:t>Si</w:t>
            </w:r>
            <w:r>
              <w:rPr>
                <w:rFonts w:hint="eastAsia"/>
                <w:b w:val="0"/>
                <w:bCs w:val="0"/>
                <w:color w:val="auto"/>
                <w:sz w:val="21"/>
                <w:szCs w:val="21"/>
              </w:rPr>
              <w:t xml:space="preserve">                 分子量：</w:t>
            </w:r>
            <w:r>
              <w:rPr>
                <w:rFonts w:hint="eastAsia"/>
                <w:b w:val="0"/>
                <w:bCs w:val="0"/>
                <w:color w:val="auto"/>
                <w:sz w:val="21"/>
                <w:szCs w:val="21"/>
                <w:lang w:val="en-US" w:eastAsia="zh-CN"/>
              </w:rPr>
              <w:t>220.29</w:t>
            </w:r>
          </w:p>
        </w:tc>
      </w:tr>
      <w:tr w14:paraId="10A1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548" w:type="dxa"/>
            <w:vMerge w:val="continue"/>
            <w:noWrap w:val="0"/>
            <w:textDirection w:val="tbRlV"/>
            <w:vAlign w:val="center"/>
          </w:tcPr>
          <w:p w14:paraId="52731888">
            <w:pPr>
              <w:spacing w:line="280" w:lineRule="exact"/>
              <w:ind w:left="113" w:right="113"/>
              <w:jc w:val="center"/>
              <w:rPr>
                <w:rFonts w:hint="eastAsia"/>
                <w:b w:val="0"/>
                <w:bCs w:val="0"/>
                <w:color w:val="auto"/>
                <w:sz w:val="21"/>
                <w:szCs w:val="21"/>
              </w:rPr>
            </w:pPr>
          </w:p>
        </w:tc>
        <w:tc>
          <w:tcPr>
            <w:tcW w:w="1900" w:type="dxa"/>
            <w:noWrap w:val="0"/>
            <w:vAlign w:val="center"/>
          </w:tcPr>
          <w:p w14:paraId="4B0AC174">
            <w:pPr>
              <w:spacing w:line="280" w:lineRule="exact"/>
              <w:rPr>
                <w:rFonts w:hint="eastAsia"/>
                <w:b w:val="0"/>
                <w:bCs w:val="0"/>
                <w:color w:val="auto"/>
                <w:sz w:val="21"/>
                <w:szCs w:val="21"/>
              </w:rPr>
            </w:pPr>
            <w:r>
              <w:rPr>
                <w:rFonts w:hint="eastAsia"/>
                <w:b w:val="0"/>
                <w:bCs w:val="0"/>
                <w:color w:val="auto"/>
                <w:sz w:val="21"/>
                <w:szCs w:val="21"/>
              </w:rPr>
              <w:t>CAS号：</w:t>
            </w:r>
          </w:p>
        </w:tc>
        <w:tc>
          <w:tcPr>
            <w:tcW w:w="6776" w:type="dxa"/>
            <w:noWrap w:val="0"/>
            <w:vAlign w:val="center"/>
          </w:tcPr>
          <w:p w14:paraId="23FCAAD2">
            <w:pPr>
              <w:spacing w:line="280" w:lineRule="exact"/>
              <w:rPr>
                <w:rFonts w:hint="eastAsia"/>
                <w:b w:val="0"/>
                <w:bCs w:val="0"/>
                <w:color w:val="auto"/>
                <w:sz w:val="21"/>
                <w:szCs w:val="21"/>
              </w:rPr>
            </w:pPr>
            <w:r>
              <w:rPr>
                <w:rFonts w:hint="eastAsia"/>
                <w:b w:val="0"/>
                <w:bCs w:val="0"/>
                <w:color w:val="auto"/>
                <w:sz w:val="21"/>
                <w:szCs w:val="21"/>
                <w:lang w:val="en-US" w:eastAsia="zh-CN"/>
              </w:rPr>
              <w:t>16871-90-2</w:t>
            </w:r>
            <w:r>
              <w:rPr>
                <w:rFonts w:hint="eastAsia"/>
                <w:b w:val="0"/>
                <w:bCs w:val="0"/>
                <w:color w:val="auto"/>
                <w:sz w:val="21"/>
                <w:szCs w:val="21"/>
              </w:rPr>
              <w:t xml:space="preserve"> </w:t>
            </w:r>
          </w:p>
        </w:tc>
      </w:tr>
      <w:tr w14:paraId="6EDB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trPr>
        <w:tc>
          <w:tcPr>
            <w:tcW w:w="548" w:type="dxa"/>
            <w:vMerge w:val="restart"/>
            <w:noWrap w:val="0"/>
            <w:textDirection w:val="tbRlV"/>
            <w:vAlign w:val="center"/>
          </w:tcPr>
          <w:p w14:paraId="223F965C">
            <w:pPr>
              <w:spacing w:line="280" w:lineRule="exact"/>
              <w:ind w:left="113" w:right="113"/>
              <w:jc w:val="center"/>
              <w:rPr>
                <w:rFonts w:hint="eastAsia"/>
                <w:b w:val="0"/>
                <w:bCs w:val="0"/>
                <w:color w:val="auto"/>
                <w:sz w:val="21"/>
                <w:szCs w:val="21"/>
              </w:rPr>
            </w:pPr>
            <w:r>
              <w:rPr>
                <w:rFonts w:hint="eastAsia"/>
                <w:b w:val="0"/>
                <w:bCs w:val="0"/>
                <w:color w:val="auto"/>
                <w:sz w:val="21"/>
                <w:szCs w:val="21"/>
              </w:rPr>
              <w:t>理化性质</w:t>
            </w:r>
          </w:p>
        </w:tc>
        <w:tc>
          <w:tcPr>
            <w:tcW w:w="1900" w:type="dxa"/>
            <w:noWrap w:val="0"/>
            <w:vAlign w:val="center"/>
          </w:tcPr>
          <w:p w14:paraId="48EE0B9F">
            <w:pPr>
              <w:spacing w:line="280" w:lineRule="exact"/>
              <w:rPr>
                <w:rFonts w:hint="eastAsia"/>
                <w:b w:val="0"/>
                <w:bCs w:val="0"/>
                <w:color w:val="auto"/>
                <w:sz w:val="21"/>
                <w:szCs w:val="21"/>
              </w:rPr>
            </w:pPr>
            <w:r>
              <w:rPr>
                <w:rFonts w:hint="eastAsia"/>
                <w:b w:val="0"/>
                <w:bCs w:val="0"/>
                <w:color w:val="auto"/>
                <w:sz w:val="21"/>
                <w:szCs w:val="21"/>
              </w:rPr>
              <w:t>外观与性状：</w:t>
            </w:r>
          </w:p>
        </w:tc>
        <w:tc>
          <w:tcPr>
            <w:tcW w:w="6776" w:type="dxa"/>
            <w:noWrap w:val="0"/>
            <w:vAlign w:val="center"/>
          </w:tcPr>
          <w:p w14:paraId="0D3E441C">
            <w:pPr>
              <w:spacing w:line="280" w:lineRule="exact"/>
              <w:rPr>
                <w:rFonts w:hint="eastAsia"/>
                <w:b w:val="0"/>
                <w:bCs w:val="0"/>
                <w:color w:val="auto"/>
                <w:sz w:val="21"/>
                <w:szCs w:val="21"/>
              </w:rPr>
            </w:pPr>
            <w:r>
              <w:rPr>
                <w:rFonts w:hint="eastAsia"/>
                <w:b w:val="0"/>
                <w:bCs w:val="0"/>
                <w:color w:val="auto"/>
                <w:sz w:val="21"/>
                <w:szCs w:val="21"/>
              </w:rPr>
              <w:t>白色细粉末或结晶，无臭、无味。</w:t>
            </w:r>
          </w:p>
        </w:tc>
      </w:tr>
      <w:tr w14:paraId="29F8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548" w:type="dxa"/>
            <w:vMerge w:val="continue"/>
            <w:noWrap w:val="0"/>
            <w:textDirection w:val="tbRlV"/>
            <w:vAlign w:val="center"/>
          </w:tcPr>
          <w:p w14:paraId="024C7FAB">
            <w:pPr>
              <w:spacing w:line="280" w:lineRule="exact"/>
              <w:ind w:left="113" w:right="113"/>
              <w:jc w:val="center"/>
              <w:rPr>
                <w:rFonts w:hint="eastAsia"/>
                <w:b w:val="0"/>
                <w:bCs w:val="0"/>
                <w:color w:val="auto"/>
                <w:sz w:val="21"/>
                <w:szCs w:val="21"/>
              </w:rPr>
            </w:pPr>
          </w:p>
        </w:tc>
        <w:tc>
          <w:tcPr>
            <w:tcW w:w="1900" w:type="dxa"/>
            <w:noWrap w:val="0"/>
            <w:vAlign w:val="center"/>
          </w:tcPr>
          <w:p w14:paraId="44E29642">
            <w:pPr>
              <w:spacing w:line="280" w:lineRule="exact"/>
              <w:rPr>
                <w:rFonts w:hint="eastAsia"/>
                <w:b w:val="0"/>
                <w:bCs w:val="0"/>
                <w:color w:val="auto"/>
                <w:sz w:val="21"/>
                <w:szCs w:val="21"/>
              </w:rPr>
            </w:pPr>
            <w:r>
              <w:rPr>
                <w:rFonts w:hint="eastAsia"/>
                <w:b w:val="0"/>
                <w:bCs w:val="0"/>
                <w:color w:val="auto"/>
                <w:sz w:val="21"/>
                <w:szCs w:val="21"/>
              </w:rPr>
              <w:t>主要用途：</w:t>
            </w:r>
          </w:p>
        </w:tc>
        <w:tc>
          <w:tcPr>
            <w:tcW w:w="6776" w:type="dxa"/>
            <w:noWrap w:val="0"/>
            <w:vAlign w:val="center"/>
          </w:tcPr>
          <w:p w14:paraId="3EA3E766">
            <w:pPr>
              <w:spacing w:line="280" w:lineRule="exact"/>
              <w:rPr>
                <w:rFonts w:hint="eastAsia"/>
                <w:b w:val="0"/>
                <w:bCs w:val="0"/>
                <w:color w:val="auto"/>
                <w:sz w:val="21"/>
                <w:szCs w:val="21"/>
              </w:rPr>
            </w:pPr>
            <w:r>
              <w:rPr>
                <w:rFonts w:hint="eastAsia"/>
                <w:b w:val="0"/>
                <w:bCs w:val="0"/>
                <w:color w:val="auto"/>
                <w:sz w:val="21"/>
                <w:szCs w:val="21"/>
              </w:rPr>
              <w:t>用于制造乳白玻璃、瓷器瓷釉、农药、木材防腐剂及冶炼铅。</w:t>
            </w:r>
          </w:p>
        </w:tc>
      </w:tr>
      <w:tr w14:paraId="0D64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548" w:type="dxa"/>
            <w:vMerge w:val="continue"/>
            <w:noWrap w:val="0"/>
            <w:textDirection w:val="tbRlV"/>
            <w:vAlign w:val="center"/>
          </w:tcPr>
          <w:p w14:paraId="143DE0C7">
            <w:pPr>
              <w:spacing w:line="280" w:lineRule="exact"/>
              <w:ind w:left="113" w:right="113"/>
              <w:jc w:val="center"/>
              <w:rPr>
                <w:rFonts w:hint="eastAsia"/>
                <w:b w:val="0"/>
                <w:bCs w:val="0"/>
                <w:color w:val="auto"/>
                <w:sz w:val="21"/>
                <w:szCs w:val="21"/>
              </w:rPr>
            </w:pPr>
          </w:p>
        </w:tc>
        <w:tc>
          <w:tcPr>
            <w:tcW w:w="1900" w:type="dxa"/>
            <w:noWrap w:val="0"/>
            <w:vAlign w:val="center"/>
          </w:tcPr>
          <w:p w14:paraId="40254FA2">
            <w:pPr>
              <w:spacing w:line="280" w:lineRule="exact"/>
              <w:rPr>
                <w:rFonts w:hint="eastAsia"/>
                <w:b w:val="0"/>
                <w:bCs w:val="0"/>
                <w:color w:val="auto"/>
                <w:sz w:val="21"/>
                <w:szCs w:val="21"/>
              </w:rPr>
            </w:pPr>
            <w:r>
              <w:rPr>
                <w:rFonts w:hint="eastAsia"/>
                <w:b w:val="0"/>
                <w:bCs w:val="0"/>
                <w:color w:val="auto"/>
                <w:sz w:val="21"/>
                <w:szCs w:val="21"/>
              </w:rPr>
              <w:t>熔点(℃)：</w:t>
            </w:r>
          </w:p>
        </w:tc>
        <w:tc>
          <w:tcPr>
            <w:tcW w:w="6776" w:type="dxa"/>
            <w:noWrap w:val="0"/>
            <w:vAlign w:val="center"/>
          </w:tcPr>
          <w:p w14:paraId="1DD65294">
            <w:pPr>
              <w:spacing w:line="280" w:lineRule="exact"/>
              <w:rPr>
                <w:rFonts w:hint="eastAsia" w:eastAsia="宋体"/>
                <w:b w:val="0"/>
                <w:bCs w:val="0"/>
                <w:color w:val="auto"/>
                <w:sz w:val="21"/>
                <w:szCs w:val="21"/>
                <w:lang w:val="en-US" w:eastAsia="zh-CN"/>
              </w:rPr>
            </w:pPr>
            <w:r>
              <w:rPr>
                <w:rFonts w:hint="eastAsia"/>
                <w:b w:val="0"/>
                <w:bCs w:val="0"/>
                <w:color w:val="auto"/>
                <w:sz w:val="21"/>
                <w:szCs w:val="21"/>
                <w:lang w:val="en-US" w:eastAsia="zh-CN"/>
              </w:rPr>
              <w:t>未确定</w:t>
            </w:r>
            <w:r>
              <w:rPr>
                <w:rFonts w:hint="eastAsia"/>
                <w:b w:val="0"/>
                <w:bCs w:val="0"/>
                <w:color w:val="auto"/>
                <w:sz w:val="21"/>
                <w:szCs w:val="21"/>
              </w:rPr>
              <w:t xml:space="preserve">                 沸点(℃)：</w:t>
            </w:r>
            <w:r>
              <w:rPr>
                <w:rFonts w:hint="eastAsia"/>
                <w:b w:val="0"/>
                <w:bCs w:val="0"/>
                <w:color w:val="auto"/>
                <w:sz w:val="21"/>
                <w:szCs w:val="21"/>
                <w:lang w:val="en-US" w:eastAsia="zh-CN"/>
              </w:rPr>
              <w:t>未确定</w:t>
            </w:r>
          </w:p>
        </w:tc>
      </w:tr>
      <w:tr w14:paraId="3492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548" w:type="dxa"/>
            <w:vMerge w:val="continue"/>
            <w:noWrap w:val="0"/>
            <w:textDirection w:val="tbRlV"/>
            <w:vAlign w:val="center"/>
          </w:tcPr>
          <w:p w14:paraId="78D5C217">
            <w:pPr>
              <w:spacing w:line="280" w:lineRule="exact"/>
              <w:ind w:left="113" w:right="113"/>
              <w:jc w:val="center"/>
              <w:rPr>
                <w:rFonts w:hint="eastAsia"/>
                <w:b w:val="0"/>
                <w:bCs w:val="0"/>
                <w:color w:val="auto"/>
                <w:sz w:val="21"/>
                <w:szCs w:val="21"/>
              </w:rPr>
            </w:pPr>
          </w:p>
        </w:tc>
        <w:tc>
          <w:tcPr>
            <w:tcW w:w="1900" w:type="dxa"/>
            <w:noWrap w:val="0"/>
            <w:vAlign w:val="center"/>
          </w:tcPr>
          <w:p w14:paraId="5655C6B7">
            <w:pPr>
              <w:spacing w:line="280" w:lineRule="exact"/>
              <w:rPr>
                <w:rFonts w:hint="eastAsia"/>
                <w:b w:val="0"/>
                <w:bCs w:val="0"/>
                <w:color w:val="auto"/>
                <w:sz w:val="21"/>
                <w:szCs w:val="21"/>
              </w:rPr>
            </w:pPr>
            <w:r>
              <w:rPr>
                <w:rFonts w:hint="eastAsia"/>
                <w:b w:val="0"/>
                <w:bCs w:val="0"/>
                <w:color w:val="auto"/>
                <w:sz w:val="21"/>
                <w:szCs w:val="21"/>
              </w:rPr>
              <w:t>相对密度(水=1)：</w:t>
            </w:r>
          </w:p>
        </w:tc>
        <w:tc>
          <w:tcPr>
            <w:tcW w:w="6776" w:type="dxa"/>
            <w:noWrap w:val="0"/>
            <w:vAlign w:val="center"/>
          </w:tcPr>
          <w:p w14:paraId="47485EAF">
            <w:pPr>
              <w:spacing w:line="280" w:lineRule="exact"/>
              <w:rPr>
                <w:rFonts w:hint="eastAsia" w:eastAsia="宋体"/>
                <w:b w:val="0"/>
                <w:bCs w:val="0"/>
                <w:color w:val="auto"/>
                <w:sz w:val="21"/>
                <w:szCs w:val="21"/>
                <w:lang w:eastAsia="zh-CN"/>
              </w:rPr>
            </w:pPr>
            <w:r>
              <w:rPr>
                <w:rFonts w:hint="eastAsia"/>
                <w:b w:val="0"/>
                <w:bCs w:val="0"/>
                <w:color w:val="auto"/>
                <w:sz w:val="21"/>
                <w:szCs w:val="21"/>
                <w:lang w:val="en-US" w:eastAsia="zh-CN"/>
              </w:rPr>
              <w:t>2.27</w:t>
            </w:r>
            <w:r>
              <w:rPr>
                <w:rFonts w:hint="eastAsia"/>
                <w:b w:val="0"/>
                <w:bCs w:val="0"/>
                <w:color w:val="auto"/>
                <w:sz w:val="21"/>
                <w:szCs w:val="21"/>
              </w:rPr>
              <w:t xml:space="preserve">                  饱和蒸汽压(kPa) ：</w:t>
            </w:r>
            <w:r>
              <w:rPr>
                <w:rFonts w:hint="eastAsia"/>
                <w:b w:val="0"/>
                <w:bCs w:val="0"/>
                <w:color w:val="auto"/>
                <w:sz w:val="21"/>
                <w:szCs w:val="21"/>
                <w:lang w:val="en-US" w:eastAsia="zh-CN"/>
              </w:rPr>
              <w:t>无资料</w:t>
            </w:r>
          </w:p>
        </w:tc>
      </w:tr>
      <w:tr w14:paraId="3A5D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548" w:type="dxa"/>
            <w:vMerge w:val="continue"/>
            <w:noWrap w:val="0"/>
            <w:textDirection w:val="tbRlV"/>
            <w:vAlign w:val="center"/>
          </w:tcPr>
          <w:p w14:paraId="0554B1C0">
            <w:pPr>
              <w:spacing w:line="280" w:lineRule="exact"/>
              <w:ind w:left="113" w:right="113"/>
              <w:jc w:val="center"/>
              <w:rPr>
                <w:rFonts w:hint="eastAsia"/>
                <w:b w:val="0"/>
                <w:bCs w:val="0"/>
                <w:color w:val="auto"/>
                <w:sz w:val="21"/>
                <w:szCs w:val="21"/>
              </w:rPr>
            </w:pPr>
          </w:p>
        </w:tc>
        <w:tc>
          <w:tcPr>
            <w:tcW w:w="1900" w:type="dxa"/>
            <w:noWrap w:val="0"/>
            <w:vAlign w:val="center"/>
          </w:tcPr>
          <w:p w14:paraId="32D945D8">
            <w:pPr>
              <w:spacing w:line="280" w:lineRule="exact"/>
              <w:rPr>
                <w:rFonts w:hint="eastAsia"/>
                <w:b w:val="0"/>
                <w:bCs w:val="0"/>
                <w:color w:val="auto"/>
                <w:sz w:val="21"/>
                <w:szCs w:val="21"/>
              </w:rPr>
            </w:pPr>
            <w:r>
              <w:rPr>
                <w:rFonts w:hint="eastAsia"/>
                <w:b w:val="0"/>
                <w:bCs w:val="0"/>
                <w:color w:val="auto"/>
                <w:sz w:val="21"/>
                <w:szCs w:val="21"/>
              </w:rPr>
              <w:t>溶解性：</w:t>
            </w:r>
          </w:p>
        </w:tc>
        <w:tc>
          <w:tcPr>
            <w:tcW w:w="6776" w:type="dxa"/>
            <w:noWrap w:val="0"/>
            <w:vAlign w:val="center"/>
          </w:tcPr>
          <w:p w14:paraId="6E63D04B">
            <w:pPr>
              <w:spacing w:line="280" w:lineRule="exact"/>
              <w:rPr>
                <w:rFonts w:hint="eastAsia"/>
                <w:b w:val="0"/>
                <w:bCs w:val="0"/>
                <w:color w:val="auto"/>
                <w:sz w:val="21"/>
                <w:szCs w:val="21"/>
              </w:rPr>
            </w:pPr>
            <w:r>
              <w:rPr>
                <w:rFonts w:hint="eastAsia"/>
                <w:b w:val="0"/>
                <w:bCs w:val="0"/>
                <w:color w:val="auto"/>
                <w:sz w:val="21"/>
                <w:szCs w:val="21"/>
              </w:rPr>
              <w:t>微溶于水，不溶于醇，溶于盐酸。</w:t>
            </w:r>
          </w:p>
        </w:tc>
      </w:tr>
      <w:tr w14:paraId="1F99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restart"/>
            <w:noWrap w:val="0"/>
            <w:textDirection w:val="tbRlV"/>
            <w:vAlign w:val="center"/>
          </w:tcPr>
          <w:p w14:paraId="7DF48FA1">
            <w:pPr>
              <w:spacing w:line="280" w:lineRule="exact"/>
              <w:ind w:left="113" w:right="113"/>
              <w:jc w:val="center"/>
              <w:rPr>
                <w:rFonts w:hint="eastAsia"/>
                <w:b w:val="0"/>
                <w:bCs w:val="0"/>
                <w:color w:val="auto"/>
                <w:sz w:val="21"/>
                <w:szCs w:val="21"/>
              </w:rPr>
            </w:pPr>
            <w:r>
              <w:rPr>
                <w:rFonts w:hint="eastAsia"/>
                <w:b w:val="0"/>
                <w:bCs w:val="0"/>
                <w:color w:val="auto"/>
                <w:sz w:val="21"/>
                <w:szCs w:val="21"/>
              </w:rPr>
              <w:t>燃烧爆炸危险性</w:t>
            </w:r>
          </w:p>
        </w:tc>
        <w:tc>
          <w:tcPr>
            <w:tcW w:w="1900" w:type="dxa"/>
            <w:noWrap w:val="0"/>
            <w:vAlign w:val="center"/>
          </w:tcPr>
          <w:p w14:paraId="257C3DBB">
            <w:pPr>
              <w:spacing w:line="280" w:lineRule="exact"/>
              <w:rPr>
                <w:rFonts w:hint="eastAsia"/>
                <w:b w:val="0"/>
                <w:bCs w:val="0"/>
                <w:color w:val="auto"/>
                <w:sz w:val="21"/>
                <w:szCs w:val="21"/>
              </w:rPr>
            </w:pPr>
            <w:r>
              <w:rPr>
                <w:rFonts w:hint="eastAsia"/>
                <w:b w:val="0"/>
                <w:bCs w:val="0"/>
                <w:color w:val="auto"/>
                <w:sz w:val="21"/>
                <w:szCs w:val="21"/>
              </w:rPr>
              <w:t>避免接触的条件：</w:t>
            </w:r>
          </w:p>
        </w:tc>
        <w:tc>
          <w:tcPr>
            <w:tcW w:w="6776" w:type="dxa"/>
            <w:noWrap w:val="0"/>
            <w:vAlign w:val="center"/>
          </w:tcPr>
          <w:p w14:paraId="5C653B35">
            <w:pPr>
              <w:spacing w:line="280" w:lineRule="exact"/>
              <w:rPr>
                <w:rFonts w:hint="default" w:eastAsia="宋体"/>
                <w:b w:val="0"/>
                <w:bCs w:val="0"/>
                <w:color w:val="auto"/>
                <w:sz w:val="21"/>
                <w:szCs w:val="21"/>
                <w:lang w:val="en-US" w:eastAsia="zh-CN"/>
              </w:rPr>
            </w:pPr>
            <w:r>
              <w:rPr>
                <w:rFonts w:hint="eastAsia"/>
                <w:b w:val="0"/>
                <w:bCs w:val="0"/>
                <w:color w:val="auto"/>
                <w:sz w:val="21"/>
                <w:szCs w:val="21"/>
                <w:lang w:val="en-US" w:eastAsia="zh-CN"/>
              </w:rPr>
              <w:t>/</w:t>
            </w:r>
          </w:p>
        </w:tc>
      </w:tr>
      <w:tr w14:paraId="600D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68FE81DD">
            <w:pPr>
              <w:spacing w:line="280" w:lineRule="exact"/>
              <w:ind w:left="113" w:right="113"/>
              <w:jc w:val="center"/>
              <w:rPr>
                <w:rFonts w:hint="eastAsia"/>
                <w:b w:val="0"/>
                <w:bCs w:val="0"/>
                <w:color w:val="auto"/>
                <w:sz w:val="21"/>
                <w:szCs w:val="21"/>
              </w:rPr>
            </w:pPr>
          </w:p>
        </w:tc>
        <w:tc>
          <w:tcPr>
            <w:tcW w:w="1900" w:type="dxa"/>
            <w:noWrap w:val="0"/>
            <w:vAlign w:val="center"/>
          </w:tcPr>
          <w:p w14:paraId="47155980">
            <w:pPr>
              <w:spacing w:line="280" w:lineRule="exact"/>
              <w:rPr>
                <w:rFonts w:hint="eastAsia"/>
                <w:b w:val="0"/>
                <w:bCs w:val="0"/>
                <w:color w:val="auto"/>
                <w:sz w:val="21"/>
                <w:szCs w:val="21"/>
              </w:rPr>
            </w:pPr>
            <w:r>
              <w:rPr>
                <w:rFonts w:hint="eastAsia"/>
                <w:b w:val="0"/>
                <w:bCs w:val="0"/>
                <w:color w:val="auto"/>
                <w:sz w:val="21"/>
                <w:szCs w:val="21"/>
              </w:rPr>
              <w:t>燃烧性：</w:t>
            </w:r>
          </w:p>
        </w:tc>
        <w:tc>
          <w:tcPr>
            <w:tcW w:w="6776" w:type="dxa"/>
            <w:noWrap w:val="0"/>
            <w:vAlign w:val="center"/>
          </w:tcPr>
          <w:p w14:paraId="093F3B7E">
            <w:pPr>
              <w:spacing w:line="280" w:lineRule="exact"/>
              <w:rPr>
                <w:rFonts w:hint="eastAsia"/>
                <w:b w:val="0"/>
                <w:bCs w:val="0"/>
                <w:color w:val="auto"/>
                <w:sz w:val="21"/>
                <w:szCs w:val="21"/>
              </w:rPr>
            </w:pPr>
            <w:r>
              <w:rPr>
                <w:rFonts w:hint="eastAsia"/>
                <w:b w:val="0"/>
                <w:bCs w:val="0"/>
                <w:color w:val="auto"/>
                <w:sz w:val="21"/>
                <w:szCs w:val="21"/>
              </w:rPr>
              <w:t>不燃</w:t>
            </w:r>
          </w:p>
        </w:tc>
      </w:tr>
      <w:tr w14:paraId="411A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480D1199">
            <w:pPr>
              <w:spacing w:line="280" w:lineRule="exact"/>
              <w:ind w:left="113" w:right="113"/>
              <w:jc w:val="center"/>
              <w:rPr>
                <w:rFonts w:hint="eastAsia"/>
                <w:b w:val="0"/>
                <w:bCs w:val="0"/>
                <w:color w:val="auto"/>
                <w:sz w:val="21"/>
                <w:szCs w:val="21"/>
              </w:rPr>
            </w:pPr>
          </w:p>
        </w:tc>
        <w:tc>
          <w:tcPr>
            <w:tcW w:w="1900" w:type="dxa"/>
            <w:noWrap w:val="0"/>
            <w:vAlign w:val="center"/>
          </w:tcPr>
          <w:p w14:paraId="4A1BD60A">
            <w:pPr>
              <w:spacing w:line="280" w:lineRule="exact"/>
              <w:rPr>
                <w:rFonts w:hint="eastAsia"/>
                <w:b w:val="0"/>
                <w:bCs w:val="0"/>
                <w:color w:val="auto"/>
                <w:sz w:val="21"/>
                <w:szCs w:val="21"/>
              </w:rPr>
            </w:pPr>
            <w:r>
              <w:rPr>
                <w:rFonts w:hint="eastAsia"/>
                <w:b w:val="0"/>
                <w:bCs w:val="0"/>
                <w:color w:val="auto"/>
                <w:sz w:val="21"/>
                <w:szCs w:val="21"/>
              </w:rPr>
              <w:t>危险特性：</w:t>
            </w:r>
          </w:p>
        </w:tc>
        <w:tc>
          <w:tcPr>
            <w:tcW w:w="6776" w:type="dxa"/>
            <w:noWrap w:val="0"/>
            <w:vAlign w:val="center"/>
          </w:tcPr>
          <w:p w14:paraId="20AAA975">
            <w:pPr>
              <w:rPr>
                <w:rFonts w:hint="eastAsia"/>
                <w:b w:val="0"/>
                <w:bCs w:val="0"/>
                <w:color w:val="auto"/>
                <w:sz w:val="21"/>
                <w:szCs w:val="21"/>
              </w:rPr>
            </w:pPr>
            <w:r>
              <w:rPr>
                <w:rFonts w:hint="eastAsia"/>
                <w:b w:val="0"/>
                <w:bCs w:val="0"/>
                <w:color w:val="auto"/>
                <w:sz w:val="21"/>
                <w:szCs w:val="21"/>
              </w:rPr>
              <w:t>与酸反应，放出有毒的腐蚀性烟气。受高热分解，放出有毒的烟气。</w:t>
            </w:r>
          </w:p>
        </w:tc>
      </w:tr>
      <w:tr w14:paraId="043B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7F61EF0B">
            <w:pPr>
              <w:spacing w:line="280" w:lineRule="exact"/>
              <w:ind w:left="113" w:right="113"/>
              <w:jc w:val="center"/>
              <w:rPr>
                <w:rFonts w:hint="eastAsia"/>
                <w:b w:val="0"/>
                <w:bCs w:val="0"/>
                <w:color w:val="auto"/>
                <w:sz w:val="21"/>
                <w:szCs w:val="21"/>
              </w:rPr>
            </w:pPr>
          </w:p>
        </w:tc>
        <w:tc>
          <w:tcPr>
            <w:tcW w:w="1900" w:type="dxa"/>
            <w:noWrap w:val="0"/>
            <w:vAlign w:val="center"/>
          </w:tcPr>
          <w:p w14:paraId="61BB799B">
            <w:pPr>
              <w:spacing w:line="280" w:lineRule="exact"/>
              <w:rPr>
                <w:rFonts w:hint="eastAsia"/>
                <w:b w:val="0"/>
                <w:bCs w:val="0"/>
                <w:color w:val="auto"/>
                <w:sz w:val="21"/>
                <w:szCs w:val="21"/>
              </w:rPr>
            </w:pPr>
            <w:r>
              <w:rPr>
                <w:rFonts w:hint="eastAsia"/>
                <w:b w:val="0"/>
                <w:bCs w:val="0"/>
                <w:color w:val="auto"/>
                <w:sz w:val="21"/>
                <w:szCs w:val="21"/>
              </w:rPr>
              <w:t>燃烧(分解)产物：</w:t>
            </w:r>
          </w:p>
        </w:tc>
        <w:tc>
          <w:tcPr>
            <w:tcW w:w="6776" w:type="dxa"/>
            <w:noWrap w:val="0"/>
            <w:vAlign w:val="center"/>
          </w:tcPr>
          <w:p w14:paraId="39AC88CC">
            <w:pPr>
              <w:spacing w:line="280" w:lineRule="exact"/>
              <w:rPr>
                <w:rFonts w:hint="eastAsia" w:eastAsia="宋体"/>
                <w:b w:val="0"/>
                <w:bCs w:val="0"/>
                <w:color w:val="auto"/>
                <w:sz w:val="21"/>
                <w:szCs w:val="21"/>
                <w:lang w:eastAsia="zh-CN"/>
              </w:rPr>
            </w:pPr>
            <w:r>
              <w:rPr>
                <w:rFonts w:hint="eastAsia"/>
                <w:b w:val="0"/>
                <w:bCs w:val="0"/>
                <w:color w:val="auto"/>
                <w:sz w:val="21"/>
                <w:szCs w:val="21"/>
              </w:rPr>
              <w:t>氟化钾、四氟化硅、氧化钾。              稳定性：</w:t>
            </w:r>
            <w:r>
              <w:rPr>
                <w:rFonts w:hint="eastAsia"/>
                <w:b w:val="0"/>
                <w:bCs w:val="0"/>
                <w:color w:val="auto"/>
                <w:sz w:val="21"/>
                <w:szCs w:val="21"/>
                <w:lang w:val="en-US" w:eastAsia="zh-CN"/>
              </w:rPr>
              <w:t>稳定</w:t>
            </w:r>
          </w:p>
        </w:tc>
      </w:tr>
      <w:tr w14:paraId="1E1C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432AF810">
            <w:pPr>
              <w:spacing w:line="280" w:lineRule="exact"/>
              <w:ind w:left="113" w:right="113"/>
              <w:jc w:val="center"/>
              <w:rPr>
                <w:rFonts w:hint="eastAsia"/>
                <w:b w:val="0"/>
                <w:bCs w:val="0"/>
                <w:color w:val="auto"/>
                <w:sz w:val="21"/>
                <w:szCs w:val="21"/>
              </w:rPr>
            </w:pPr>
          </w:p>
        </w:tc>
        <w:tc>
          <w:tcPr>
            <w:tcW w:w="1900" w:type="dxa"/>
            <w:noWrap w:val="0"/>
            <w:vAlign w:val="center"/>
          </w:tcPr>
          <w:p w14:paraId="60EDCF51">
            <w:pPr>
              <w:spacing w:line="280" w:lineRule="exact"/>
              <w:rPr>
                <w:rFonts w:hint="eastAsia"/>
                <w:b w:val="0"/>
                <w:bCs w:val="0"/>
                <w:color w:val="auto"/>
                <w:sz w:val="21"/>
                <w:szCs w:val="21"/>
              </w:rPr>
            </w:pPr>
            <w:r>
              <w:rPr>
                <w:rFonts w:hint="eastAsia"/>
                <w:b w:val="0"/>
                <w:bCs w:val="0"/>
                <w:color w:val="auto"/>
                <w:sz w:val="21"/>
                <w:szCs w:val="21"/>
              </w:rPr>
              <w:t>聚合危害：</w:t>
            </w:r>
          </w:p>
        </w:tc>
        <w:tc>
          <w:tcPr>
            <w:tcW w:w="6776" w:type="dxa"/>
            <w:noWrap w:val="0"/>
            <w:vAlign w:val="center"/>
          </w:tcPr>
          <w:p w14:paraId="7C733561">
            <w:pPr>
              <w:spacing w:line="280" w:lineRule="exact"/>
              <w:rPr>
                <w:rFonts w:hint="eastAsia"/>
                <w:b w:val="0"/>
                <w:bCs w:val="0"/>
                <w:color w:val="auto"/>
                <w:sz w:val="21"/>
                <w:szCs w:val="21"/>
              </w:rPr>
            </w:pPr>
            <w:r>
              <w:rPr>
                <w:rFonts w:hint="eastAsia"/>
                <w:b w:val="0"/>
                <w:bCs w:val="0"/>
                <w:color w:val="auto"/>
                <w:sz w:val="21"/>
                <w:szCs w:val="21"/>
              </w:rPr>
              <w:t>不能出现             禁忌物：</w:t>
            </w:r>
            <w:r>
              <w:rPr>
                <w:rFonts w:hint="eastAsia"/>
                <w:b w:val="0"/>
                <w:bCs w:val="0"/>
                <w:color w:val="auto"/>
                <w:sz w:val="21"/>
                <w:szCs w:val="21"/>
                <w:lang w:val="en-US" w:eastAsia="zh-CN"/>
              </w:rPr>
              <w:t>强氧化性、酸类</w:t>
            </w:r>
            <w:r>
              <w:rPr>
                <w:rFonts w:hint="eastAsia"/>
                <w:b w:val="0"/>
                <w:bCs w:val="0"/>
                <w:color w:val="auto"/>
                <w:sz w:val="21"/>
                <w:szCs w:val="21"/>
              </w:rPr>
              <w:t>。</w:t>
            </w:r>
          </w:p>
        </w:tc>
      </w:tr>
      <w:tr w14:paraId="5D3D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548" w:type="dxa"/>
            <w:vMerge w:val="continue"/>
            <w:noWrap w:val="0"/>
            <w:textDirection w:val="tbRlV"/>
            <w:vAlign w:val="center"/>
          </w:tcPr>
          <w:p w14:paraId="22EB8D6E">
            <w:pPr>
              <w:spacing w:line="280" w:lineRule="exact"/>
              <w:ind w:left="113" w:right="113"/>
              <w:jc w:val="center"/>
              <w:rPr>
                <w:rFonts w:hint="eastAsia"/>
                <w:b w:val="0"/>
                <w:bCs w:val="0"/>
                <w:color w:val="auto"/>
                <w:sz w:val="21"/>
                <w:szCs w:val="21"/>
              </w:rPr>
            </w:pPr>
          </w:p>
        </w:tc>
        <w:tc>
          <w:tcPr>
            <w:tcW w:w="1900" w:type="dxa"/>
            <w:noWrap w:val="0"/>
            <w:vAlign w:val="center"/>
          </w:tcPr>
          <w:p w14:paraId="08DB60BA">
            <w:pPr>
              <w:spacing w:line="280" w:lineRule="exact"/>
              <w:rPr>
                <w:rFonts w:hint="eastAsia"/>
                <w:b w:val="0"/>
                <w:bCs w:val="0"/>
                <w:color w:val="auto"/>
                <w:sz w:val="21"/>
                <w:szCs w:val="21"/>
              </w:rPr>
            </w:pPr>
            <w:r>
              <w:rPr>
                <w:rFonts w:hint="eastAsia"/>
                <w:b w:val="0"/>
                <w:bCs w:val="0"/>
                <w:color w:val="auto"/>
                <w:sz w:val="21"/>
                <w:szCs w:val="21"/>
              </w:rPr>
              <w:t>灭火方法：</w:t>
            </w:r>
          </w:p>
        </w:tc>
        <w:tc>
          <w:tcPr>
            <w:tcW w:w="6776" w:type="dxa"/>
            <w:noWrap w:val="0"/>
            <w:vAlign w:val="center"/>
          </w:tcPr>
          <w:p w14:paraId="1859A998">
            <w:pPr>
              <w:spacing w:line="280" w:lineRule="exact"/>
              <w:rPr>
                <w:rFonts w:hint="eastAsia"/>
                <w:b w:val="0"/>
                <w:bCs w:val="0"/>
                <w:color w:val="auto"/>
                <w:sz w:val="21"/>
                <w:szCs w:val="21"/>
              </w:rPr>
            </w:pPr>
            <w:r>
              <w:rPr>
                <w:rFonts w:hint="eastAsia"/>
                <w:b w:val="0"/>
                <w:bCs w:val="0"/>
                <w:color w:val="auto"/>
                <w:sz w:val="21"/>
                <w:szCs w:val="21"/>
                <w:lang w:val="en-US" w:eastAsia="zh-CN"/>
              </w:rPr>
              <w:t>水</w:t>
            </w:r>
            <w:r>
              <w:rPr>
                <w:rFonts w:hint="eastAsia"/>
                <w:b w:val="0"/>
                <w:bCs w:val="0"/>
                <w:color w:val="auto"/>
                <w:sz w:val="21"/>
                <w:szCs w:val="21"/>
              </w:rPr>
              <w:t>。</w:t>
            </w:r>
          </w:p>
        </w:tc>
      </w:tr>
      <w:tr w14:paraId="508D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548" w:type="dxa"/>
            <w:vMerge w:val="restart"/>
            <w:noWrap w:val="0"/>
            <w:textDirection w:val="tbRlV"/>
            <w:vAlign w:val="center"/>
          </w:tcPr>
          <w:p w14:paraId="42831DB1">
            <w:pPr>
              <w:spacing w:line="280" w:lineRule="exact"/>
              <w:ind w:left="113" w:right="113"/>
              <w:jc w:val="center"/>
              <w:rPr>
                <w:rFonts w:hint="eastAsia"/>
                <w:b w:val="0"/>
                <w:bCs w:val="0"/>
                <w:color w:val="auto"/>
                <w:sz w:val="21"/>
                <w:szCs w:val="21"/>
              </w:rPr>
            </w:pPr>
            <w:r>
              <w:rPr>
                <w:rFonts w:hint="eastAsia"/>
                <w:b w:val="0"/>
                <w:bCs w:val="0"/>
                <w:color w:val="auto"/>
                <w:sz w:val="21"/>
                <w:szCs w:val="21"/>
              </w:rPr>
              <w:t>包装与储运</w:t>
            </w:r>
          </w:p>
        </w:tc>
        <w:tc>
          <w:tcPr>
            <w:tcW w:w="1900" w:type="dxa"/>
            <w:noWrap w:val="0"/>
            <w:vAlign w:val="center"/>
          </w:tcPr>
          <w:p w14:paraId="1F1A495E">
            <w:pPr>
              <w:spacing w:line="280" w:lineRule="exact"/>
              <w:rPr>
                <w:rFonts w:hint="eastAsia"/>
                <w:b w:val="0"/>
                <w:bCs w:val="0"/>
                <w:color w:val="auto"/>
                <w:sz w:val="21"/>
                <w:szCs w:val="21"/>
              </w:rPr>
            </w:pPr>
            <w:r>
              <w:rPr>
                <w:rFonts w:hint="eastAsia"/>
                <w:b w:val="0"/>
                <w:bCs w:val="0"/>
                <w:color w:val="auto"/>
                <w:sz w:val="21"/>
                <w:szCs w:val="21"/>
              </w:rPr>
              <w:t>危险性类别：</w:t>
            </w:r>
          </w:p>
        </w:tc>
        <w:tc>
          <w:tcPr>
            <w:tcW w:w="6776" w:type="dxa"/>
            <w:noWrap w:val="0"/>
            <w:vAlign w:val="center"/>
          </w:tcPr>
          <w:p w14:paraId="28034583">
            <w:pPr>
              <w:spacing w:line="280" w:lineRule="exact"/>
              <w:rPr>
                <w:rFonts w:hint="eastAsia"/>
                <w:b w:val="0"/>
                <w:bCs w:val="0"/>
                <w:color w:val="auto"/>
                <w:sz w:val="21"/>
                <w:szCs w:val="21"/>
              </w:rPr>
            </w:pPr>
            <w:r>
              <w:rPr>
                <w:rFonts w:hint="eastAsia"/>
                <w:b w:val="0"/>
                <w:bCs w:val="0"/>
                <w:color w:val="auto"/>
                <w:sz w:val="21"/>
                <w:szCs w:val="21"/>
              </w:rPr>
              <w:t>第6．1类  毒害品   包装类别： Ⅲ</w:t>
            </w:r>
          </w:p>
        </w:tc>
      </w:tr>
      <w:tr w14:paraId="0F4A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trPr>
        <w:tc>
          <w:tcPr>
            <w:tcW w:w="548" w:type="dxa"/>
            <w:vMerge w:val="continue"/>
            <w:noWrap w:val="0"/>
            <w:textDirection w:val="tbRlV"/>
            <w:vAlign w:val="center"/>
          </w:tcPr>
          <w:p w14:paraId="34CEDE56">
            <w:pPr>
              <w:spacing w:line="280" w:lineRule="exact"/>
              <w:ind w:left="113" w:right="113"/>
              <w:jc w:val="center"/>
              <w:rPr>
                <w:rFonts w:hint="eastAsia"/>
                <w:b w:val="0"/>
                <w:bCs w:val="0"/>
                <w:color w:val="auto"/>
                <w:sz w:val="21"/>
                <w:szCs w:val="21"/>
              </w:rPr>
            </w:pPr>
          </w:p>
        </w:tc>
        <w:tc>
          <w:tcPr>
            <w:tcW w:w="1900" w:type="dxa"/>
            <w:noWrap w:val="0"/>
            <w:vAlign w:val="center"/>
          </w:tcPr>
          <w:p w14:paraId="2ECCB92B">
            <w:pPr>
              <w:spacing w:line="280" w:lineRule="exact"/>
              <w:rPr>
                <w:rFonts w:hint="eastAsia"/>
                <w:b w:val="0"/>
                <w:bCs w:val="0"/>
                <w:color w:val="auto"/>
                <w:sz w:val="21"/>
                <w:szCs w:val="21"/>
              </w:rPr>
            </w:pPr>
            <w:r>
              <w:rPr>
                <w:rFonts w:hint="eastAsia"/>
                <w:b w:val="0"/>
                <w:bCs w:val="0"/>
                <w:color w:val="auto"/>
                <w:sz w:val="21"/>
                <w:szCs w:val="21"/>
              </w:rPr>
              <w:t>储运注意事项：</w:t>
            </w:r>
          </w:p>
        </w:tc>
        <w:tc>
          <w:tcPr>
            <w:tcW w:w="6776" w:type="dxa"/>
            <w:noWrap w:val="0"/>
            <w:vAlign w:val="center"/>
          </w:tcPr>
          <w:p w14:paraId="7C89078F">
            <w:pPr>
              <w:spacing w:line="280" w:lineRule="exact"/>
              <w:rPr>
                <w:rFonts w:hint="eastAsia"/>
                <w:b w:val="0"/>
                <w:bCs w:val="0"/>
                <w:color w:val="auto"/>
                <w:sz w:val="21"/>
                <w:szCs w:val="21"/>
              </w:rPr>
            </w:pPr>
            <w:r>
              <w:rPr>
                <w:rFonts w:hint="eastAsia"/>
                <w:b w:val="0"/>
                <w:bCs w:val="0"/>
                <w:color w:val="auto"/>
                <w:sz w:val="21"/>
                <w:szCs w:val="21"/>
              </w:rPr>
              <w:t>操作人员工作时，需穿戴必要的防护用具。生产设备要密闭，车间要通风良好。</w:t>
            </w:r>
          </w:p>
          <w:p w14:paraId="4FCCE2B3">
            <w:pPr>
              <w:spacing w:line="280" w:lineRule="exact"/>
              <w:rPr>
                <w:rFonts w:hint="eastAsia"/>
                <w:b w:val="0"/>
                <w:bCs w:val="0"/>
                <w:color w:val="auto"/>
                <w:sz w:val="21"/>
                <w:szCs w:val="21"/>
              </w:rPr>
            </w:pPr>
            <w:r>
              <w:rPr>
                <w:rFonts w:hint="eastAsia"/>
                <w:b w:val="0"/>
                <w:bCs w:val="0"/>
                <w:color w:val="auto"/>
                <w:sz w:val="21"/>
                <w:szCs w:val="21"/>
              </w:rPr>
              <w:t>.应贮存在通风、干燥的库房内。防止潮湿。切勿与食用物品共贮混运。装卸时要轻拿轻放，防止包装破损。</w:t>
            </w:r>
          </w:p>
        </w:tc>
      </w:tr>
      <w:tr w14:paraId="765F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548" w:type="dxa"/>
            <w:vMerge w:val="restart"/>
            <w:noWrap w:val="0"/>
            <w:textDirection w:val="tbRlV"/>
            <w:vAlign w:val="center"/>
          </w:tcPr>
          <w:p w14:paraId="6B39B1C2">
            <w:pPr>
              <w:spacing w:line="280" w:lineRule="exact"/>
              <w:ind w:left="113" w:right="113"/>
              <w:jc w:val="center"/>
              <w:rPr>
                <w:rFonts w:hint="eastAsia"/>
                <w:b w:val="0"/>
                <w:bCs w:val="0"/>
                <w:color w:val="auto"/>
                <w:sz w:val="21"/>
                <w:szCs w:val="21"/>
              </w:rPr>
            </w:pPr>
            <w:r>
              <w:rPr>
                <w:rFonts w:hint="eastAsia"/>
                <w:b w:val="0"/>
                <w:bCs w:val="0"/>
                <w:color w:val="auto"/>
                <w:sz w:val="21"/>
                <w:szCs w:val="21"/>
              </w:rPr>
              <w:t>毒性危害</w:t>
            </w:r>
          </w:p>
        </w:tc>
        <w:tc>
          <w:tcPr>
            <w:tcW w:w="1900" w:type="dxa"/>
            <w:noWrap w:val="0"/>
            <w:vAlign w:val="center"/>
          </w:tcPr>
          <w:p w14:paraId="6D14287F">
            <w:pPr>
              <w:spacing w:line="280" w:lineRule="exact"/>
              <w:rPr>
                <w:rFonts w:hint="eastAsia"/>
                <w:b w:val="0"/>
                <w:bCs w:val="0"/>
                <w:color w:val="auto"/>
                <w:sz w:val="21"/>
                <w:szCs w:val="21"/>
              </w:rPr>
            </w:pPr>
            <w:r>
              <w:rPr>
                <w:rFonts w:hint="eastAsia"/>
                <w:b w:val="0"/>
                <w:bCs w:val="0"/>
                <w:color w:val="auto"/>
                <w:sz w:val="21"/>
                <w:szCs w:val="21"/>
              </w:rPr>
              <w:t>接触限值：</w:t>
            </w:r>
          </w:p>
        </w:tc>
        <w:tc>
          <w:tcPr>
            <w:tcW w:w="6776" w:type="dxa"/>
            <w:noWrap w:val="0"/>
            <w:vAlign w:val="center"/>
          </w:tcPr>
          <w:p w14:paraId="669B0288">
            <w:pPr>
              <w:spacing w:line="2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  国  MAC：未制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r>
              <w:rPr>
                <w:rFonts w:hint="eastAsia" w:cs="Times New Roman"/>
                <w:color w:val="auto"/>
                <w:sz w:val="21"/>
                <w:szCs w:val="21"/>
                <w:lang w:eastAsia="zh-CN"/>
              </w:rPr>
              <w:t>苏联</w:t>
            </w:r>
            <w:r>
              <w:rPr>
                <w:rFonts w:hint="eastAsia" w:ascii="Times New Roman" w:hAnsi="Times New Roman" w:eastAsia="宋体" w:cs="Times New Roman"/>
                <w:color w:val="auto"/>
                <w:sz w:val="21"/>
                <w:szCs w:val="21"/>
              </w:rPr>
              <w:t>MAC：未制</w:t>
            </w:r>
            <w:r>
              <w:rPr>
                <w:rFonts w:hint="eastAsia" w:cs="Times New Roman"/>
                <w:color w:val="auto"/>
                <w:sz w:val="21"/>
                <w:szCs w:val="21"/>
                <w:lang w:eastAsia="zh-CN"/>
              </w:rPr>
              <w:t>定</w:t>
            </w:r>
            <w:r>
              <w:rPr>
                <w:rFonts w:hint="eastAsia" w:ascii="Times New Roman" w:hAnsi="Times New Roman" w:eastAsia="宋体" w:cs="Times New Roman"/>
                <w:color w:val="auto"/>
                <w:sz w:val="21"/>
                <w:szCs w:val="21"/>
              </w:rPr>
              <w:t>标准</w:t>
            </w:r>
          </w:p>
          <w:p w14:paraId="4478DF64">
            <w:pPr>
              <w:spacing w:line="280" w:lineRule="exact"/>
              <w:rPr>
                <w:rFonts w:hint="default" w:eastAsia="宋体"/>
                <w:b w:val="0"/>
                <w:bCs w:val="0"/>
                <w:color w:val="auto"/>
                <w:sz w:val="21"/>
                <w:szCs w:val="21"/>
                <w:lang w:val="en-US" w:eastAsia="zh-CN"/>
              </w:rPr>
            </w:pPr>
            <w:r>
              <w:rPr>
                <w:rFonts w:hint="eastAsia" w:ascii="Times New Roman" w:hAnsi="Times New Roman" w:eastAsia="宋体" w:cs="Times New Roman"/>
                <w:color w:val="auto"/>
                <w:sz w:val="21"/>
                <w:szCs w:val="21"/>
              </w:rPr>
              <w:t>美国TLV—TWA：</w:t>
            </w:r>
            <w:r>
              <w:rPr>
                <w:rFonts w:hint="eastAsia" w:cs="Times New Roman"/>
                <w:color w:val="auto"/>
                <w:sz w:val="21"/>
                <w:szCs w:val="21"/>
                <w:lang w:val="en-US" w:eastAsia="zh-CN"/>
              </w:rPr>
              <w:t>2.5mg(F)/</w:t>
            </w:r>
          </w:p>
        </w:tc>
      </w:tr>
      <w:tr w14:paraId="1C11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548" w:type="dxa"/>
            <w:vMerge w:val="continue"/>
            <w:noWrap w:val="0"/>
            <w:textDirection w:val="tbRlV"/>
            <w:vAlign w:val="center"/>
          </w:tcPr>
          <w:p w14:paraId="185426AC">
            <w:pPr>
              <w:spacing w:line="280" w:lineRule="exact"/>
              <w:ind w:left="113" w:right="113"/>
              <w:jc w:val="center"/>
              <w:rPr>
                <w:rFonts w:hint="eastAsia"/>
                <w:b w:val="0"/>
                <w:bCs w:val="0"/>
                <w:color w:val="auto"/>
                <w:sz w:val="21"/>
                <w:szCs w:val="21"/>
              </w:rPr>
            </w:pPr>
          </w:p>
        </w:tc>
        <w:tc>
          <w:tcPr>
            <w:tcW w:w="1900" w:type="dxa"/>
            <w:noWrap w:val="0"/>
            <w:vAlign w:val="center"/>
          </w:tcPr>
          <w:p w14:paraId="702B9CAD">
            <w:pPr>
              <w:spacing w:line="280" w:lineRule="exact"/>
              <w:rPr>
                <w:rFonts w:hint="eastAsia"/>
                <w:b w:val="0"/>
                <w:bCs w:val="0"/>
                <w:color w:val="auto"/>
                <w:sz w:val="21"/>
                <w:szCs w:val="21"/>
              </w:rPr>
            </w:pPr>
            <w:r>
              <w:rPr>
                <w:rFonts w:hint="eastAsia"/>
                <w:b w:val="0"/>
                <w:bCs w:val="0"/>
                <w:color w:val="auto"/>
                <w:sz w:val="21"/>
                <w:szCs w:val="21"/>
              </w:rPr>
              <w:t>侵入途径：</w:t>
            </w:r>
          </w:p>
        </w:tc>
        <w:tc>
          <w:tcPr>
            <w:tcW w:w="6776" w:type="dxa"/>
            <w:noWrap w:val="0"/>
            <w:vAlign w:val="center"/>
          </w:tcPr>
          <w:p w14:paraId="2992C026">
            <w:pPr>
              <w:spacing w:line="280" w:lineRule="exact"/>
              <w:rPr>
                <w:rFonts w:hint="eastAsia"/>
                <w:b w:val="0"/>
                <w:bCs w:val="0"/>
                <w:color w:val="auto"/>
                <w:sz w:val="21"/>
                <w:szCs w:val="21"/>
              </w:rPr>
            </w:pPr>
            <w:r>
              <w:rPr>
                <w:rFonts w:hint="eastAsia"/>
                <w:b w:val="0"/>
                <w:bCs w:val="0"/>
                <w:color w:val="auto"/>
                <w:sz w:val="21"/>
                <w:szCs w:val="21"/>
              </w:rPr>
              <w:t>吸入  食入</w:t>
            </w:r>
          </w:p>
        </w:tc>
      </w:tr>
      <w:tr w14:paraId="0E08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548" w:type="dxa"/>
            <w:vMerge w:val="continue"/>
            <w:noWrap w:val="0"/>
            <w:textDirection w:val="tbRlV"/>
            <w:vAlign w:val="center"/>
          </w:tcPr>
          <w:p w14:paraId="462F0E24">
            <w:pPr>
              <w:spacing w:line="280" w:lineRule="exact"/>
              <w:ind w:left="113" w:right="113"/>
              <w:jc w:val="center"/>
              <w:rPr>
                <w:rFonts w:hint="eastAsia"/>
                <w:b w:val="0"/>
                <w:bCs w:val="0"/>
                <w:color w:val="auto"/>
                <w:sz w:val="21"/>
                <w:szCs w:val="21"/>
              </w:rPr>
            </w:pPr>
          </w:p>
        </w:tc>
        <w:tc>
          <w:tcPr>
            <w:tcW w:w="1900" w:type="dxa"/>
            <w:noWrap w:val="0"/>
            <w:vAlign w:val="center"/>
          </w:tcPr>
          <w:p w14:paraId="3940DD98">
            <w:pPr>
              <w:spacing w:line="280" w:lineRule="exact"/>
              <w:rPr>
                <w:rFonts w:hint="eastAsia"/>
                <w:b w:val="0"/>
                <w:bCs w:val="0"/>
                <w:color w:val="auto"/>
                <w:sz w:val="21"/>
                <w:szCs w:val="21"/>
              </w:rPr>
            </w:pPr>
            <w:r>
              <w:rPr>
                <w:rFonts w:hint="eastAsia"/>
                <w:b w:val="0"/>
                <w:bCs w:val="0"/>
                <w:color w:val="auto"/>
                <w:sz w:val="21"/>
                <w:szCs w:val="21"/>
              </w:rPr>
              <w:t>毒性：</w:t>
            </w:r>
          </w:p>
        </w:tc>
        <w:tc>
          <w:tcPr>
            <w:tcW w:w="6776" w:type="dxa"/>
            <w:noWrap w:val="0"/>
            <w:vAlign w:val="center"/>
          </w:tcPr>
          <w:p w14:paraId="751F0E6E">
            <w:pPr>
              <w:spacing w:line="280" w:lineRule="exact"/>
              <w:rPr>
                <w:rFonts w:hint="default" w:eastAsia="宋体"/>
                <w:b w:val="0"/>
                <w:bCs w:val="0"/>
                <w:color w:val="auto"/>
                <w:sz w:val="21"/>
                <w:szCs w:val="21"/>
                <w:lang w:val="en-US" w:eastAsia="zh-CN"/>
              </w:rPr>
            </w:pPr>
            <w:r>
              <w:rPr>
                <w:rFonts w:hint="eastAsia"/>
                <w:b w:val="0"/>
                <w:bCs w:val="0"/>
                <w:color w:val="auto"/>
                <w:sz w:val="21"/>
                <w:szCs w:val="21"/>
              </w:rPr>
              <w:t>LD50：</w:t>
            </w:r>
            <w:r>
              <w:rPr>
                <w:rFonts w:hint="eastAsia"/>
                <w:b w:val="0"/>
                <w:bCs w:val="0"/>
                <w:color w:val="auto"/>
                <w:sz w:val="21"/>
                <w:szCs w:val="21"/>
                <w:lang w:val="en-US" w:eastAsia="zh-CN"/>
              </w:rPr>
              <w:t>500</w:t>
            </w:r>
            <w:r>
              <w:rPr>
                <w:rFonts w:hint="eastAsia"/>
                <w:b w:val="0"/>
                <w:bCs w:val="0"/>
                <w:color w:val="auto"/>
                <w:sz w:val="21"/>
                <w:szCs w:val="21"/>
              </w:rPr>
              <w:t>mg/kg(大鼠经口)；</w:t>
            </w:r>
            <w:r>
              <w:rPr>
                <w:rFonts w:hint="eastAsia"/>
                <w:b w:val="0"/>
                <w:bCs w:val="0"/>
                <w:color w:val="auto"/>
                <w:sz w:val="21"/>
                <w:szCs w:val="21"/>
                <w:lang w:val="en-US" w:eastAsia="zh-CN"/>
              </w:rPr>
              <w:t>LC50：/</w:t>
            </w:r>
          </w:p>
        </w:tc>
      </w:tr>
      <w:tr w14:paraId="1AEC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548" w:type="dxa"/>
            <w:vMerge w:val="continue"/>
            <w:noWrap w:val="0"/>
            <w:textDirection w:val="tbRlV"/>
            <w:vAlign w:val="center"/>
          </w:tcPr>
          <w:p w14:paraId="3306F462">
            <w:pPr>
              <w:spacing w:line="280" w:lineRule="exact"/>
              <w:ind w:left="113" w:right="113"/>
              <w:jc w:val="center"/>
              <w:rPr>
                <w:rFonts w:hint="eastAsia"/>
                <w:b w:val="0"/>
                <w:bCs w:val="0"/>
                <w:color w:val="auto"/>
                <w:sz w:val="21"/>
                <w:szCs w:val="21"/>
              </w:rPr>
            </w:pPr>
          </w:p>
        </w:tc>
        <w:tc>
          <w:tcPr>
            <w:tcW w:w="1900" w:type="dxa"/>
            <w:noWrap w:val="0"/>
            <w:vAlign w:val="center"/>
          </w:tcPr>
          <w:p w14:paraId="29595CC7">
            <w:pPr>
              <w:spacing w:line="280" w:lineRule="exact"/>
              <w:rPr>
                <w:rFonts w:hint="eastAsia"/>
                <w:b w:val="0"/>
                <w:bCs w:val="0"/>
                <w:color w:val="auto"/>
                <w:sz w:val="21"/>
                <w:szCs w:val="21"/>
              </w:rPr>
            </w:pPr>
            <w:r>
              <w:rPr>
                <w:rFonts w:hint="eastAsia"/>
                <w:b w:val="0"/>
                <w:bCs w:val="0"/>
                <w:color w:val="auto"/>
                <w:sz w:val="21"/>
                <w:szCs w:val="21"/>
              </w:rPr>
              <w:t>健康危害：</w:t>
            </w:r>
          </w:p>
        </w:tc>
        <w:tc>
          <w:tcPr>
            <w:tcW w:w="6776" w:type="dxa"/>
            <w:noWrap w:val="0"/>
            <w:vAlign w:val="center"/>
          </w:tcPr>
          <w:p w14:paraId="10EAC601">
            <w:pPr>
              <w:spacing w:line="280" w:lineRule="exact"/>
              <w:rPr>
                <w:rFonts w:hint="eastAsia"/>
                <w:b w:val="0"/>
                <w:bCs w:val="0"/>
                <w:color w:val="auto"/>
                <w:sz w:val="21"/>
                <w:szCs w:val="21"/>
              </w:rPr>
            </w:pPr>
            <w:r>
              <w:rPr>
                <w:rFonts w:hint="eastAsia"/>
                <w:b w:val="0"/>
                <w:bCs w:val="0"/>
                <w:color w:val="auto"/>
                <w:sz w:val="21"/>
                <w:szCs w:val="21"/>
              </w:rPr>
              <w:t>有毒。误服或吸入粉尘会中毒。遇热分解释出有毒的氟和氧化锌烟雾。</w:t>
            </w:r>
          </w:p>
        </w:tc>
      </w:tr>
      <w:tr w14:paraId="1989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restart"/>
            <w:noWrap w:val="0"/>
            <w:textDirection w:val="tbRlV"/>
            <w:vAlign w:val="center"/>
          </w:tcPr>
          <w:p w14:paraId="725279B3">
            <w:pPr>
              <w:spacing w:line="280" w:lineRule="exact"/>
              <w:ind w:left="113" w:right="113"/>
              <w:jc w:val="center"/>
              <w:rPr>
                <w:rFonts w:hint="eastAsia"/>
                <w:b w:val="0"/>
                <w:bCs w:val="0"/>
                <w:color w:val="auto"/>
                <w:sz w:val="21"/>
                <w:szCs w:val="21"/>
              </w:rPr>
            </w:pPr>
            <w:r>
              <w:rPr>
                <w:rFonts w:hint="eastAsia"/>
                <w:b w:val="0"/>
                <w:bCs w:val="0"/>
                <w:color w:val="auto"/>
                <w:sz w:val="21"/>
                <w:szCs w:val="21"/>
              </w:rPr>
              <w:t>急救</w:t>
            </w:r>
          </w:p>
        </w:tc>
        <w:tc>
          <w:tcPr>
            <w:tcW w:w="1900" w:type="dxa"/>
            <w:noWrap w:val="0"/>
            <w:vAlign w:val="center"/>
          </w:tcPr>
          <w:p w14:paraId="395C8432">
            <w:pPr>
              <w:spacing w:line="280" w:lineRule="exact"/>
              <w:rPr>
                <w:rFonts w:hint="eastAsia"/>
                <w:b w:val="0"/>
                <w:bCs w:val="0"/>
                <w:color w:val="auto"/>
                <w:sz w:val="21"/>
                <w:szCs w:val="21"/>
              </w:rPr>
            </w:pPr>
            <w:r>
              <w:rPr>
                <w:rFonts w:hint="eastAsia"/>
                <w:b w:val="0"/>
                <w:bCs w:val="0"/>
                <w:color w:val="auto"/>
                <w:sz w:val="21"/>
                <w:szCs w:val="21"/>
              </w:rPr>
              <w:t>皮肤接触：</w:t>
            </w:r>
          </w:p>
        </w:tc>
        <w:tc>
          <w:tcPr>
            <w:tcW w:w="6776" w:type="dxa"/>
            <w:noWrap w:val="0"/>
            <w:vAlign w:val="center"/>
          </w:tcPr>
          <w:p w14:paraId="0EAD25C8">
            <w:pPr>
              <w:spacing w:line="280" w:lineRule="exact"/>
              <w:rPr>
                <w:rFonts w:hint="eastAsia"/>
                <w:b w:val="0"/>
                <w:bCs w:val="0"/>
                <w:color w:val="auto"/>
                <w:sz w:val="21"/>
                <w:szCs w:val="21"/>
              </w:rPr>
            </w:pPr>
            <w:r>
              <w:rPr>
                <w:rFonts w:hint="eastAsia"/>
                <w:b w:val="0"/>
                <w:bCs w:val="0"/>
                <w:color w:val="auto"/>
                <w:sz w:val="21"/>
                <w:szCs w:val="21"/>
              </w:rPr>
              <w:t>脱去污染的衣着，立即用流动清水彻底冲洗。</w:t>
            </w:r>
          </w:p>
        </w:tc>
      </w:tr>
      <w:tr w14:paraId="4995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6B3F7098">
            <w:pPr>
              <w:spacing w:line="280" w:lineRule="exact"/>
              <w:ind w:left="113" w:right="113"/>
              <w:jc w:val="center"/>
              <w:rPr>
                <w:rFonts w:hint="eastAsia"/>
                <w:b w:val="0"/>
                <w:bCs w:val="0"/>
                <w:color w:val="auto"/>
                <w:sz w:val="21"/>
                <w:szCs w:val="21"/>
              </w:rPr>
            </w:pPr>
          </w:p>
        </w:tc>
        <w:tc>
          <w:tcPr>
            <w:tcW w:w="1900" w:type="dxa"/>
            <w:noWrap w:val="0"/>
            <w:vAlign w:val="center"/>
          </w:tcPr>
          <w:p w14:paraId="59BAEFF4">
            <w:pPr>
              <w:spacing w:line="280" w:lineRule="exact"/>
              <w:rPr>
                <w:rFonts w:hint="eastAsia"/>
                <w:b w:val="0"/>
                <w:bCs w:val="0"/>
                <w:color w:val="auto"/>
                <w:sz w:val="21"/>
                <w:szCs w:val="21"/>
              </w:rPr>
            </w:pPr>
            <w:r>
              <w:rPr>
                <w:rFonts w:hint="eastAsia"/>
                <w:b w:val="0"/>
                <w:bCs w:val="0"/>
                <w:color w:val="auto"/>
                <w:sz w:val="21"/>
                <w:szCs w:val="21"/>
              </w:rPr>
              <w:t>眼睛接触：</w:t>
            </w:r>
          </w:p>
        </w:tc>
        <w:tc>
          <w:tcPr>
            <w:tcW w:w="6776" w:type="dxa"/>
            <w:noWrap w:val="0"/>
            <w:vAlign w:val="center"/>
          </w:tcPr>
          <w:p w14:paraId="15D5A5F2">
            <w:pPr>
              <w:rPr>
                <w:rFonts w:hint="eastAsia"/>
                <w:b w:val="0"/>
                <w:bCs w:val="0"/>
                <w:color w:val="auto"/>
                <w:sz w:val="21"/>
                <w:szCs w:val="21"/>
              </w:rPr>
            </w:pPr>
            <w:r>
              <w:rPr>
                <w:rFonts w:hint="eastAsia"/>
                <w:b w:val="0"/>
                <w:bCs w:val="0"/>
                <w:color w:val="auto"/>
                <w:sz w:val="21"/>
                <w:szCs w:val="21"/>
              </w:rPr>
              <w:t>立即提起眼睑，用大量流动清水或生理盐水彻底冲洗至少15分钟。就医。</w:t>
            </w:r>
          </w:p>
        </w:tc>
      </w:tr>
      <w:tr w14:paraId="1924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4E135928">
            <w:pPr>
              <w:spacing w:line="280" w:lineRule="exact"/>
              <w:ind w:left="113" w:right="113"/>
              <w:jc w:val="center"/>
              <w:rPr>
                <w:rFonts w:hint="eastAsia"/>
                <w:b w:val="0"/>
                <w:bCs w:val="0"/>
                <w:color w:val="auto"/>
                <w:sz w:val="21"/>
                <w:szCs w:val="21"/>
              </w:rPr>
            </w:pPr>
          </w:p>
        </w:tc>
        <w:tc>
          <w:tcPr>
            <w:tcW w:w="1900" w:type="dxa"/>
            <w:noWrap w:val="0"/>
            <w:vAlign w:val="center"/>
          </w:tcPr>
          <w:p w14:paraId="70B5E8CA">
            <w:pPr>
              <w:spacing w:line="280" w:lineRule="exact"/>
              <w:rPr>
                <w:rFonts w:hint="eastAsia"/>
                <w:b w:val="0"/>
                <w:bCs w:val="0"/>
                <w:color w:val="auto"/>
                <w:sz w:val="21"/>
                <w:szCs w:val="21"/>
              </w:rPr>
            </w:pPr>
            <w:r>
              <w:rPr>
                <w:rFonts w:hint="eastAsia"/>
                <w:b w:val="0"/>
                <w:bCs w:val="0"/>
                <w:color w:val="auto"/>
                <w:sz w:val="21"/>
                <w:szCs w:val="21"/>
              </w:rPr>
              <w:t>吸入：</w:t>
            </w:r>
          </w:p>
        </w:tc>
        <w:tc>
          <w:tcPr>
            <w:tcW w:w="6776" w:type="dxa"/>
            <w:noWrap w:val="0"/>
            <w:vAlign w:val="center"/>
          </w:tcPr>
          <w:p w14:paraId="27086F21">
            <w:pPr>
              <w:rPr>
                <w:rFonts w:hint="eastAsia"/>
                <w:b w:val="0"/>
                <w:bCs w:val="0"/>
                <w:color w:val="auto"/>
                <w:sz w:val="21"/>
                <w:szCs w:val="21"/>
              </w:rPr>
            </w:pPr>
            <w:r>
              <w:rPr>
                <w:rFonts w:hint="eastAsia"/>
                <w:b w:val="0"/>
                <w:bCs w:val="0"/>
                <w:color w:val="auto"/>
                <w:sz w:val="21"/>
                <w:szCs w:val="21"/>
              </w:rPr>
              <w:t>脱离现场至空气新鲜处。必要时进行人工呼吸。就医。</w:t>
            </w:r>
          </w:p>
        </w:tc>
      </w:tr>
      <w:tr w14:paraId="0BB6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42800E63">
            <w:pPr>
              <w:spacing w:line="280" w:lineRule="exact"/>
              <w:ind w:left="113" w:right="113"/>
              <w:jc w:val="center"/>
              <w:rPr>
                <w:rFonts w:hint="eastAsia"/>
                <w:b w:val="0"/>
                <w:bCs w:val="0"/>
                <w:color w:val="auto"/>
                <w:sz w:val="21"/>
                <w:szCs w:val="21"/>
              </w:rPr>
            </w:pPr>
          </w:p>
        </w:tc>
        <w:tc>
          <w:tcPr>
            <w:tcW w:w="1900" w:type="dxa"/>
            <w:noWrap w:val="0"/>
            <w:vAlign w:val="center"/>
          </w:tcPr>
          <w:p w14:paraId="1FC0185F">
            <w:pPr>
              <w:spacing w:line="280" w:lineRule="exact"/>
              <w:rPr>
                <w:rFonts w:hint="eastAsia"/>
                <w:b w:val="0"/>
                <w:bCs w:val="0"/>
                <w:color w:val="auto"/>
                <w:sz w:val="21"/>
                <w:szCs w:val="21"/>
              </w:rPr>
            </w:pPr>
            <w:r>
              <w:rPr>
                <w:rFonts w:hint="eastAsia"/>
                <w:b w:val="0"/>
                <w:bCs w:val="0"/>
                <w:color w:val="auto"/>
                <w:sz w:val="21"/>
                <w:szCs w:val="21"/>
              </w:rPr>
              <w:t xml:space="preserve">食入： </w:t>
            </w:r>
          </w:p>
        </w:tc>
        <w:tc>
          <w:tcPr>
            <w:tcW w:w="6776" w:type="dxa"/>
            <w:noWrap w:val="0"/>
            <w:vAlign w:val="center"/>
          </w:tcPr>
          <w:p w14:paraId="53AC81D3">
            <w:pPr>
              <w:rPr>
                <w:rFonts w:hint="eastAsia"/>
                <w:b w:val="0"/>
                <w:bCs w:val="0"/>
                <w:color w:val="auto"/>
                <w:sz w:val="21"/>
                <w:szCs w:val="21"/>
              </w:rPr>
            </w:pPr>
            <w:r>
              <w:rPr>
                <w:rFonts w:hint="eastAsia"/>
                <w:b w:val="0"/>
                <w:bCs w:val="0"/>
                <w:color w:val="auto"/>
                <w:sz w:val="21"/>
                <w:szCs w:val="21"/>
              </w:rPr>
              <w:t>误服者，口服牛奶、豆浆或蛋清，就医。</w:t>
            </w:r>
          </w:p>
        </w:tc>
      </w:tr>
      <w:tr w14:paraId="57FB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restart"/>
            <w:noWrap w:val="0"/>
            <w:textDirection w:val="tbRlV"/>
            <w:vAlign w:val="center"/>
          </w:tcPr>
          <w:p w14:paraId="3737E7EA">
            <w:pPr>
              <w:spacing w:line="280" w:lineRule="exact"/>
              <w:ind w:left="113" w:right="113"/>
              <w:jc w:val="center"/>
              <w:rPr>
                <w:rFonts w:hint="eastAsia"/>
                <w:b w:val="0"/>
                <w:bCs w:val="0"/>
                <w:color w:val="auto"/>
                <w:sz w:val="21"/>
                <w:szCs w:val="21"/>
              </w:rPr>
            </w:pPr>
            <w:r>
              <w:rPr>
                <w:rFonts w:hint="eastAsia"/>
                <w:b w:val="0"/>
                <w:bCs w:val="0"/>
                <w:color w:val="auto"/>
                <w:sz w:val="21"/>
                <w:szCs w:val="21"/>
              </w:rPr>
              <w:t>防护措施</w:t>
            </w:r>
          </w:p>
        </w:tc>
        <w:tc>
          <w:tcPr>
            <w:tcW w:w="1900" w:type="dxa"/>
            <w:noWrap w:val="0"/>
            <w:vAlign w:val="center"/>
          </w:tcPr>
          <w:p w14:paraId="7C10F18F">
            <w:pPr>
              <w:spacing w:line="280" w:lineRule="exact"/>
              <w:rPr>
                <w:rFonts w:hint="eastAsia"/>
                <w:b w:val="0"/>
                <w:bCs w:val="0"/>
                <w:color w:val="auto"/>
                <w:sz w:val="21"/>
                <w:szCs w:val="21"/>
              </w:rPr>
            </w:pPr>
            <w:r>
              <w:rPr>
                <w:rFonts w:hint="eastAsia"/>
                <w:b w:val="0"/>
                <w:bCs w:val="0"/>
                <w:color w:val="auto"/>
                <w:sz w:val="21"/>
                <w:szCs w:val="21"/>
              </w:rPr>
              <w:t>工程控制：</w:t>
            </w:r>
          </w:p>
        </w:tc>
        <w:tc>
          <w:tcPr>
            <w:tcW w:w="6776" w:type="dxa"/>
            <w:noWrap w:val="0"/>
            <w:vAlign w:val="center"/>
          </w:tcPr>
          <w:p w14:paraId="4ED24C28">
            <w:pPr>
              <w:spacing w:line="280" w:lineRule="exact"/>
              <w:rPr>
                <w:rFonts w:hint="eastAsia"/>
                <w:b w:val="0"/>
                <w:bCs w:val="0"/>
                <w:color w:val="auto"/>
                <w:sz w:val="21"/>
                <w:szCs w:val="21"/>
              </w:rPr>
            </w:pPr>
            <w:r>
              <w:rPr>
                <w:rFonts w:hint="eastAsia"/>
                <w:b w:val="0"/>
                <w:bCs w:val="0"/>
                <w:color w:val="auto"/>
                <w:sz w:val="21"/>
                <w:szCs w:val="21"/>
              </w:rPr>
              <w:t>密闭操作，局部排风。</w:t>
            </w:r>
          </w:p>
        </w:tc>
      </w:tr>
      <w:tr w14:paraId="3ACD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4FF5E9AE">
            <w:pPr>
              <w:spacing w:line="280" w:lineRule="exact"/>
              <w:ind w:left="113" w:right="113"/>
              <w:jc w:val="center"/>
              <w:rPr>
                <w:rFonts w:hint="eastAsia"/>
                <w:b w:val="0"/>
                <w:bCs w:val="0"/>
                <w:color w:val="auto"/>
                <w:sz w:val="21"/>
                <w:szCs w:val="21"/>
              </w:rPr>
            </w:pPr>
          </w:p>
        </w:tc>
        <w:tc>
          <w:tcPr>
            <w:tcW w:w="1900" w:type="dxa"/>
            <w:noWrap w:val="0"/>
            <w:vAlign w:val="center"/>
          </w:tcPr>
          <w:p w14:paraId="7CAD7C26">
            <w:pPr>
              <w:spacing w:line="280" w:lineRule="exact"/>
              <w:rPr>
                <w:rFonts w:hint="eastAsia"/>
                <w:b w:val="0"/>
                <w:bCs w:val="0"/>
                <w:color w:val="auto"/>
                <w:sz w:val="21"/>
                <w:szCs w:val="21"/>
              </w:rPr>
            </w:pPr>
            <w:r>
              <w:rPr>
                <w:rFonts w:hint="eastAsia"/>
                <w:b w:val="0"/>
                <w:bCs w:val="0"/>
                <w:color w:val="auto"/>
                <w:sz w:val="21"/>
                <w:szCs w:val="21"/>
              </w:rPr>
              <w:t>呼吸系统防护：</w:t>
            </w:r>
          </w:p>
        </w:tc>
        <w:tc>
          <w:tcPr>
            <w:tcW w:w="6776" w:type="dxa"/>
            <w:noWrap w:val="0"/>
            <w:vAlign w:val="center"/>
          </w:tcPr>
          <w:p w14:paraId="08156920">
            <w:pPr>
              <w:spacing w:line="280" w:lineRule="exact"/>
              <w:rPr>
                <w:rFonts w:hint="eastAsia"/>
                <w:b w:val="0"/>
                <w:bCs w:val="0"/>
                <w:color w:val="auto"/>
                <w:sz w:val="21"/>
                <w:szCs w:val="21"/>
              </w:rPr>
            </w:pPr>
            <w:r>
              <w:rPr>
                <w:rFonts w:hint="eastAsia"/>
                <w:b w:val="0"/>
                <w:bCs w:val="0"/>
                <w:color w:val="auto"/>
                <w:sz w:val="21"/>
                <w:szCs w:val="21"/>
              </w:rPr>
              <w:t>佩戴防尘口罩。紧急事态抢救或逃生时，应该佩戴防毒面具。</w:t>
            </w:r>
          </w:p>
        </w:tc>
      </w:tr>
      <w:tr w14:paraId="0FD7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3188E0DF">
            <w:pPr>
              <w:spacing w:line="280" w:lineRule="exact"/>
              <w:ind w:left="113" w:right="113"/>
              <w:jc w:val="center"/>
              <w:rPr>
                <w:rFonts w:hint="eastAsia"/>
                <w:b w:val="0"/>
                <w:bCs w:val="0"/>
                <w:color w:val="auto"/>
                <w:sz w:val="21"/>
                <w:szCs w:val="21"/>
              </w:rPr>
            </w:pPr>
          </w:p>
        </w:tc>
        <w:tc>
          <w:tcPr>
            <w:tcW w:w="1900" w:type="dxa"/>
            <w:noWrap w:val="0"/>
            <w:vAlign w:val="center"/>
          </w:tcPr>
          <w:p w14:paraId="3821413F">
            <w:pPr>
              <w:spacing w:line="280" w:lineRule="exact"/>
              <w:rPr>
                <w:rFonts w:hint="eastAsia"/>
                <w:b w:val="0"/>
                <w:bCs w:val="0"/>
                <w:color w:val="auto"/>
                <w:sz w:val="21"/>
                <w:szCs w:val="21"/>
              </w:rPr>
            </w:pPr>
            <w:r>
              <w:rPr>
                <w:rFonts w:hint="eastAsia"/>
                <w:b w:val="0"/>
                <w:bCs w:val="0"/>
                <w:color w:val="auto"/>
                <w:sz w:val="21"/>
                <w:szCs w:val="21"/>
              </w:rPr>
              <w:t>眼睛防护：</w:t>
            </w:r>
          </w:p>
        </w:tc>
        <w:tc>
          <w:tcPr>
            <w:tcW w:w="6776" w:type="dxa"/>
            <w:noWrap w:val="0"/>
            <w:vAlign w:val="center"/>
          </w:tcPr>
          <w:p w14:paraId="01BBB69F">
            <w:pPr>
              <w:spacing w:line="280" w:lineRule="exact"/>
              <w:rPr>
                <w:rFonts w:hint="eastAsia"/>
                <w:b w:val="0"/>
                <w:bCs w:val="0"/>
                <w:color w:val="auto"/>
                <w:sz w:val="21"/>
                <w:szCs w:val="21"/>
              </w:rPr>
            </w:pPr>
            <w:r>
              <w:rPr>
                <w:rFonts w:hint="eastAsia"/>
                <w:b w:val="0"/>
                <w:bCs w:val="0"/>
                <w:color w:val="auto"/>
                <w:sz w:val="21"/>
                <w:szCs w:val="21"/>
              </w:rPr>
              <w:t>戴化学安全防护眼镜。</w:t>
            </w:r>
          </w:p>
        </w:tc>
      </w:tr>
      <w:tr w14:paraId="2EA4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5540F563">
            <w:pPr>
              <w:spacing w:line="280" w:lineRule="exact"/>
              <w:ind w:left="113" w:right="113"/>
              <w:jc w:val="center"/>
              <w:rPr>
                <w:rFonts w:hint="eastAsia"/>
                <w:b w:val="0"/>
                <w:bCs w:val="0"/>
                <w:color w:val="auto"/>
                <w:sz w:val="21"/>
                <w:szCs w:val="21"/>
              </w:rPr>
            </w:pPr>
          </w:p>
        </w:tc>
        <w:tc>
          <w:tcPr>
            <w:tcW w:w="1900" w:type="dxa"/>
            <w:noWrap w:val="0"/>
            <w:vAlign w:val="center"/>
          </w:tcPr>
          <w:p w14:paraId="2A4AAB7C">
            <w:pPr>
              <w:spacing w:line="280" w:lineRule="exact"/>
              <w:rPr>
                <w:rFonts w:hint="eastAsia"/>
                <w:b w:val="0"/>
                <w:bCs w:val="0"/>
                <w:color w:val="auto"/>
                <w:sz w:val="21"/>
                <w:szCs w:val="21"/>
              </w:rPr>
            </w:pPr>
            <w:r>
              <w:rPr>
                <w:rFonts w:hint="eastAsia"/>
                <w:b w:val="0"/>
                <w:bCs w:val="0"/>
                <w:color w:val="auto"/>
                <w:sz w:val="21"/>
                <w:szCs w:val="21"/>
              </w:rPr>
              <w:t>防护服：</w:t>
            </w:r>
          </w:p>
        </w:tc>
        <w:tc>
          <w:tcPr>
            <w:tcW w:w="6776" w:type="dxa"/>
            <w:noWrap w:val="0"/>
            <w:vAlign w:val="center"/>
          </w:tcPr>
          <w:p w14:paraId="0DECBF3D">
            <w:pPr>
              <w:spacing w:line="280" w:lineRule="exact"/>
              <w:rPr>
                <w:rFonts w:hint="eastAsia"/>
                <w:b w:val="0"/>
                <w:bCs w:val="0"/>
                <w:color w:val="auto"/>
                <w:sz w:val="21"/>
                <w:szCs w:val="21"/>
              </w:rPr>
            </w:pPr>
            <w:r>
              <w:rPr>
                <w:rFonts w:hint="eastAsia"/>
                <w:b w:val="0"/>
                <w:bCs w:val="0"/>
                <w:color w:val="auto"/>
                <w:sz w:val="21"/>
                <w:szCs w:val="21"/>
              </w:rPr>
              <w:t>穿相应的防护服。</w:t>
            </w:r>
          </w:p>
        </w:tc>
      </w:tr>
      <w:tr w14:paraId="390E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48" w:type="dxa"/>
            <w:vMerge w:val="continue"/>
            <w:noWrap w:val="0"/>
            <w:textDirection w:val="tbRlV"/>
            <w:vAlign w:val="center"/>
          </w:tcPr>
          <w:p w14:paraId="29CC6F1C">
            <w:pPr>
              <w:spacing w:line="280" w:lineRule="exact"/>
              <w:ind w:left="113" w:right="113"/>
              <w:jc w:val="center"/>
              <w:rPr>
                <w:rFonts w:hint="eastAsia"/>
                <w:b w:val="0"/>
                <w:bCs w:val="0"/>
                <w:color w:val="auto"/>
                <w:sz w:val="21"/>
                <w:szCs w:val="21"/>
              </w:rPr>
            </w:pPr>
          </w:p>
        </w:tc>
        <w:tc>
          <w:tcPr>
            <w:tcW w:w="1900" w:type="dxa"/>
            <w:noWrap w:val="0"/>
            <w:vAlign w:val="center"/>
          </w:tcPr>
          <w:p w14:paraId="1F49CD2F">
            <w:pPr>
              <w:spacing w:line="280" w:lineRule="exact"/>
              <w:rPr>
                <w:rFonts w:hint="eastAsia"/>
                <w:b w:val="0"/>
                <w:bCs w:val="0"/>
                <w:color w:val="auto"/>
                <w:sz w:val="21"/>
                <w:szCs w:val="21"/>
              </w:rPr>
            </w:pPr>
            <w:r>
              <w:rPr>
                <w:rFonts w:hint="eastAsia"/>
                <w:b w:val="0"/>
                <w:bCs w:val="0"/>
                <w:color w:val="auto"/>
                <w:sz w:val="21"/>
                <w:szCs w:val="21"/>
              </w:rPr>
              <w:t>手防护：</w:t>
            </w:r>
          </w:p>
        </w:tc>
        <w:tc>
          <w:tcPr>
            <w:tcW w:w="6776" w:type="dxa"/>
            <w:noWrap w:val="0"/>
            <w:vAlign w:val="center"/>
          </w:tcPr>
          <w:p w14:paraId="7193D34E">
            <w:pPr>
              <w:spacing w:line="280" w:lineRule="exact"/>
              <w:rPr>
                <w:rFonts w:hint="eastAsia"/>
                <w:b w:val="0"/>
                <w:bCs w:val="0"/>
                <w:color w:val="auto"/>
                <w:sz w:val="21"/>
                <w:szCs w:val="21"/>
              </w:rPr>
            </w:pPr>
            <w:r>
              <w:rPr>
                <w:rFonts w:hint="eastAsia"/>
                <w:b w:val="0"/>
                <w:bCs w:val="0"/>
                <w:color w:val="auto"/>
                <w:sz w:val="21"/>
                <w:szCs w:val="21"/>
              </w:rPr>
              <w:t>戴防化学品手套。</w:t>
            </w:r>
          </w:p>
        </w:tc>
      </w:tr>
      <w:tr w14:paraId="741C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trPr>
        <w:tc>
          <w:tcPr>
            <w:tcW w:w="2448" w:type="dxa"/>
            <w:gridSpan w:val="2"/>
            <w:noWrap w:val="0"/>
            <w:vAlign w:val="center"/>
          </w:tcPr>
          <w:p w14:paraId="063C6B7B">
            <w:pPr>
              <w:spacing w:line="280" w:lineRule="exact"/>
              <w:jc w:val="center"/>
              <w:rPr>
                <w:rFonts w:hint="eastAsia"/>
                <w:b w:val="0"/>
                <w:bCs w:val="0"/>
                <w:color w:val="auto"/>
                <w:sz w:val="21"/>
                <w:szCs w:val="21"/>
              </w:rPr>
            </w:pPr>
            <w:r>
              <w:rPr>
                <w:rFonts w:hint="eastAsia"/>
                <w:b w:val="0"/>
                <w:bCs w:val="0"/>
                <w:color w:val="auto"/>
                <w:sz w:val="21"/>
                <w:szCs w:val="21"/>
              </w:rPr>
              <w:t>泄漏处置：</w:t>
            </w:r>
          </w:p>
        </w:tc>
        <w:tc>
          <w:tcPr>
            <w:tcW w:w="6776" w:type="dxa"/>
            <w:noWrap w:val="0"/>
            <w:vAlign w:val="center"/>
          </w:tcPr>
          <w:p w14:paraId="7F963FE5">
            <w:pPr>
              <w:spacing w:line="280" w:lineRule="exact"/>
              <w:rPr>
                <w:rFonts w:hint="eastAsia"/>
                <w:b w:val="0"/>
                <w:bCs w:val="0"/>
                <w:color w:val="auto"/>
                <w:sz w:val="21"/>
                <w:szCs w:val="21"/>
              </w:rPr>
            </w:pPr>
            <w:r>
              <w:rPr>
                <w:rFonts w:hint="eastAsia"/>
                <w:b w:val="0"/>
                <w:bCs w:val="0"/>
                <w:color w:val="auto"/>
                <w:sz w:val="21"/>
                <w:szCs w:val="21"/>
              </w:rPr>
              <w:t>隔离泄漏污染区，周围设警告标志，建议应急处理人员戴好防毒面具，穿相应的工作服。不要直接接触泄漏物，避免扬尘，用清洁的铲子收集于干燥净洁有盖的容器中，运至废物处理场所。如大量泄漏，收集回收或无害处理后废弃。</w:t>
            </w:r>
          </w:p>
        </w:tc>
      </w:tr>
      <w:tr w14:paraId="1618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trPr>
        <w:tc>
          <w:tcPr>
            <w:tcW w:w="2448" w:type="dxa"/>
            <w:gridSpan w:val="2"/>
            <w:noWrap w:val="0"/>
            <w:vAlign w:val="center"/>
          </w:tcPr>
          <w:p w14:paraId="69E3CC5B">
            <w:pPr>
              <w:spacing w:line="280" w:lineRule="exact"/>
              <w:jc w:val="center"/>
              <w:rPr>
                <w:rFonts w:hint="eastAsia"/>
                <w:b w:val="0"/>
                <w:bCs w:val="0"/>
                <w:color w:val="auto"/>
                <w:sz w:val="21"/>
                <w:szCs w:val="21"/>
              </w:rPr>
            </w:pPr>
            <w:r>
              <w:rPr>
                <w:rFonts w:hint="eastAsia"/>
                <w:b w:val="0"/>
                <w:bCs w:val="0"/>
                <w:color w:val="auto"/>
                <w:sz w:val="21"/>
                <w:szCs w:val="21"/>
              </w:rPr>
              <w:t>其他：</w:t>
            </w:r>
          </w:p>
        </w:tc>
        <w:tc>
          <w:tcPr>
            <w:tcW w:w="6776" w:type="dxa"/>
            <w:noWrap w:val="0"/>
            <w:vAlign w:val="center"/>
          </w:tcPr>
          <w:p w14:paraId="7F4E45FC">
            <w:pPr>
              <w:spacing w:line="280" w:lineRule="exact"/>
              <w:rPr>
                <w:rFonts w:hint="eastAsia"/>
                <w:b w:val="0"/>
                <w:bCs w:val="0"/>
                <w:color w:val="auto"/>
                <w:sz w:val="21"/>
                <w:szCs w:val="21"/>
              </w:rPr>
            </w:pPr>
            <w:r>
              <w:rPr>
                <w:rFonts w:hint="eastAsia"/>
                <w:b w:val="0"/>
                <w:bCs w:val="0"/>
                <w:color w:val="auto"/>
                <w:sz w:val="21"/>
                <w:szCs w:val="21"/>
              </w:rPr>
              <w:t>工作现场禁止吸烟、进食和饮水。工作后，淋浴更衣。工作服不要带到非作业场所，单独存放被毒物污染的衣服，洗后再用。保持良好的卫生习惯。</w:t>
            </w:r>
          </w:p>
        </w:tc>
      </w:tr>
    </w:tbl>
    <w:p w14:paraId="63F3DC7D">
      <w:pPr>
        <w:pStyle w:val="4"/>
        <w:numPr>
          <w:ilvl w:val="3"/>
          <w:numId w:val="10"/>
        </w:numPr>
        <w:tabs>
          <w:tab w:val="left" w:pos="1358"/>
          <w:tab w:val="left" w:pos="2153"/>
        </w:tabs>
        <w:ind w:left="1358"/>
        <w:outlineLvl w:val="4"/>
        <w:rPr>
          <w:color w:val="auto"/>
        </w:rPr>
      </w:pPr>
      <w:r>
        <w:rPr>
          <w:rFonts w:hint="eastAsia" w:ascii="Times New Roman" w:hAnsi="Times New Roman" w:cs="Times New Roman"/>
          <w:color w:val="auto"/>
          <w:lang w:val="en-US" w:eastAsia="zh-CN"/>
        </w:rPr>
        <w:t>氟化铵</w:t>
      </w:r>
      <w:r>
        <w:rPr>
          <w:rFonts w:hint="default" w:ascii="Times New Roman" w:hAnsi="Times New Roman" w:eastAsia="宋体" w:cs="Times New Roman"/>
          <w:color w:val="auto"/>
          <w:lang w:val="zh-CN" w:eastAsia="zh-CN"/>
        </w:rPr>
        <w:t>安全技术说明书</w:t>
      </w:r>
    </w:p>
    <w:tbl>
      <w:tblPr>
        <w:tblStyle w:val="19"/>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1856"/>
        <w:gridCol w:w="6900"/>
      </w:tblGrid>
      <w:tr w14:paraId="3DCE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548" w:type="dxa"/>
            <w:vMerge w:val="restart"/>
            <w:noWrap w:val="0"/>
            <w:textDirection w:val="tbRlV"/>
            <w:vAlign w:val="center"/>
          </w:tcPr>
          <w:p w14:paraId="16367AA6">
            <w:pPr>
              <w:spacing w:line="240" w:lineRule="exact"/>
              <w:ind w:left="113" w:right="113"/>
              <w:jc w:val="center"/>
              <w:rPr>
                <w:rFonts w:hint="eastAsia"/>
                <w:b w:val="0"/>
                <w:bCs w:val="0"/>
                <w:color w:val="auto"/>
                <w:sz w:val="21"/>
                <w:szCs w:val="21"/>
              </w:rPr>
            </w:pPr>
            <w:r>
              <w:rPr>
                <w:rFonts w:hint="eastAsia"/>
                <w:b w:val="0"/>
                <w:bCs w:val="0"/>
                <w:color w:val="auto"/>
                <w:sz w:val="21"/>
                <w:szCs w:val="21"/>
              </w:rPr>
              <w:t>标识</w:t>
            </w:r>
          </w:p>
        </w:tc>
        <w:tc>
          <w:tcPr>
            <w:tcW w:w="1856" w:type="dxa"/>
            <w:noWrap w:val="0"/>
            <w:vAlign w:val="center"/>
          </w:tcPr>
          <w:p w14:paraId="5C79F659">
            <w:pPr>
              <w:spacing w:line="240" w:lineRule="exact"/>
              <w:rPr>
                <w:rFonts w:hint="eastAsia"/>
                <w:b w:val="0"/>
                <w:bCs w:val="0"/>
                <w:color w:val="auto"/>
                <w:sz w:val="21"/>
                <w:szCs w:val="21"/>
              </w:rPr>
            </w:pPr>
            <w:r>
              <w:rPr>
                <w:rFonts w:hint="eastAsia"/>
                <w:b w:val="0"/>
                <w:bCs w:val="0"/>
                <w:color w:val="auto"/>
                <w:sz w:val="21"/>
                <w:szCs w:val="21"/>
              </w:rPr>
              <w:t>中文名：</w:t>
            </w:r>
          </w:p>
        </w:tc>
        <w:tc>
          <w:tcPr>
            <w:tcW w:w="6900" w:type="dxa"/>
            <w:noWrap w:val="0"/>
            <w:vAlign w:val="center"/>
          </w:tcPr>
          <w:p w14:paraId="31A47E18">
            <w:pPr>
              <w:spacing w:line="240" w:lineRule="exact"/>
              <w:rPr>
                <w:rFonts w:hint="eastAsia"/>
                <w:b w:val="0"/>
                <w:bCs w:val="0"/>
                <w:color w:val="auto"/>
                <w:sz w:val="21"/>
                <w:szCs w:val="21"/>
              </w:rPr>
            </w:pPr>
            <w:r>
              <w:rPr>
                <w:b w:val="0"/>
                <w:bCs w:val="0"/>
                <w:color w:val="auto"/>
                <w:sz w:val="21"/>
                <w:szCs w:val="21"/>
              </w:rPr>
              <w:t xml:space="preserve">氟化铵；中性氟化铵 </w:t>
            </w:r>
          </w:p>
        </w:tc>
      </w:tr>
      <w:tr w14:paraId="55C0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548" w:type="dxa"/>
            <w:vMerge w:val="continue"/>
            <w:noWrap w:val="0"/>
            <w:textDirection w:val="tbRlV"/>
            <w:vAlign w:val="center"/>
          </w:tcPr>
          <w:p w14:paraId="3AC58317">
            <w:pPr>
              <w:spacing w:line="240" w:lineRule="exact"/>
              <w:ind w:left="113" w:right="113"/>
              <w:jc w:val="center"/>
              <w:rPr>
                <w:rFonts w:hint="eastAsia"/>
                <w:b w:val="0"/>
                <w:bCs w:val="0"/>
                <w:color w:val="auto"/>
                <w:sz w:val="21"/>
                <w:szCs w:val="21"/>
              </w:rPr>
            </w:pPr>
          </w:p>
        </w:tc>
        <w:tc>
          <w:tcPr>
            <w:tcW w:w="1856" w:type="dxa"/>
            <w:noWrap w:val="0"/>
            <w:vAlign w:val="center"/>
          </w:tcPr>
          <w:p w14:paraId="179B6070">
            <w:pPr>
              <w:spacing w:line="240" w:lineRule="exact"/>
              <w:rPr>
                <w:rFonts w:hint="eastAsia"/>
                <w:b w:val="0"/>
                <w:bCs w:val="0"/>
                <w:color w:val="auto"/>
                <w:sz w:val="21"/>
                <w:szCs w:val="21"/>
              </w:rPr>
            </w:pPr>
            <w:r>
              <w:rPr>
                <w:b w:val="0"/>
                <w:bCs w:val="0"/>
                <w:color w:val="auto"/>
                <w:sz w:val="21"/>
                <w:szCs w:val="21"/>
              </w:rPr>
              <w:t>英文名：</w:t>
            </w:r>
          </w:p>
        </w:tc>
        <w:tc>
          <w:tcPr>
            <w:tcW w:w="6900" w:type="dxa"/>
            <w:noWrap w:val="0"/>
            <w:vAlign w:val="center"/>
          </w:tcPr>
          <w:p w14:paraId="1242D77C">
            <w:pPr>
              <w:spacing w:line="240" w:lineRule="exact"/>
              <w:rPr>
                <w:b w:val="0"/>
                <w:bCs w:val="0"/>
                <w:color w:val="auto"/>
                <w:sz w:val="21"/>
                <w:szCs w:val="21"/>
              </w:rPr>
            </w:pPr>
            <w:r>
              <w:rPr>
                <w:b w:val="0"/>
                <w:bCs w:val="0"/>
                <w:color w:val="auto"/>
                <w:sz w:val="21"/>
                <w:szCs w:val="21"/>
              </w:rPr>
              <w:t xml:space="preserve">Ammonium fluoride；Neutral ammonium fluoride </w:t>
            </w:r>
          </w:p>
        </w:tc>
      </w:tr>
      <w:tr w14:paraId="3364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548" w:type="dxa"/>
            <w:vMerge w:val="continue"/>
            <w:noWrap w:val="0"/>
            <w:textDirection w:val="tbRlV"/>
            <w:vAlign w:val="center"/>
          </w:tcPr>
          <w:p w14:paraId="1EAB8390">
            <w:pPr>
              <w:spacing w:line="240" w:lineRule="exact"/>
              <w:ind w:left="113" w:right="113"/>
              <w:jc w:val="center"/>
              <w:rPr>
                <w:rFonts w:hint="eastAsia"/>
                <w:b w:val="0"/>
                <w:bCs w:val="0"/>
                <w:color w:val="auto"/>
                <w:sz w:val="21"/>
                <w:szCs w:val="21"/>
              </w:rPr>
            </w:pPr>
          </w:p>
        </w:tc>
        <w:tc>
          <w:tcPr>
            <w:tcW w:w="1856" w:type="dxa"/>
            <w:noWrap w:val="0"/>
            <w:vAlign w:val="center"/>
          </w:tcPr>
          <w:p w14:paraId="4263E6C6">
            <w:pPr>
              <w:spacing w:line="240" w:lineRule="exact"/>
              <w:rPr>
                <w:rFonts w:hint="eastAsia"/>
                <w:b w:val="0"/>
                <w:bCs w:val="0"/>
                <w:color w:val="auto"/>
                <w:sz w:val="21"/>
                <w:szCs w:val="21"/>
              </w:rPr>
            </w:pPr>
            <w:r>
              <w:rPr>
                <w:rFonts w:hint="eastAsia"/>
                <w:b w:val="0"/>
                <w:bCs w:val="0"/>
                <w:color w:val="auto"/>
                <w:sz w:val="21"/>
                <w:szCs w:val="21"/>
              </w:rPr>
              <w:t>分子式：</w:t>
            </w:r>
          </w:p>
        </w:tc>
        <w:tc>
          <w:tcPr>
            <w:tcW w:w="6900" w:type="dxa"/>
            <w:noWrap w:val="0"/>
            <w:vAlign w:val="center"/>
          </w:tcPr>
          <w:p w14:paraId="1DBA243A">
            <w:pPr>
              <w:spacing w:line="240" w:lineRule="exact"/>
              <w:rPr>
                <w:rFonts w:hint="eastAsia"/>
                <w:b w:val="0"/>
                <w:bCs w:val="0"/>
                <w:color w:val="auto"/>
                <w:sz w:val="21"/>
                <w:szCs w:val="21"/>
              </w:rPr>
            </w:pPr>
            <w:r>
              <w:rPr>
                <w:b w:val="0"/>
                <w:bCs w:val="0"/>
                <w:color w:val="auto"/>
                <w:sz w:val="21"/>
                <w:szCs w:val="21"/>
              </w:rPr>
              <w:t>NH</w:t>
            </w:r>
            <w:r>
              <w:rPr>
                <w:b w:val="0"/>
                <w:bCs w:val="0"/>
                <w:color w:val="auto"/>
                <w:sz w:val="21"/>
                <w:szCs w:val="21"/>
                <w:vertAlign w:val="subscript"/>
              </w:rPr>
              <w:t>4</w:t>
            </w:r>
            <w:r>
              <w:rPr>
                <w:b w:val="0"/>
                <w:bCs w:val="0"/>
                <w:color w:val="auto"/>
                <w:sz w:val="21"/>
                <w:szCs w:val="21"/>
              </w:rPr>
              <w:t xml:space="preserve">F </w:t>
            </w:r>
            <w:r>
              <w:rPr>
                <w:rFonts w:hint="eastAsia"/>
                <w:b w:val="0"/>
                <w:bCs w:val="0"/>
                <w:color w:val="auto"/>
                <w:sz w:val="21"/>
                <w:szCs w:val="21"/>
              </w:rPr>
              <w:t xml:space="preserve">                   </w:t>
            </w:r>
            <w:r>
              <w:rPr>
                <w:b w:val="0"/>
                <w:bCs w:val="0"/>
                <w:color w:val="auto"/>
                <w:sz w:val="21"/>
                <w:szCs w:val="21"/>
              </w:rPr>
              <w:t>分子量：37</w:t>
            </w:r>
            <w:r>
              <w:rPr>
                <w:rFonts w:hint="eastAsia"/>
                <w:b w:val="0"/>
                <w:bCs w:val="0"/>
                <w:color w:val="auto"/>
                <w:sz w:val="21"/>
                <w:szCs w:val="21"/>
              </w:rPr>
              <w:t>.</w:t>
            </w:r>
            <w:r>
              <w:rPr>
                <w:b w:val="0"/>
                <w:bCs w:val="0"/>
                <w:color w:val="auto"/>
                <w:sz w:val="21"/>
                <w:szCs w:val="21"/>
              </w:rPr>
              <w:t>04</w:t>
            </w:r>
          </w:p>
        </w:tc>
      </w:tr>
      <w:tr w14:paraId="4F6B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548" w:type="dxa"/>
            <w:vMerge w:val="continue"/>
            <w:noWrap w:val="0"/>
            <w:textDirection w:val="tbRlV"/>
            <w:vAlign w:val="center"/>
          </w:tcPr>
          <w:p w14:paraId="2BD60D93">
            <w:pPr>
              <w:spacing w:line="240" w:lineRule="exact"/>
              <w:ind w:left="113" w:right="113"/>
              <w:jc w:val="center"/>
              <w:rPr>
                <w:rFonts w:hint="eastAsia"/>
                <w:b w:val="0"/>
                <w:bCs w:val="0"/>
                <w:color w:val="auto"/>
                <w:sz w:val="21"/>
                <w:szCs w:val="21"/>
              </w:rPr>
            </w:pPr>
          </w:p>
        </w:tc>
        <w:tc>
          <w:tcPr>
            <w:tcW w:w="1856" w:type="dxa"/>
            <w:noWrap w:val="0"/>
            <w:vAlign w:val="center"/>
          </w:tcPr>
          <w:p w14:paraId="15B0A9B3">
            <w:pPr>
              <w:spacing w:line="240" w:lineRule="exact"/>
              <w:rPr>
                <w:rFonts w:hint="eastAsia"/>
                <w:b w:val="0"/>
                <w:bCs w:val="0"/>
                <w:color w:val="auto"/>
                <w:sz w:val="21"/>
                <w:szCs w:val="21"/>
              </w:rPr>
            </w:pPr>
            <w:r>
              <w:rPr>
                <w:rFonts w:hint="eastAsia"/>
                <w:b w:val="0"/>
                <w:bCs w:val="0"/>
                <w:color w:val="auto"/>
                <w:sz w:val="21"/>
                <w:szCs w:val="21"/>
              </w:rPr>
              <w:t>CAS号：</w:t>
            </w:r>
          </w:p>
        </w:tc>
        <w:tc>
          <w:tcPr>
            <w:tcW w:w="6900" w:type="dxa"/>
            <w:noWrap w:val="0"/>
            <w:vAlign w:val="center"/>
          </w:tcPr>
          <w:p w14:paraId="207A66E3">
            <w:pPr>
              <w:spacing w:line="240" w:lineRule="exact"/>
              <w:rPr>
                <w:rFonts w:hint="eastAsia"/>
                <w:b w:val="0"/>
                <w:bCs w:val="0"/>
                <w:color w:val="auto"/>
                <w:sz w:val="21"/>
                <w:szCs w:val="21"/>
              </w:rPr>
            </w:pPr>
            <w:r>
              <w:rPr>
                <w:b w:val="0"/>
                <w:bCs w:val="0"/>
                <w:color w:val="auto"/>
                <w:sz w:val="21"/>
                <w:szCs w:val="21"/>
              </w:rPr>
              <w:t xml:space="preserve">12125—01—8  </w:t>
            </w:r>
            <w:r>
              <w:rPr>
                <w:rFonts w:hint="eastAsia"/>
                <w:b w:val="0"/>
                <w:bCs w:val="0"/>
                <w:color w:val="auto"/>
                <w:sz w:val="21"/>
                <w:szCs w:val="21"/>
              </w:rPr>
              <w:t xml:space="preserve">          </w:t>
            </w:r>
            <w:r>
              <w:rPr>
                <w:b w:val="0"/>
                <w:bCs w:val="0"/>
                <w:color w:val="auto"/>
                <w:sz w:val="21"/>
                <w:szCs w:val="21"/>
              </w:rPr>
              <w:t>RTECS号：BQ6300000</w:t>
            </w:r>
          </w:p>
        </w:tc>
      </w:tr>
      <w:tr w14:paraId="4117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548" w:type="dxa"/>
            <w:vMerge w:val="continue"/>
            <w:noWrap w:val="0"/>
            <w:textDirection w:val="tbRlV"/>
            <w:vAlign w:val="center"/>
          </w:tcPr>
          <w:p w14:paraId="69A7AE1F">
            <w:pPr>
              <w:spacing w:line="240" w:lineRule="exact"/>
              <w:ind w:left="113" w:right="113"/>
              <w:jc w:val="center"/>
              <w:rPr>
                <w:rFonts w:hint="eastAsia"/>
                <w:b w:val="0"/>
                <w:bCs w:val="0"/>
                <w:color w:val="auto"/>
                <w:sz w:val="21"/>
                <w:szCs w:val="21"/>
              </w:rPr>
            </w:pPr>
          </w:p>
        </w:tc>
        <w:tc>
          <w:tcPr>
            <w:tcW w:w="1856" w:type="dxa"/>
            <w:noWrap w:val="0"/>
            <w:vAlign w:val="center"/>
          </w:tcPr>
          <w:p w14:paraId="3E6A369C">
            <w:pPr>
              <w:spacing w:line="240" w:lineRule="exact"/>
              <w:rPr>
                <w:rFonts w:hint="eastAsia"/>
                <w:b w:val="0"/>
                <w:bCs w:val="0"/>
                <w:color w:val="auto"/>
                <w:sz w:val="21"/>
                <w:szCs w:val="21"/>
              </w:rPr>
            </w:pPr>
            <w:r>
              <w:rPr>
                <w:rFonts w:hint="eastAsia"/>
                <w:b w:val="0"/>
                <w:bCs w:val="0"/>
                <w:color w:val="auto"/>
                <w:sz w:val="21"/>
                <w:szCs w:val="21"/>
              </w:rPr>
              <w:t>UN编号：</w:t>
            </w:r>
          </w:p>
        </w:tc>
        <w:tc>
          <w:tcPr>
            <w:tcW w:w="6900" w:type="dxa"/>
            <w:noWrap w:val="0"/>
            <w:vAlign w:val="center"/>
          </w:tcPr>
          <w:p w14:paraId="30DABCBF">
            <w:pPr>
              <w:spacing w:line="240" w:lineRule="exact"/>
              <w:rPr>
                <w:rFonts w:hint="eastAsia"/>
                <w:b w:val="0"/>
                <w:bCs w:val="0"/>
                <w:color w:val="auto"/>
                <w:sz w:val="21"/>
                <w:szCs w:val="21"/>
              </w:rPr>
            </w:pPr>
            <w:r>
              <w:rPr>
                <w:b w:val="0"/>
                <w:bCs w:val="0"/>
                <w:color w:val="auto"/>
                <w:sz w:val="21"/>
                <w:szCs w:val="21"/>
              </w:rPr>
              <w:t xml:space="preserve">2505 </w:t>
            </w:r>
            <w:r>
              <w:rPr>
                <w:rFonts w:hint="eastAsia"/>
                <w:b w:val="0"/>
                <w:bCs w:val="0"/>
                <w:color w:val="auto"/>
                <w:sz w:val="21"/>
                <w:szCs w:val="21"/>
              </w:rPr>
              <w:t xml:space="preserve">   </w:t>
            </w:r>
            <w:r>
              <w:rPr>
                <w:b w:val="0"/>
                <w:bCs w:val="0"/>
                <w:color w:val="auto"/>
                <w:sz w:val="21"/>
                <w:szCs w:val="21"/>
              </w:rPr>
              <w:t>危险货物编号：61513</w:t>
            </w:r>
            <w:r>
              <w:rPr>
                <w:rFonts w:hint="eastAsia"/>
                <w:b w:val="0"/>
                <w:bCs w:val="0"/>
                <w:color w:val="auto"/>
                <w:sz w:val="21"/>
                <w:szCs w:val="21"/>
              </w:rPr>
              <w:t xml:space="preserve">   </w:t>
            </w:r>
            <w:r>
              <w:rPr>
                <w:b w:val="0"/>
                <w:bCs w:val="0"/>
                <w:color w:val="auto"/>
                <w:sz w:val="21"/>
                <w:szCs w:val="21"/>
              </w:rPr>
              <w:t xml:space="preserve"> IMDG规则页码：6065</w:t>
            </w:r>
          </w:p>
        </w:tc>
      </w:tr>
      <w:tr w14:paraId="21AE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restart"/>
            <w:noWrap w:val="0"/>
            <w:textDirection w:val="tbRlV"/>
            <w:vAlign w:val="center"/>
          </w:tcPr>
          <w:p w14:paraId="7217346D">
            <w:pPr>
              <w:spacing w:line="240" w:lineRule="exact"/>
              <w:ind w:left="113" w:right="113"/>
              <w:jc w:val="center"/>
              <w:rPr>
                <w:rFonts w:hint="eastAsia"/>
                <w:b w:val="0"/>
                <w:bCs w:val="0"/>
                <w:color w:val="auto"/>
                <w:sz w:val="21"/>
                <w:szCs w:val="21"/>
              </w:rPr>
            </w:pPr>
            <w:r>
              <w:rPr>
                <w:rFonts w:hint="eastAsia"/>
                <w:b w:val="0"/>
                <w:bCs w:val="0"/>
                <w:color w:val="auto"/>
                <w:sz w:val="21"/>
                <w:szCs w:val="21"/>
              </w:rPr>
              <w:t>理化性质</w:t>
            </w:r>
          </w:p>
        </w:tc>
        <w:tc>
          <w:tcPr>
            <w:tcW w:w="1856" w:type="dxa"/>
            <w:noWrap w:val="0"/>
            <w:vAlign w:val="center"/>
          </w:tcPr>
          <w:p w14:paraId="1F14151D">
            <w:pPr>
              <w:spacing w:line="240" w:lineRule="exact"/>
              <w:rPr>
                <w:rFonts w:hint="eastAsia"/>
                <w:b w:val="0"/>
                <w:bCs w:val="0"/>
                <w:color w:val="auto"/>
                <w:sz w:val="21"/>
                <w:szCs w:val="21"/>
              </w:rPr>
            </w:pPr>
            <w:r>
              <w:rPr>
                <w:rFonts w:hint="eastAsia"/>
                <w:b w:val="0"/>
                <w:bCs w:val="0"/>
                <w:color w:val="auto"/>
                <w:sz w:val="21"/>
                <w:szCs w:val="21"/>
              </w:rPr>
              <w:t>外观与性状：</w:t>
            </w:r>
          </w:p>
        </w:tc>
        <w:tc>
          <w:tcPr>
            <w:tcW w:w="6900" w:type="dxa"/>
            <w:noWrap w:val="0"/>
            <w:vAlign w:val="center"/>
          </w:tcPr>
          <w:p w14:paraId="70D237C6">
            <w:pPr>
              <w:spacing w:line="240" w:lineRule="exact"/>
              <w:rPr>
                <w:rFonts w:hint="eastAsia"/>
                <w:b w:val="0"/>
                <w:bCs w:val="0"/>
                <w:color w:val="auto"/>
                <w:sz w:val="21"/>
                <w:szCs w:val="21"/>
              </w:rPr>
            </w:pPr>
            <w:r>
              <w:rPr>
                <w:b w:val="0"/>
                <w:bCs w:val="0"/>
                <w:color w:val="auto"/>
                <w:sz w:val="21"/>
                <w:szCs w:val="21"/>
              </w:rPr>
              <w:t>白色六角晶体或粉末，易潮解。</w:t>
            </w:r>
          </w:p>
        </w:tc>
      </w:tr>
      <w:tr w14:paraId="392F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5D11351D">
            <w:pPr>
              <w:spacing w:line="240" w:lineRule="exact"/>
              <w:ind w:left="113" w:right="113"/>
              <w:jc w:val="center"/>
              <w:rPr>
                <w:rFonts w:hint="eastAsia"/>
                <w:b w:val="0"/>
                <w:bCs w:val="0"/>
                <w:color w:val="auto"/>
                <w:sz w:val="21"/>
                <w:szCs w:val="21"/>
              </w:rPr>
            </w:pPr>
          </w:p>
        </w:tc>
        <w:tc>
          <w:tcPr>
            <w:tcW w:w="1856" w:type="dxa"/>
            <w:noWrap w:val="0"/>
            <w:vAlign w:val="center"/>
          </w:tcPr>
          <w:p w14:paraId="4541D0DF">
            <w:pPr>
              <w:spacing w:line="240" w:lineRule="exact"/>
              <w:rPr>
                <w:rFonts w:hint="eastAsia"/>
                <w:b w:val="0"/>
                <w:bCs w:val="0"/>
                <w:color w:val="auto"/>
                <w:sz w:val="21"/>
                <w:szCs w:val="21"/>
              </w:rPr>
            </w:pPr>
            <w:r>
              <w:rPr>
                <w:rFonts w:hint="eastAsia"/>
                <w:b w:val="0"/>
                <w:bCs w:val="0"/>
                <w:color w:val="auto"/>
                <w:sz w:val="21"/>
                <w:szCs w:val="21"/>
              </w:rPr>
              <w:t>主要用途：</w:t>
            </w:r>
          </w:p>
        </w:tc>
        <w:tc>
          <w:tcPr>
            <w:tcW w:w="6900" w:type="dxa"/>
            <w:noWrap w:val="0"/>
            <w:vAlign w:val="center"/>
          </w:tcPr>
          <w:p w14:paraId="09202C9A">
            <w:pPr>
              <w:spacing w:line="240" w:lineRule="exact"/>
              <w:rPr>
                <w:rFonts w:hint="eastAsia"/>
                <w:b w:val="0"/>
                <w:bCs w:val="0"/>
                <w:color w:val="auto"/>
                <w:sz w:val="21"/>
                <w:szCs w:val="21"/>
              </w:rPr>
            </w:pPr>
            <w:r>
              <w:rPr>
                <w:b w:val="0"/>
                <w:bCs w:val="0"/>
                <w:color w:val="auto"/>
                <w:sz w:val="21"/>
                <w:szCs w:val="21"/>
              </w:rPr>
              <w:t xml:space="preserve">用于提取稀有元素、雕刻玻璃，并用作分析试剂、消毒剂等。 </w:t>
            </w:r>
          </w:p>
        </w:tc>
      </w:tr>
      <w:tr w14:paraId="7A7C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3C7CE4E8">
            <w:pPr>
              <w:spacing w:line="240" w:lineRule="exact"/>
              <w:ind w:left="113" w:right="113"/>
              <w:jc w:val="center"/>
              <w:rPr>
                <w:rFonts w:hint="eastAsia"/>
                <w:b w:val="0"/>
                <w:bCs w:val="0"/>
                <w:color w:val="auto"/>
                <w:sz w:val="21"/>
                <w:szCs w:val="21"/>
              </w:rPr>
            </w:pPr>
          </w:p>
        </w:tc>
        <w:tc>
          <w:tcPr>
            <w:tcW w:w="1856" w:type="dxa"/>
            <w:noWrap w:val="0"/>
            <w:vAlign w:val="center"/>
          </w:tcPr>
          <w:p w14:paraId="7577872F">
            <w:pPr>
              <w:spacing w:line="240" w:lineRule="exact"/>
              <w:rPr>
                <w:rFonts w:hint="eastAsia"/>
                <w:b w:val="0"/>
                <w:bCs w:val="0"/>
                <w:color w:val="auto"/>
                <w:sz w:val="21"/>
                <w:szCs w:val="21"/>
              </w:rPr>
            </w:pPr>
            <w:r>
              <w:rPr>
                <w:rFonts w:hint="eastAsia"/>
                <w:b w:val="0"/>
                <w:bCs w:val="0"/>
                <w:color w:val="auto"/>
                <w:sz w:val="21"/>
                <w:szCs w:val="21"/>
              </w:rPr>
              <w:t>熔点(℃) ：</w:t>
            </w:r>
          </w:p>
        </w:tc>
        <w:tc>
          <w:tcPr>
            <w:tcW w:w="6900" w:type="dxa"/>
            <w:noWrap w:val="0"/>
            <w:vAlign w:val="center"/>
          </w:tcPr>
          <w:p w14:paraId="2BD0CF98">
            <w:pPr>
              <w:spacing w:line="240" w:lineRule="exact"/>
              <w:rPr>
                <w:rFonts w:hint="eastAsia"/>
                <w:b w:val="0"/>
                <w:bCs w:val="0"/>
                <w:color w:val="auto"/>
                <w:sz w:val="21"/>
                <w:szCs w:val="21"/>
              </w:rPr>
            </w:pPr>
            <w:r>
              <w:rPr>
                <w:b w:val="0"/>
                <w:bCs w:val="0"/>
                <w:color w:val="auto"/>
                <w:sz w:val="21"/>
                <w:szCs w:val="21"/>
              </w:rPr>
              <w:t xml:space="preserve">(升华) </w:t>
            </w:r>
            <w:r>
              <w:rPr>
                <w:rFonts w:hint="eastAsia"/>
                <w:b w:val="0"/>
                <w:bCs w:val="0"/>
                <w:color w:val="auto"/>
                <w:sz w:val="21"/>
                <w:szCs w:val="21"/>
              </w:rPr>
              <w:t xml:space="preserve">        </w:t>
            </w:r>
            <w:r>
              <w:rPr>
                <w:b w:val="0"/>
                <w:bCs w:val="0"/>
                <w:color w:val="auto"/>
                <w:sz w:val="21"/>
                <w:szCs w:val="21"/>
              </w:rPr>
              <w:t>相对密度(水=1)：1</w:t>
            </w:r>
            <w:r>
              <w:rPr>
                <w:rFonts w:hint="eastAsia"/>
                <w:b w:val="0"/>
                <w:bCs w:val="0"/>
                <w:color w:val="auto"/>
                <w:sz w:val="21"/>
                <w:szCs w:val="21"/>
              </w:rPr>
              <w:t>.</w:t>
            </w:r>
            <w:r>
              <w:rPr>
                <w:b w:val="0"/>
                <w:bCs w:val="0"/>
                <w:color w:val="auto"/>
                <w:sz w:val="21"/>
                <w:szCs w:val="21"/>
              </w:rPr>
              <w:t xml:space="preserve">0090 </w:t>
            </w:r>
          </w:p>
        </w:tc>
      </w:tr>
      <w:tr w14:paraId="22B5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668FAADC">
            <w:pPr>
              <w:spacing w:line="240" w:lineRule="exact"/>
              <w:ind w:left="113" w:right="113"/>
              <w:jc w:val="center"/>
              <w:rPr>
                <w:rFonts w:hint="eastAsia"/>
                <w:b w:val="0"/>
                <w:bCs w:val="0"/>
                <w:color w:val="auto"/>
                <w:sz w:val="21"/>
                <w:szCs w:val="21"/>
              </w:rPr>
            </w:pPr>
          </w:p>
        </w:tc>
        <w:tc>
          <w:tcPr>
            <w:tcW w:w="1856" w:type="dxa"/>
            <w:noWrap w:val="0"/>
            <w:vAlign w:val="center"/>
          </w:tcPr>
          <w:p w14:paraId="2AE44F53">
            <w:pPr>
              <w:spacing w:line="240" w:lineRule="exact"/>
              <w:rPr>
                <w:rFonts w:ascii="宋体" w:hAnsi="宋体"/>
                <w:b w:val="0"/>
                <w:bCs w:val="0"/>
                <w:color w:val="auto"/>
                <w:sz w:val="21"/>
                <w:szCs w:val="21"/>
              </w:rPr>
            </w:pPr>
            <w:r>
              <w:rPr>
                <w:rFonts w:ascii="宋体" w:hAnsi="宋体"/>
                <w:b w:val="0"/>
                <w:bCs w:val="0"/>
                <w:color w:val="auto"/>
                <w:sz w:val="21"/>
                <w:szCs w:val="21"/>
              </w:rPr>
              <w:t>溶解性：</w:t>
            </w:r>
          </w:p>
        </w:tc>
        <w:tc>
          <w:tcPr>
            <w:tcW w:w="6900" w:type="dxa"/>
            <w:noWrap w:val="0"/>
            <w:vAlign w:val="center"/>
          </w:tcPr>
          <w:p w14:paraId="74E48472">
            <w:pPr>
              <w:spacing w:line="240" w:lineRule="exact"/>
              <w:rPr>
                <w:rFonts w:hint="eastAsia"/>
                <w:b w:val="0"/>
                <w:bCs w:val="0"/>
                <w:color w:val="auto"/>
                <w:sz w:val="21"/>
                <w:szCs w:val="21"/>
              </w:rPr>
            </w:pPr>
            <w:r>
              <w:rPr>
                <w:b w:val="0"/>
                <w:bCs w:val="0"/>
                <w:color w:val="auto"/>
                <w:sz w:val="21"/>
                <w:szCs w:val="21"/>
              </w:rPr>
              <w:t>难溶于乙醇，易溶于水、甲醇，不溶于氨水。</w:t>
            </w:r>
          </w:p>
        </w:tc>
      </w:tr>
      <w:tr w14:paraId="2DDF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restart"/>
            <w:noWrap w:val="0"/>
            <w:textDirection w:val="tbRlV"/>
            <w:vAlign w:val="center"/>
          </w:tcPr>
          <w:p w14:paraId="32CEA873">
            <w:pPr>
              <w:spacing w:line="240" w:lineRule="exact"/>
              <w:ind w:left="113" w:right="113"/>
              <w:jc w:val="center"/>
              <w:rPr>
                <w:rFonts w:hint="eastAsia"/>
                <w:b w:val="0"/>
                <w:bCs w:val="0"/>
                <w:color w:val="auto"/>
                <w:sz w:val="21"/>
                <w:szCs w:val="21"/>
              </w:rPr>
            </w:pPr>
            <w:r>
              <w:rPr>
                <w:rFonts w:hint="eastAsia"/>
                <w:b w:val="0"/>
                <w:bCs w:val="0"/>
                <w:color w:val="auto"/>
                <w:sz w:val="21"/>
                <w:szCs w:val="21"/>
              </w:rPr>
              <w:t>燃烧爆炸危险性</w:t>
            </w:r>
          </w:p>
        </w:tc>
        <w:tc>
          <w:tcPr>
            <w:tcW w:w="1856" w:type="dxa"/>
            <w:noWrap w:val="0"/>
            <w:vAlign w:val="center"/>
          </w:tcPr>
          <w:p w14:paraId="6CE2E1B9">
            <w:pPr>
              <w:spacing w:line="240" w:lineRule="exact"/>
              <w:rPr>
                <w:rFonts w:hint="eastAsia"/>
                <w:b w:val="0"/>
                <w:bCs w:val="0"/>
                <w:color w:val="auto"/>
                <w:sz w:val="21"/>
                <w:szCs w:val="21"/>
              </w:rPr>
            </w:pPr>
            <w:r>
              <w:rPr>
                <w:b w:val="0"/>
                <w:bCs w:val="0"/>
                <w:color w:val="auto"/>
                <w:sz w:val="21"/>
                <w:szCs w:val="21"/>
              </w:rPr>
              <w:t>避免接触的条件：</w:t>
            </w:r>
          </w:p>
        </w:tc>
        <w:tc>
          <w:tcPr>
            <w:tcW w:w="6900" w:type="dxa"/>
            <w:noWrap w:val="0"/>
            <w:vAlign w:val="center"/>
          </w:tcPr>
          <w:p w14:paraId="2A040931">
            <w:pPr>
              <w:spacing w:line="240" w:lineRule="exact"/>
              <w:rPr>
                <w:rFonts w:hint="eastAsia"/>
                <w:b w:val="0"/>
                <w:bCs w:val="0"/>
                <w:color w:val="auto"/>
                <w:sz w:val="21"/>
                <w:szCs w:val="21"/>
              </w:rPr>
            </w:pPr>
            <w:r>
              <w:rPr>
                <w:b w:val="0"/>
                <w:bCs w:val="0"/>
                <w:color w:val="auto"/>
                <w:sz w:val="21"/>
                <w:szCs w:val="21"/>
              </w:rPr>
              <w:t>接触潮湿空气。</w:t>
            </w:r>
          </w:p>
        </w:tc>
      </w:tr>
      <w:tr w14:paraId="3BD4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71FA6279">
            <w:pPr>
              <w:spacing w:line="240" w:lineRule="exact"/>
              <w:ind w:left="113" w:right="113"/>
              <w:jc w:val="center"/>
              <w:rPr>
                <w:rFonts w:hint="eastAsia"/>
                <w:b w:val="0"/>
                <w:bCs w:val="0"/>
                <w:color w:val="auto"/>
                <w:sz w:val="21"/>
                <w:szCs w:val="21"/>
              </w:rPr>
            </w:pPr>
          </w:p>
        </w:tc>
        <w:tc>
          <w:tcPr>
            <w:tcW w:w="1856" w:type="dxa"/>
            <w:noWrap w:val="0"/>
            <w:vAlign w:val="center"/>
          </w:tcPr>
          <w:p w14:paraId="4E78BCCF">
            <w:pPr>
              <w:spacing w:line="240" w:lineRule="exact"/>
              <w:rPr>
                <w:rFonts w:hint="eastAsia"/>
                <w:b w:val="0"/>
                <w:bCs w:val="0"/>
                <w:color w:val="auto"/>
                <w:sz w:val="21"/>
                <w:szCs w:val="21"/>
              </w:rPr>
            </w:pPr>
            <w:r>
              <w:rPr>
                <w:rFonts w:hint="eastAsia"/>
                <w:b w:val="0"/>
                <w:bCs w:val="0"/>
                <w:color w:val="auto"/>
                <w:sz w:val="21"/>
                <w:szCs w:val="21"/>
              </w:rPr>
              <w:t>燃烧性：</w:t>
            </w:r>
          </w:p>
        </w:tc>
        <w:tc>
          <w:tcPr>
            <w:tcW w:w="6900" w:type="dxa"/>
            <w:noWrap w:val="0"/>
            <w:vAlign w:val="center"/>
          </w:tcPr>
          <w:p w14:paraId="121B6940">
            <w:pPr>
              <w:spacing w:line="240" w:lineRule="exact"/>
              <w:rPr>
                <w:rFonts w:hint="eastAsia"/>
                <w:b w:val="0"/>
                <w:bCs w:val="0"/>
                <w:color w:val="auto"/>
                <w:sz w:val="21"/>
                <w:szCs w:val="21"/>
              </w:rPr>
            </w:pPr>
            <w:r>
              <w:rPr>
                <w:b w:val="0"/>
                <w:bCs w:val="0"/>
                <w:color w:val="auto"/>
                <w:sz w:val="21"/>
                <w:szCs w:val="21"/>
              </w:rPr>
              <w:t>不燃</w:t>
            </w:r>
          </w:p>
        </w:tc>
      </w:tr>
      <w:tr w14:paraId="035B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2685D95C">
            <w:pPr>
              <w:spacing w:line="240" w:lineRule="exact"/>
              <w:ind w:left="113" w:right="113"/>
              <w:jc w:val="center"/>
              <w:rPr>
                <w:rFonts w:hint="eastAsia"/>
                <w:b w:val="0"/>
                <w:bCs w:val="0"/>
                <w:color w:val="auto"/>
                <w:sz w:val="21"/>
                <w:szCs w:val="21"/>
              </w:rPr>
            </w:pPr>
          </w:p>
        </w:tc>
        <w:tc>
          <w:tcPr>
            <w:tcW w:w="1856" w:type="dxa"/>
            <w:noWrap w:val="0"/>
            <w:vAlign w:val="center"/>
          </w:tcPr>
          <w:p w14:paraId="4E353B42">
            <w:pPr>
              <w:spacing w:line="240" w:lineRule="exact"/>
              <w:rPr>
                <w:rFonts w:hint="eastAsia"/>
                <w:b w:val="0"/>
                <w:bCs w:val="0"/>
                <w:color w:val="auto"/>
                <w:sz w:val="21"/>
                <w:szCs w:val="21"/>
              </w:rPr>
            </w:pPr>
            <w:r>
              <w:rPr>
                <w:rFonts w:hint="eastAsia"/>
                <w:b w:val="0"/>
                <w:bCs w:val="0"/>
                <w:color w:val="auto"/>
                <w:sz w:val="21"/>
                <w:szCs w:val="21"/>
              </w:rPr>
              <w:t>危险特性：</w:t>
            </w:r>
          </w:p>
        </w:tc>
        <w:tc>
          <w:tcPr>
            <w:tcW w:w="6900" w:type="dxa"/>
            <w:noWrap w:val="0"/>
            <w:vAlign w:val="center"/>
          </w:tcPr>
          <w:p w14:paraId="1CAC0CF7">
            <w:pPr>
              <w:spacing w:line="240" w:lineRule="exact"/>
              <w:rPr>
                <w:rFonts w:hint="eastAsia"/>
                <w:b w:val="0"/>
                <w:bCs w:val="0"/>
                <w:color w:val="auto"/>
                <w:sz w:val="21"/>
                <w:szCs w:val="21"/>
              </w:rPr>
            </w:pPr>
            <w:r>
              <w:rPr>
                <w:b w:val="0"/>
                <w:bCs w:val="0"/>
                <w:color w:val="auto"/>
                <w:sz w:val="21"/>
                <w:szCs w:val="21"/>
              </w:rPr>
              <w:t>遇酸分解，放出腐蚀性的氟化氢气体。遇碱放出有刺激性的氨。受高热分解产生有毒的腐蚀性烟气。</w:t>
            </w:r>
          </w:p>
        </w:tc>
      </w:tr>
      <w:tr w14:paraId="5AAB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3E9B38ED">
            <w:pPr>
              <w:spacing w:line="240" w:lineRule="exact"/>
              <w:ind w:left="113" w:right="113"/>
              <w:jc w:val="center"/>
              <w:rPr>
                <w:rFonts w:hint="eastAsia"/>
                <w:b w:val="0"/>
                <w:bCs w:val="0"/>
                <w:color w:val="auto"/>
                <w:sz w:val="21"/>
                <w:szCs w:val="21"/>
              </w:rPr>
            </w:pPr>
          </w:p>
        </w:tc>
        <w:tc>
          <w:tcPr>
            <w:tcW w:w="1856" w:type="dxa"/>
            <w:noWrap w:val="0"/>
            <w:vAlign w:val="center"/>
          </w:tcPr>
          <w:p w14:paraId="45EED010">
            <w:pPr>
              <w:spacing w:line="240" w:lineRule="exact"/>
              <w:rPr>
                <w:rFonts w:hint="eastAsia"/>
                <w:b w:val="0"/>
                <w:bCs w:val="0"/>
                <w:color w:val="auto"/>
                <w:sz w:val="21"/>
                <w:szCs w:val="21"/>
              </w:rPr>
            </w:pPr>
            <w:r>
              <w:rPr>
                <w:rFonts w:hint="eastAsia"/>
                <w:b w:val="0"/>
                <w:bCs w:val="0"/>
                <w:color w:val="auto"/>
                <w:sz w:val="21"/>
                <w:szCs w:val="21"/>
              </w:rPr>
              <w:t>燃烧(分解)产物：</w:t>
            </w:r>
          </w:p>
        </w:tc>
        <w:tc>
          <w:tcPr>
            <w:tcW w:w="6900" w:type="dxa"/>
            <w:noWrap w:val="0"/>
            <w:vAlign w:val="center"/>
          </w:tcPr>
          <w:p w14:paraId="30ACF6AA">
            <w:pPr>
              <w:spacing w:line="240" w:lineRule="exact"/>
              <w:rPr>
                <w:rFonts w:hint="eastAsia"/>
                <w:b w:val="0"/>
                <w:bCs w:val="0"/>
                <w:color w:val="auto"/>
                <w:sz w:val="21"/>
                <w:szCs w:val="21"/>
              </w:rPr>
            </w:pPr>
            <w:r>
              <w:rPr>
                <w:b w:val="0"/>
                <w:bCs w:val="0"/>
                <w:color w:val="auto"/>
                <w:sz w:val="21"/>
                <w:szCs w:val="21"/>
              </w:rPr>
              <w:t>氟化氢、氨、氮氧化物。</w:t>
            </w:r>
          </w:p>
        </w:tc>
      </w:tr>
      <w:tr w14:paraId="72FE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022FB4D9">
            <w:pPr>
              <w:spacing w:line="240" w:lineRule="exact"/>
              <w:ind w:left="113" w:right="113"/>
              <w:jc w:val="center"/>
              <w:rPr>
                <w:rFonts w:hint="eastAsia"/>
                <w:b w:val="0"/>
                <w:bCs w:val="0"/>
                <w:color w:val="auto"/>
                <w:sz w:val="21"/>
                <w:szCs w:val="21"/>
              </w:rPr>
            </w:pPr>
          </w:p>
        </w:tc>
        <w:tc>
          <w:tcPr>
            <w:tcW w:w="1856" w:type="dxa"/>
            <w:noWrap w:val="0"/>
            <w:vAlign w:val="center"/>
          </w:tcPr>
          <w:p w14:paraId="3F9FB7B9">
            <w:pPr>
              <w:spacing w:line="240" w:lineRule="exact"/>
              <w:rPr>
                <w:rFonts w:hint="eastAsia"/>
                <w:b w:val="0"/>
                <w:bCs w:val="0"/>
                <w:color w:val="auto"/>
                <w:sz w:val="21"/>
                <w:szCs w:val="21"/>
              </w:rPr>
            </w:pPr>
            <w:r>
              <w:rPr>
                <w:b w:val="0"/>
                <w:bCs w:val="0"/>
                <w:color w:val="auto"/>
                <w:sz w:val="21"/>
                <w:szCs w:val="21"/>
              </w:rPr>
              <w:t>稳定性：</w:t>
            </w:r>
          </w:p>
        </w:tc>
        <w:tc>
          <w:tcPr>
            <w:tcW w:w="6900" w:type="dxa"/>
            <w:noWrap w:val="0"/>
            <w:vAlign w:val="center"/>
          </w:tcPr>
          <w:p w14:paraId="1F31D55B">
            <w:pPr>
              <w:spacing w:line="240" w:lineRule="exact"/>
              <w:rPr>
                <w:b w:val="0"/>
                <w:bCs w:val="0"/>
                <w:color w:val="auto"/>
                <w:sz w:val="21"/>
                <w:szCs w:val="21"/>
              </w:rPr>
            </w:pPr>
            <w:r>
              <w:rPr>
                <w:b w:val="0"/>
                <w:bCs w:val="0"/>
                <w:color w:val="auto"/>
                <w:sz w:val="21"/>
                <w:szCs w:val="21"/>
              </w:rPr>
              <w:t>稳定</w:t>
            </w:r>
          </w:p>
        </w:tc>
      </w:tr>
      <w:tr w14:paraId="0C21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082BEBEA">
            <w:pPr>
              <w:spacing w:line="240" w:lineRule="exact"/>
              <w:ind w:left="113" w:right="113"/>
              <w:jc w:val="center"/>
              <w:rPr>
                <w:rFonts w:hint="eastAsia"/>
                <w:b w:val="0"/>
                <w:bCs w:val="0"/>
                <w:color w:val="auto"/>
                <w:sz w:val="21"/>
                <w:szCs w:val="21"/>
              </w:rPr>
            </w:pPr>
          </w:p>
        </w:tc>
        <w:tc>
          <w:tcPr>
            <w:tcW w:w="1856" w:type="dxa"/>
            <w:noWrap w:val="0"/>
            <w:vAlign w:val="center"/>
          </w:tcPr>
          <w:p w14:paraId="0207BAC9">
            <w:pPr>
              <w:spacing w:line="240" w:lineRule="exact"/>
              <w:rPr>
                <w:rFonts w:hint="eastAsia"/>
                <w:b w:val="0"/>
                <w:bCs w:val="0"/>
                <w:color w:val="auto"/>
                <w:sz w:val="21"/>
                <w:szCs w:val="21"/>
              </w:rPr>
            </w:pPr>
            <w:r>
              <w:rPr>
                <w:rFonts w:hint="eastAsia"/>
                <w:b w:val="0"/>
                <w:bCs w:val="0"/>
                <w:color w:val="auto"/>
                <w:sz w:val="21"/>
                <w:szCs w:val="21"/>
              </w:rPr>
              <w:t>聚合危害：</w:t>
            </w:r>
          </w:p>
        </w:tc>
        <w:tc>
          <w:tcPr>
            <w:tcW w:w="6900" w:type="dxa"/>
            <w:noWrap w:val="0"/>
            <w:vAlign w:val="center"/>
          </w:tcPr>
          <w:p w14:paraId="28B9E7B8">
            <w:pPr>
              <w:spacing w:line="240" w:lineRule="exact"/>
              <w:rPr>
                <w:rFonts w:hint="eastAsia"/>
                <w:b w:val="0"/>
                <w:bCs w:val="0"/>
                <w:color w:val="auto"/>
                <w:sz w:val="21"/>
                <w:szCs w:val="21"/>
              </w:rPr>
            </w:pPr>
            <w:r>
              <w:rPr>
                <w:b w:val="0"/>
                <w:bCs w:val="0"/>
                <w:color w:val="auto"/>
                <w:sz w:val="21"/>
                <w:szCs w:val="21"/>
              </w:rPr>
              <w:t>不能出现</w:t>
            </w:r>
          </w:p>
        </w:tc>
      </w:tr>
      <w:tr w14:paraId="5F60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1ADC6C80">
            <w:pPr>
              <w:spacing w:line="240" w:lineRule="exact"/>
              <w:ind w:left="113" w:right="113"/>
              <w:jc w:val="center"/>
              <w:rPr>
                <w:rFonts w:hint="eastAsia"/>
                <w:b w:val="0"/>
                <w:bCs w:val="0"/>
                <w:color w:val="auto"/>
                <w:sz w:val="21"/>
                <w:szCs w:val="21"/>
              </w:rPr>
            </w:pPr>
          </w:p>
        </w:tc>
        <w:tc>
          <w:tcPr>
            <w:tcW w:w="1856" w:type="dxa"/>
            <w:noWrap w:val="0"/>
            <w:vAlign w:val="center"/>
          </w:tcPr>
          <w:p w14:paraId="3799A150">
            <w:pPr>
              <w:spacing w:line="240" w:lineRule="exact"/>
              <w:rPr>
                <w:rFonts w:hint="eastAsia"/>
                <w:b w:val="0"/>
                <w:bCs w:val="0"/>
                <w:color w:val="auto"/>
                <w:sz w:val="21"/>
                <w:szCs w:val="21"/>
              </w:rPr>
            </w:pPr>
            <w:r>
              <w:rPr>
                <w:b w:val="0"/>
                <w:bCs w:val="0"/>
                <w:color w:val="auto"/>
                <w:sz w:val="21"/>
                <w:szCs w:val="21"/>
              </w:rPr>
              <w:t>禁忌物：</w:t>
            </w:r>
          </w:p>
        </w:tc>
        <w:tc>
          <w:tcPr>
            <w:tcW w:w="6900" w:type="dxa"/>
            <w:noWrap w:val="0"/>
            <w:vAlign w:val="center"/>
          </w:tcPr>
          <w:p w14:paraId="745A574C">
            <w:pPr>
              <w:spacing w:line="240" w:lineRule="exact"/>
              <w:rPr>
                <w:rFonts w:ascii="宋体" w:hAnsi="宋体"/>
                <w:b w:val="0"/>
                <w:bCs w:val="0"/>
                <w:color w:val="auto"/>
                <w:sz w:val="21"/>
                <w:szCs w:val="21"/>
              </w:rPr>
            </w:pPr>
            <w:r>
              <w:rPr>
                <w:b w:val="0"/>
                <w:bCs w:val="0"/>
                <w:color w:val="auto"/>
                <w:sz w:val="21"/>
                <w:szCs w:val="21"/>
              </w:rPr>
              <w:t>强碱、酸类。</w:t>
            </w:r>
          </w:p>
        </w:tc>
      </w:tr>
      <w:tr w14:paraId="3DFC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067C2AE8">
            <w:pPr>
              <w:spacing w:line="240" w:lineRule="exact"/>
              <w:ind w:left="113" w:right="113"/>
              <w:jc w:val="center"/>
              <w:rPr>
                <w:rFonts w:hint="eastAsia"/>
                <w:b w:val="0"/>
                <w:bCs w:val="0"/>
                <w:color w:val="auto"/>
                <w:sz w:val="21"/>
                <w:szCs w:val="21"/>
              </w:rPr>
            </w:pPr>
          </w:p>
        </w:tc>
        <w:tc>
          <w:tcPr>
            <w:tcW w:w="1856" w:type="dxa"/>
            <w:noWrap w:val="0"/>
            <w:vAlign w:val="center"/>
          </w:tcPr>
          <w:p w14:paraId="25F25B4F">
            <w:pPr>
              <w:spacing w:line="240" w:lineRule="exact"/>
              <w:rPr>
                <w:rFonts w:hint="eastAsia"/>
                <w:b w:val="0"/>
                <w:bCs w:val="0"/>
                <w:color w:val="auto"/>
                <w:sz w:val="21"/>
                <w:szCs w:val="21"/>
              </w:rPr>
            </w:pPr>
            <w:r>
              <w:rPr>
                <w:rFonts w:ascii="宋体" w:hAnsi="宋体"/>
                <w:b w:val="0"/>
                <w:bCs w:val="0"/>
                <w:color w:val="auto"/>
                <w:sz w:val="21"/>
                <w:szCs w:val="21"/>
              </w:rPr>
              <w:t>灭火方法：</w:t>
            </w:r>
          </w:p>
        </w:tc>
        <w:tc>
          <w:tcPr>
            <w:tcW w:w="6900" w:type="dxa"/>
            <w:noWrap w:val="0"/>
            <w:vAlign w:val="center"/>
          </w:tcPr>
          <w:p w14:paraId="6914C19D">
            <w:pPr>
              <w:spacing w:line="240" w:lineRule="exact"/>
              <w:rPr>
                <w:rFonts w:ascii="宋体" w:hAnsi="宋体"/>
                <w:b w:val="0"/>
                <w:bCs w:val="0"/>
                <w:color w:val="auto"/>
                <w:sz w:val="21"/>
                <w:szCs w:val="21"/>
              </w:rPr>
            </w:pPr>
            <w:r>
              <w:rPr>
                <w:b w:val="0"/>
                <w:bCs w:val="0"/>
                <w:color w:val="auto"/>
                <w:sz w:val="21"/>
                <w:szCs w:val="21"/>
              </w:rPr>
              <w:t>泡沫、二氧化碳、水、砂土。</w:t>
            </w:r>
          </w:p>
        </w:tc>
      </w:tr>
      <w:tr w14:paraId="66F2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restart"/>
            <w:noWrap w:val="0"/>
            <w:textDirection w:val="tbRlV"/>
            <w:vAlign w:val="center"/>
          </w:tcPr>
          <w:p w14:paraId="3E8E5BD0">
            <w:pPr>
              <w:spacing w:line="240" w:lineRule="exact"/>
              <w:ind w:left="113" w:right="113"/>
              <w:jc w:val="center"/>
              <w:rPr>
                <w:rFonts w:hint="eastAsia"/>
                <w:b w:val="0"/>
                <w:bCs w:val="0"/>
                <w:color w:val="auto"/>
                <w:sz w:val="21"/>
                <w:szCs w:val="21"/>
              </w:rPr>
            </w:pPr>
            <w:r>
              <w:rPr>
                <w:rFonts w:hint="eastAsia"/>
                <w:b w:val="0"/>
                <w:bCs w:val="0"/>
                <w:color w:val="auto"/>
                <w:sz w:val="21"/>
                <w:szCs w:val="21"/>
              </w:rPr>
              <w:t>包装与储运</w:t>
            </w:r>
          </w:p>
        </w:tc>
        <w:tc>
          <w:tcPr>
            <w:tcW w:w="1856" w:type="dxa"/>
            <w:noWrap w:val="0"/>
            <w:vAlign w:val="center"/>
          </w:tcPr>
          <w:p w14:paraId="1B17DD21">
            <w:pPr>
              <w:spacing w:line="240" w:lineRule="exact"/>
              <w:rPr>
                <w:rFonts w:hint="eastAsia"/>
                <w:b w:val="0"/>
                <w:bCs w:val="0"/>
                <w:color w:val="auto"/>
                <w:sz w:val="21"/>
                <w:szCs w:val="21"/>
              </w:rPr>
            </w:pPr>
            <w:r>
              <w:rPr>
                <w:rFonts w:hint="eastAsia"/>
                <w:b w:val="0"/>
                <w:bCs w:val="0"/>
                <w:color w:val="auto"/>
                <w:sz w:val="21"/>
                <w:szCs w:val="21"/>
              </w:rPr>
              <w:t>危险性类别：</w:t>
            </w:r>
          </w:p>
        </w:tc>
        <w:tc>
          <w:tcPr>
            <w:tcW w:w="6900" w:type="dxa"/>
            <w:noWrap w:val="0"/>
            <w:vAlign w:val="center"/>
          </w:tcPr>
          <w:p w14:paraId="70F2F2B4">
            <w:pPr>
              <w:spacing w:line="240" w:lineRule="exact"/>
              <w:rPr>
                <w:rFonts w:hint="eastAsia"/>
                <w:b w:val="0"/>
                <w:bCs w:val="0"/>
                <w:color w:val="auto"/>
                <w:sz w:val="21"/>
                <w:szCs w:val="21"/>
              </w:rPr>
            </w:pPr>
            <w:r>
              <w:rPr>
                <w:b w:val="0"/>
                <w:bCs w:val="0"/>
                <w:color w:val="auto"/>
                <w:sz w:val="21"/>
                <w:szCs w:val="21"/>
              </w:rPr>
              <w:t>第6．1类毒害品</w:t>
            </w:r>
          </w:p>
        </w:tc>
      </w:tr>
      <w:tr w14:paraId="1F1E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15461E8B">
            <w:pPr>
              <w:spacing w:line="240" w:lineRule="exact"/>
              <w:ind w:left="113" w:right="113"/>
              <w:jc w:val="center"/>
              <w:rPr>
                <w:rFonts w:hint="eastAsia"/>
                <w:b w:val="0"/>
                <w:bCs w:val="0"/>
                <w:color w:val="auto"/>
                <w:sz w:val="21"/>
                <w:szCs w:val="21"/>
              </w:rPr>
            </w:pPr>
          </w:p>
        </w:tc>
        <w:tc>
          <w:tcPr>
            <w:tcW w:w="1856" w:type="dxa"/>
            <w:noWrap w:val="0"/>
            <w:vAlign w:val="center"/>
          </w:tcPr>
          <w:p w14:paraId="6C788C53">
            <w:pPr>
              <w:spacing w:line="240" w:lineRule="exact"/>
              <w:rPr>
                <w:rFonts w:hint="eastAsia"/>
                <w:b w:val="0"/>
                <w:bCs w:val="0"/>
                <w:color w:val="auto"/>
                <w:sz w:val="21"/>
                <w:szCs w:val="21"/>
              </w:rPr>
            </w:pPr>
            <w:r>
              <w:rPr>
                <w:b w:val="0"/>
                <w:bCs w:val="0"/>
                <w:color w:val="auto"/>
                <w:sz w:val="21"/>
                <w:szCs w:val="21"/>
              </w:rPr>
              <w:t>危险货物包装标志：</w:t>
            </w:r>
          </w:p>
        </w:tc>
        <w:tc>
          <w:tcPr>
            <w:tcW w:w="6900" w:type="dxa"/>
            <w:noWrap w:val="0"/>
            <w:vAlign w:val="center"/>
          </w:tcPr>
          <w:p w14:paraId="55DD78A2">
            <w:pPr>
              <w:spacing w:line="240" w:lineRule="exact"/>
              <w:rPr>
                <w:rFonts w:hint="eastAsia"/>
                <w:b w:val="0"/>
                <w:bCs w:val="0"/>
                <w:color w:val="auto"/>
                <w:sz w:val="21"/>
                <w:szCs w:val="21"/>
              </w:rPr>
            </w:pPr>
            <w:r>
              <w:rPr>
                <w:b w:val="0"/>
                <w:bCs w:val="0"/>
                <w:color w:val="auto"/>
                <w:sz w:val="21"/>
                <w:szCs w:val="21"/>
              </w:rPr>
              <w:t>1</w:t>
            </w:r>
            <w:r>
              <w:rPr>
                <w:rFonts w:hint="eastAsia"/>
                <w:b w:val="0"/>
                <w:bCs w:val="0"/>
                <w:color w:val="auto"/>
                <w:sz w:val="21"/>
                <w:szCs w:val="21"/>
              </w:rPr>
              <w:t>1</w:t>
            </w:r>
            <w:r>
              <w:rPr>
                <w:b w:val="0"/>
                <w:bCs w:val="0"/>
                <w:color w:val="auto"/>
                <w:sz w:val="21"/>
                <w:szCs w:val="21"/>
              </w:rPr>
              <w:t xml:space="preserve"> </w:t>
            </w:r>
          </w:p>
        </w:tc>
      </w:tr>
      <w:tr w14:paraId="2D2F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75D475F3">
            <w:pPr>
              <w:spacing w:line="240" w:lineRule="exact"/>
              <w:ind w:left="113" w:right="113"/>
              <w:jc w:val="center"/>
              <w:rPr>
                <w:rFonts w:hint="eastAsia"/>
                <w:b w:val="0"/>
                <w:bCs w:val="0"/>
                <w:color w:val="auto"/>
                <w:sz w:val="21"/>
                <w:szCs w:val="21"/>
              </w:rPr>
            </w:pPr>
          </w:p>
        </w:tc>
        <w:tc>
          <w:tcPr>
            <w:tcW w:w="1856" w:type="dxa"/>
            <w:noWrap w:val="0"/>
            <w:vAlign w:val="center"/>
          </w:tcPr>
          <w:p w14:paraId="4BE3EC87">
            <w:pPr>
              <w:spacing w:line="240" w:lineRule="exact"/>
              <w:rPr>
                <w:rFonts w:hint="eastAsia"/>
                <w:b w:val="0"/>
                <w:bCs w:val="0"/>
                <w:color w:val="auto"/>
                <w:sz w:val="21"/>
                <w:szCs w:val="21"/>
              </w:rPr>
            </w:pPr>
            <w:r>
              <w:rPr>
                <w:b w:val="0"/>
                <w:bCs w:val="0"/>
                <w:color w:val="auto"/>
                <w:sz w:val="21"/>
                <w:szCs w:val="21"/>
              </w:rPr>
              <w:t>包装类别：</w:t>
            </w:r>
          </w:p>
        </w:tc>
        <w:tc>
          <w:tcPr>
            <w:tcW w:w="6900" w:type="dxa"/>
            <w:noWrap w:val="0"/>
            <w:vAlign w:val="center"/>
          </w:tcPr>
          <w:p w14:paraId="4013DC54">
            <w:pPr>
              <w:spacing w:line="240" w:lineRule="exact"/>
              <w:rPr>
                <w:b w:val="0"/>
                <w:bCs w:val="0"/>
                <w:color w:val="auto"/>
                <w:sz w:val="21"/>
                <w:szCs w:val="21"/>
              </w:rPr>
            </w:pPr>
            <w:r>
              <w:rPr>
                <w:b w:val="0"/>
                <w:bCs w:val="0"/>
                <w:color w:val="auto"/>
                <w:sz w:val="21"/>
                <w:szCs w:val="21"/>
              </w:rPr>
              <w:t>Ⅲ</w:t>
            </w:r>
          </w:p>
        </w:tc>
      </w:tr>
      <w:tr w14:paraId="76A0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71BF8CF6">
            <w:pPr>
              <w:spacing w:line="240" w:lineRule="exact"/>
              <w:ind w:left="113" w:right="113"/>
              <w:jc w:val="center"/>
              <w:rPr>
                <w:rFonts w:hint="eastAsia"/>
                <w:b w:val="0"/>
                <w:bCs w:val="0"/>
                <w:color w:val="auto"/>
                <w:sz w:val="21"/>
                <w:szCs w:val="21"/>
              </w:rPr>
            </w:pPr>
          </w:p>
        </w:tc>
        <w:tc>
          <w:tcPr>
            <w:tcW w:w="1856" w:type="dxa"/>
            <w:noWrap w:val="0"/>
            <w:vAlign w:val="center"/>
          </w:tcPr>
          <w:p w14:paraId="73217CA8">
            <w:pPr>
              <w:spacing w:line="240" w:lineRule="exact"/>
              <w:rPr>
                <w:rFonts w:hint="eastAsia"/>
                <w:b w:val="0"/>
                <w:bCs w:val="0"/>
                <w:color w:val="auto"/>
                <w:sz w:val="21"/>
                <w:szCs w:val="21"/>
              </w:rPr>
            </w:pPr>
            <w:r>
              <w:rPr>
                <w:rFonts w:hint="eastAsia"/>
                <w:b w:val="0"/>
                <w:bCs w:val="0"/>
                <w:color w:val="auto"/>
                <w:sz w:val="21"/>
                <w:szCs w:val="21"/>
              </w:rPr>
              <w:t>储运注意事项：</w:t>
            </w:r>
          </w:p>
        </w:tc>
        <w:tc>
          <w:tcPr>
            <w:tcW w:w="6900" w:type="dxa"/>
            <w:noWrap w:val="0"/>
            <w:vAlign w:val="center"/>
          </w:tcPr>
          <w:p w14:paraId="43292C5B">
            <w:pPr>
              <w:spacing w:line="240" w:lineRule="exact"/>
              <w:rPr>
                <w:rFonts w:hint="eastAsia"/>
                <w:b w:val="0"/>
                <w:bCs w:val="0"/>
                <w:color w:val="auto"/>
                <w:sz w:val="21"/>
                <w:szCs w:val="21"/>
              </w:rPr>
            </w:pPr>
            <w:r>
              <w:rPr>
                <w:b w:val="0"/>
                <w:bCs w:val="0"/>
                <w:color w:val="auto"/>
                <w:sz w:val="21"/>
                <w:szCs w:val="21"/>
              </w:rPr>
              <w:t xml:space="preserve">储存于阴凉、通风仓间内。远离火种、热源。专人保管。保持容器密封。应与碱类、酸类、食用化工原料、潮湿物品等分开存放。操作现场不得吸烟、饮水、进食。搬运时要轻装轻卸，防止包装及容器损坏。雨天不宜运输。分装和搬运作业要注意个人防护。 </w:t>
            </w:r>
          </w:p>
        </w:tc>
      </w:tr>
      <w:tr w14:paraId="02C4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restart"/>
            <w:noWrap w:val="0"/>
            <w:textDirection w:val="tbRlV"/>
            <w:vAlign w:val="center"/>
          </w:tcPr>
          <w:p w14:paraId="589C8A6A">
            <w:pPr>
              <w:spacing w:line="240" w:lineRule="exact"/>
              <w:ind w:left="113" w:right="113"/>
              <w:jc w:val="center"/>
              <w:rPr>
                <w:rFonts w:hint="eastAsia"/>
                <w:b w:val="0"/>
                <w:bCs w:val="0"/>
                <w:color w:val="auto"/>
                <w:sz w:val="21"/>
                <w:szCs w:val="21"/>
              </w:rPr>
            </w:pPr>
            <w:r>
              <w:rPr>
                <w:rFonts w:hint="eastAsia"/>
                <w:b w:val="0"/>
                <w:bCs w:val="0"/>
                <w:color w:val="auto"/>
                <w:sz w:val="21"/>
                <w:szCs w:val="21"/>
              </w:rPr>
              <w:t>毒性危害</w:t>
            </w:r>
          </w:p>
        </w:tc>
        <w:tc>
          <w:tcPr>
            <w:tcW w:w="1856" w:type="dxa"/>
            <w:noWrap w:val="0"/>
            <w:vAlign w:val="center"/>
          </w:tcPr>
          <w:p w14:paraId="39D1FC69">
            <w:pPr>
              <w:spacing w:line="240" w:lineRule="exact"/>
              <w:rPr>
                <w:rFonts w:hint="eastAsia"/>
                <w:b w:val="0"/>
                <w:bCs w:val="0"/>
                <w:color w:val="auto"/>
                <w:sz w:val="21"/>
                <w:szCs w:val="21"/>
              </w:rPr>
            </w:pPr>
            <w:r>
              <w:rPr>
                <w:rFonts w:hint="eastAsia"/>
                <w:b w:val="0"/>
                <w:bCs w:val="0"/>
                <w:color w:val="auto"/>
                <w:sz w:val="21"/>
                <w:szCs w:val="21"/>
              </w:rPr>
              <w:t>接触限值：</w:t>
            </w:r>
          </w:p>
        </w:tc>
        <w:tc>
          <w:tcPr>
            <w:tcW w:w="6900" w:type="dxa"/>
            <w:noWrap w:val="0"/>
            <w:vAlign w:val="center"/>
          </w:tcPr>
          <w:p w14:paraId="1B177467">
            <w:pPr>
              <w:spacing w:line="220" w:lineRule="exact"/>
              <w:rPr>
                <w:rFonts w:hint="eastAsia"/>
                <w:b w:val="0"/>
                <w:bCs w:val="0"/>
                <w:color w:val="auto"/>
                <w:sz w:val="21"/>
                <w:szCs w:val="21"/>
              </w:rPr>
            </w:pPr>
            <w:bookmarkStart w:id="102" w:name="_GoBack"/>
            <w:bookmarkEnd w:id="102"/>
            <w:r>
              <w:rPr>
                <w:rFonts w:hint="eastAsia"/>
                <w:b w:val="0"/>
                <w:bCs w:val="0"/>
                <w:color w:val="auto"/>
                <w:sz w:val="21"/>
                <w:szCs w:val="21"/>
                <w:lang w:eastAsia="zh-CN"/>
              </w:rPr>
              <w:t>中国</w:t>
            </w:r>
            <w:r>
              <w:rPr>
                <w:rFonts w:hint="eastAsia"/>
                <w:b w:val="0"/>
                <w:bCs w:val="0"/>
                <w:color w:val="auto"/>
                <w:sz w:val="21"/>
                <w:szCs w:val="21"/>
                <w:lang w:val="en-US" w:eastAsia="zh-CN"/>
              </w:rPr>
              <w:t xml:space="preserve"> </w:t>
            </w:r>
            <w:r>
              <w:rPr>
                <w:b w:val="0"/>
                <w:bCs w:val="0"/>
                <w:color w:val="auto"/>
                <w:sz w:val="21"/>
                <w:szCs w:val="21"/>
              </w:rPr>
              <w:t>MAC：1mg(F)</w:t>
            </w:r>
            <w:r>
              <w:rPr>
                <w:rFonts w:hint="eastAsia"/>
                <w:b w:val="0"/>
                <w:bCs w:val="0"/>
                <w:color w:val="auto"/>
                <w:sz w:val="21"/>
                <w:szCs w:val="21"/>
              </w:rPr>
              <w:t>/</w:t>
            </w:r>
            <w:r>
              <w:rPr>
                <w:b w:val="0"/>
                <w:bCs w:val="0"/>
                <w:color w:val="auto"/>
                <w:sz w:val="21"/>
                <w:szCs w:val="21"/>
              </w:rPr>
              <w:t>m</w:t>
            </w:r>
            <w:r>
              <w:rPr>
                <w:b w:val="0"/>
                <w:bCs w:val="0"/>
                <w:color w:val="auto"/>
                <w:sz w:val="21"/>
                <w:szCs w:val="21"/>
                <w:vertAlign w:val="superscript"/>
              </w:rPr>
              <w:t>3</w:t>
            </w:r>
            <w:r>
              <w:rPr>
                <w:rFonts w:hint="eastAsia"/>
                <w:b w:val="0"/>
                <w:bCs w:val="0"/>
                <w:color w:val="auto"/>
                <w:sz w:val="21"/>
                <w:szCs w:val="21"/>
              </w:rPr>
              <w:t>；</w:t>
            </w:r>
            <w:r>
              <w:rPr>
                <w:b w:val="0"/>
                <w:bCs w:val="0"/>
                <w:color w:val="auto"/>
                <w:sz w:val="21"/>
                <w:szCs w:val="21"/>
              </w:rPr>
              <w:t>前苏联MAC：未</w:t>
            </w:r>
            <w:r>
              <w:rPr>
                <w:rFonts w:hint="eastAsia"/>
                <w:b w:val="0"/>
                <w:bCs w:val="0"/>
                <w:color w:val="auto"/>
                <w:sz w:val="21"/>
                <w:szCs w:val="21"/>
                <w:lang w:eastAsia="zh-CN"/>
              </w:rPr>
              <w:t>制定</w:t>
            </w:r>
            <w:r>
              <w:rPr>
                <w:b w:val="0"/>
                <w:bCs w:val="0"/>
                <w:color w:val="auto"/>
                <w:sz w:val="21"/>
                <w:szCs w:val="21"/>
              </w:rPr>
              <w:t>标准</w:t>
            </w:r>
            <w:r>
              <w:rPr>
                <w:rFonts w:hint="eastAsia"/>
                <w:b w:val="0"/>
                <w:bCs w:val="0"/>
                <w:color w:val="auto"/>
                <w:sz w:val="21"/>
                <w:szCs w:val="21"/>
              </w:rPr>
              <w:t>；</w:t>
            </w:r>
          </w:p>
          <w:p w14:paraId="38184204">
            <w:pPr>
              <w:spacing w:line="240" w:lineRule="exact"/>
              <w:rPr>
                <w:rFonts w:hint="eastAsia"/>
                <w:b w:val="0"/>
                <w:bCs w:val="0"/>
                <w:color w:val="auto"/>
                <w:sz w:val="21"/>
                <w:szCs w:val="21"/>
              </w:rPr>
            </w:pPr>
            <w:r>
              <w:rPr>
                <w:b w:val="0"/>
                <w:bCs w:val="0"/>
                <w:color w:val="auto"/>
                <w:sz w:val="21"/>
                <w:szCs w:val="21"/>
              </w:rPr>
              <w:t>美国TLV—TWA：2</w:t>
            </w:r>
            <w:r>
              <w:rPr>
                <w:rFonts w:hint="eastAsia"/>
                <w:b w:val="0"/>
                <w:bCs w:val="0"/>
                <w:color w:val="auto"/>
                <w:sz w:val="21"/>
                <w:szCs w:val="21"/>
              </w:rPr>
              <w:t>.</w:t>
            </w:r>
            <w:r>
              <w:rPr>
                <w:b w:val="0"/>
                <w:bCs w:val="0"/>
                <w:color w:val="auto"/>
                <w:sz w:val="21"/>
                <w:szCs w:val="21"/>
              </w:rPr>
              <w:t>5mg(F)</w:t>
            </w:r>
            <w:r>
              <w:rPr>
                <w:rFonts w:hint="eastAsia"/>
                <w:b w:val="0"/>
                <w:bCs w:val="0"/>
                <w:color w:val="auto"/>
                <w:sz w:val="21"/>
                <w:szCs w:val="21"/>
              </w:rPr>
              <w:t>/</w:t>
            </w:r>
            <w:r>
              <w:rPr>
                <w:b w:val="0"/>
                <w:bCs w:val="0"/>
                <w:color w:val="auto"/>
                <w:sz w:val="21"/>
                <w:szCs w:val="21"/>
              </w:rPr>
              <w:t>m</w:t>
            </w:r>
            <w:r>
              <w:rPr>
                <w:b w:val="0"/>
                <w:bCs w:val="0"/>
                <w:color w:val="auto"/>
                <w:sz w:val="21"/>
                <w:szCs w:val="21"/>
                <w:vertAlign w:val="superscript"/>
              </w:rPr>
              <w:t>3</w:t>
            </w:r>
            <w:r>
              <w:rPr>
                <w:rFonts w:hint="eastAsia"/>
                <w:b w:val="0"/>
                <w:bCs w:val="0"/>
                <w:color w:val="auto"/>
                <w:sz w:val="21"/>
                <w:szCs w:val="21"/>
              </w:rPr>
              <w:t>；</w:t>
            </w:r>
            <w:r>
              <w:rPr>
                <w:b w:val="0"/>
                <w:bCs w:val="0"/>
                <w:color w:val="auto"/>
                <w:sz w:val="21"/>
                <w:szCs w:val="21"/>
              </w:rPr>
              <w:t>美国TLV—STEL：未</w:t>
            </w:r>
            <w:r>
              <w:rPr>
                <w:rFonts w:hint="eastAsia"/>
                <w:b w:val="0"/>
                <w:bCs w:val="0"/>
                <w:color w:val="auto"/>
                <w:sz w:val="21"/>
                <w:szCs w:val="21"/>
                <w:lang w:eastAsia="zh-CN"/>
              </w:rPr>
              <w:t>制定</w:t>
            </w:r>
            <w:r>
              <w:rPr>
                <w:b w:val="0"/>
                <w:bCs w:val="0"/>
                <w:color w:val="auto"/>
                <w:sz w:val="21"/>
                <w:szCs w:val="21"/>
              </w:rPr>
              <w:t xml:space="preserve">标准 </w:t>
            </w:r>
          </w:p>
        </w:tc>
      </w:tr>
      <w:tr w14:paraId="05F4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3C94054D">
            <w:pPr>
              <w:spacing w:line="240" w:lineRule="exact"/>
              <w:ind w:left="113" w:right="113"/>
              <w:jc w:val="center"/>
              <w:rPr>
                <w:rFonts w:hint="eastAsia"/>
                <w:b w:val="0"/>
                <w:bCs w:val="0"/>
                <w:color w:val="auto"/>
                <w:sz w:val="21"/>
                <w:szCs w:val="21"/>
              </w:rPr>
            </w:pPr>
          </w:p>
        </w:tc>
        <w:tc>
          <w:tcPr>
            <w:tcW w:w="1856" w:type="dxa"/>
            <w:noWrap w:val="0"/>
            <w:vAlign w:val="center"/>
          </w:tcPr>
          <w:p w14:paraId="5C147D09">
            <w:pPr>
              <w:spacing w:line="240" w:lineRule="exact"/>
              <w:rPr>
                <w:rFonts w:hint="eastAsia"/>
                <w:b w:val="0"/>
                <w:bCs w:val="0"/>
                <w:color w:val="auto"/>
                <w:sz w:val="21"/>
                <w:szCs w:val="21"/>
              </w:rPr>
            </w:pPr>
            <w:r>
              <w:rPr>
                <w:rFonts w:hint="eastAsia"/>
                <w:b w:val="0"/>
                <w:bCs w:val="0"/>
                <w:color w:val="auto"/>
                <w:sz w:val="21"/>
                <w:szCs w:val="21"/>
              </w:rPr>
              <w:t>侵入途径：</w:t>
            </w:r>
          </w:p>
        </w:tc>
        <w:tc>
          <w:tcPr>
            <w:tcW w:w="6900" w:type="dxa"/>
            <w:noWrap w:val="0"/>
            <w:vAlign w:val="center"/>
          </w:tcPr>
          <w:p w14:paraId="7B9BB545">
            <w:pPr>
              <w:spacing w:line="240" w:lineRule="exact"/>
              <w:rPr>
                <w:rFonts w:hint="eastAsia"/>
                <w:b w:val="0"/>
                <w:bCs w:val="0"/>
                <w:color w:val="auto"/>
                <w:sz w:val="21"/>
                <w:szCs w:val="21"/>
              </w:rPr>
            </w:pPr>
            <w:r>
              <w:rPr>
                <w:b w:val="0"/>
                <w:bCs w:val="0"/>
                <w:color w:val="auto"/>
                <w:sz w:val="21"/>
                <w:szCs w:val="21"/>
              </w:rPr>
              <w:t>吸入</w:t>
            </w:r>
            <w:r>
              <w:rPr>
                <w:rFonts w:hint="eastAsia"/>
                <w:b w:val="0"/>
                <w:bCs w:val="0"/>
                <w:color w:val="auto"/>
                <w:sz w:val="21"/>
                <w:szCs w:val="21"/>
                <w:lang w:val="en-US" w:eastAsia="zh-CN"/>
              </w:rPr>
              <w:t xml:space="preserve">  </w:t>
            </w:r>
            <w:r>
              <w:rPr>
                <w:b w:val="0"/>
                <w:bCs w:val="0"/>
                <w:color w:val="auto"/>
                <w:sz w:val="21"/>
                <w:szCs w:val="21"/>
              </w:rPr>
              <w:t>食入</w:t>
            </w:r>
            <w:r>
              <w:rPr>
                <w:rFonts w:hint="eastAsia"/>
                <w:b w:val="0"/>
                <w:bCs w:val="0"/>
                <w:color w:val="auto"/>
                <w:sz w:val="21"/>
                <w:szCs w:val="21"/>
                <w:lang w:val="en-US" w:eastAsia="zh-CN"/>
              </w:rPr>
              <w:t xml:space="preserve">  </w:t>
            </w:r>
            <w:r>
              <w:rPr>
                <w:b w:val="0"/>
                <w:bCs w:val="0"/>
                <w:color w:val="auto"/>
                <w:sz w:val="21"/>
                <w:szCs w:val="21"/>
              </w:rPr>
              <w:t xml:space="preserve">经皮吸收 </w:t>
            </w:r>
          </w:p>
        </w:tc>
      </w:tr>
      <w:tr w14:paraId="49C4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71FEDD4A">
            <w:pPr>
              <w:spacing w:line="240" w:lineRule="exact"/>
              <w:ind w:left="113" w:right="113"/>
              <w:jc w:val="center"/>
              <w:rPr>
                <w:rFonts w:hint="eastAsia"/>
                <w:b w:val="0"/>
                <w:bCs w:val="0"/>
                <w:color w:val="auto"/>
                <w:sz w:val="21"/>
                <w:szCs w:val="21"/>
              </w:rPr>
            </w:pPr>
          </w:p>
        </w:tc>
        <w:tc>
          <w:tcPr>
            <w:tcW w:w="1856" w:type="dxa"/>
            <w:noWrap w:val="0"/>
            <w:vAlign w:val="center"/>
          </w:tcPr>
          <w:p w14:paraId="3B671A47">
            <w:pPr>
              <w:spacing w:line="240" w:lineRule="exact"/>
              <w:rPr>
                <w:rFonts w:hint="eastAsia"/>
                <w:b w:val="0"/>
                <w:bCs w:val="0"/>
                <w:color w:val="auto"/>
                <w:sz w:val="21"/>
                <w:szCs w:val="21"/>
              </w:rPr>
            </w:pPr>
            <w:r>
              <w:rPr>
                <w:rFonts w:hint="eastAsia"/>
                <w:b w:val="0"/>
                <w:bCs w:val="0"/>
                <w:color w:val="auto"/>
                <w:sz w:val="21"/>
                <w:szCs w:val="21"/>
              </w:rPr>
              <w:t>毒性：</w:t>
            </w:r>
          </w:p>
        </w:tc>
        <w:tc>
          <w:tcPr>
            <w:tcW w:w="6900" w:type="dxa"/>
            <w:noWrap w:val="0"/>
            <w:vAlign w:val="center"/>
          </w:tcPr>
          <w:p w14:paraId="41F6409E">
            <w:pPr>
              <w:spacing w:line="240" w:lineRule="exact"/>
              <w:rPr>
                <w:rFonts w:hint="eastAsia"/>
                <w:b w:val="0"/>
                <w:bCs w:val="0"/>
                <w:color w:val="auto"/>
                <w:sz w:val="21"/>
                <w:szCs w:val="21"/>
              </w:rPr>
            </w:pPr>
            <w:r>
              <w:rPr>
                <w:b w:val="0"/>
                <w:bCs w:val="0"/>
                <w:color w:val="auto"/>
                <w:sz w:val="21"/>
                <w:szCs w:val="21"/>
              </w:rPr>
              <w:t>LD</w:t>
            </w:r>
            <w:r>
              <w:rPr>
                <w:b w:val="0"/>
                <w:bCs w:val="0"/>
                <w:color w:val="auto"/>
                <w:sz w:val="21"/>
                <w:szCs w:val="21"/>
                <w:vertAlign w:val="subscript"/>
              </w:rPr>
              <w:t>50</w:t>
            </w:r>
            <w:r>
              <w:rPr>
                <w:b w:val="0"/>
                <w:bCs w:val="0"/>
                <w:color w:val="auto"/>
                <w:sz w:val="21"/>
                <w:szCs w:val="21"/>
              </w:rPr>
              <w:t>：32mg</w:t>
            </w:r>
            <w:r>
              <w:rPr>
                <w:rFonts w:hint="eastAsia"/>
                <w:b w:val="0"/>
                <w:bCs w:val="0"/>
                <w:color w:val="auto"/>
                <w:sz w:val="21"/>
                <w:szCs w:val="21"/>
              </w:rPr>
              <w:t>/</w:t>
            </w:r>
            <w:r>
              <w:rPr>
                <w:b w:val="0"/>
                <w:bCs w:val="0"/>
                <w:color w:val="auto"/>
                <w:sz w:val="21"/>
                <w:szCs w:val="21"/>
              </w:rPr>
              <w:t>kg(大鼠腹腔)</w:t>
            </w:r>
          </w:p>
        </w:tc>
      </w:tr>
      <w:tr w14:paraId="205A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6D43E01B">
            <w:pPr>
              <w:spacing w:line="240" w:lineRule="exact"/>
              <w:ind w:left="113" w:right="113"/>
              <w:jc w:val="center"/>
              <w:rPr>
                <w:rFonts w:hint="eastAsia"/>
                <w:b w:val="0"/>
                <w:bCs w:val="0"/>
                <w:color w:val="auto"/>
                <w:sz w:val="21"/>
                <w:szCs w:val="21"/>
              </w:rPr>
            </w:pPr>
          </w:p>
        </w:tc>
        <w:tc>
          <w:tcPr>
            <w:tcW w:w="1856" w:type="dxa"/>
            <w:noWrap w:val="0"/>
            <w:vAlign w:val="center"/>
          </w:tcPr>
          <w:p w14:paraId="30214BB8">
            <w:pPr>
              <w:spacing w:line="240" w:lineRule="exact"/>
              <w:rPr>
                <w:rFonts w:hint="eastAsia"/>
                <w:b w:val="0"/>
                <w:bCs w:val="0"/>
                <w:color w:val="auto"/>
                <w:sz w:val="21"/>
                <w:szCs w:val="21"/>
              </w:rPr>
            </w:pPr>
            <w:r>
              <w:rPr>
                <w:rFonts w:hint="eastAsia"/>
                <w:b w:val="0"/>
                <w:bCs w:val="0"/>
                <w:color w:val="auto"/>
                <w:sz w:val="21"/>
                <w:szCs w:val="21"/>
              </w:rPr>
              <w:t>健康危害：</w:t>
            </w:r>
          </w:p>
        </w:tc>
        <w:tc>
          <w:tcPr>
            <w:tcW w:w="6900" w:type="dxa"/>
            <w:noWrap w:val="0"/>
            <w:vAlign w:val="center"/>
          </w:tcPr>
          <w:p w14:paraId="73F2C562">
            <w:pPr>
              <w:spacing w:line="240" w:lineRule="exact"/>
              <w:rPr>
                <w:rFonts w:hint="eastAsia"/>
                <w:b w:val="0"/>
                <w:bCs w:val="0"/>
                <w:color w:val="auto"/>
                <w:sz w:val="21"/>
                <w:szCs w:val="21"/>
              </w:rPr>
            </w:pPr>
            <w:r>
              <w:rPr>
                <w:b w:val="0"/>
                <w:bCs w:val="0"/>
                <w:color w:val="auto"/>
                <w:sz w:val="21"/>
                <w:szCs w:val="21"/>
              </w:rPr>
              <w:t>有毒。对眼睛、皮肤、</w:t>
            </w:r>
            <w:r>
              <w:rPr>
                <w:rFonts w:hint="eastAsia"/>
                <w:b w:val="0"/>
                <w:bCs w:val="0"/>
                <w:color w:val="auto"/>
                <w:sz w:val="21"/>
                <w:szCs w:val="21"/>
                <w:lang w:eastAsia="zh-CN"/>
              </w:rPr>
              <w:t>黏膜</w:t>
            </w:r>
            <w:r>
              <w:rPr>
                <w:b w:val="0"/>
                <w:bCs w:val="0"/>
                <w:color w:val="auto"/>
                <w:sz w:val="21"/>
                <w:szCs w:val="21"/>
              </w:rPr>
              <w:t>和上呼吸道有强烈刺激作用。吸入，可引起喉、支气管的炎症、痉挛，化学性肺炎、肺水肿等。接触后，引起头痛、恶心、呕吐、咳嗽、眩晕、气短等。</w:t>
            </w:r>
          </w:p>
        </w:tc>
      </w:tr>
      <w:tr w14:paraId="6078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restart"/>
            <w:noWrap w:val="0"/>
            <w:textDirection w:val="tbRlV"/>
            <w:vAlign w:val="center"/>
          </w:tcPr>
          <w:p w14:paraId="4DBD55E3">
            <w:pPr>
              <w:spacing w:line="240" w:lineRule="exact"/>
              <w:ind w:left="113" w:right="113"/>
              <w:jc w:val="center"/>
              <w:rPr>
                <w:rFonts w:hint="eastAsia"/>
                <w:b w:val="0"/>
                <w:bCs w:val="0"/>
                <w:color w:val="auto"/>
                <w:sz w:val="21"/>
                <w:szCs w:val="21"/>
              </w:rPr>
            </w:pPr>
            <w:r>
              <w:rPr>
                <w:rFonts w:hint="eastAsia"/>
                <w:b w:val="0"/>
                <w:bCs w:val="0"/>
                <w:color w:val="auto"/>
                <w:sz w:val="21"/>
                <w:szCs w:val="21"/>
              </w:rPr>
              <w:t>急救</w:t>
            </w:r>
          </w:p>
        </w:tc>
        <w:tc>
          <w:tcPr>
            <w:tcW w:w="1856" w:type="dxa"/>
            <w:noWrap w:val="0"/>
            <w:vAlign w:val="center"/>
          </w:tcPr>
          <w:p w14:paraId="3B3314E4">
            <w:pPr>
              <w:spacing w:line="240" w:lineRule="exact"/>
              <w:rPr>
                <w:rFonts w:hint="eastAsia"/>
                <w:b w:val="0"/>
                <w:bCs w:val="0"/>
                <w:color w:val="auto"/>
                <w:sz w:val="21"/>
                <w:szCs w:val="21"/>
              </w:rPr>
            </w:pPr>
            <w:r>
              <w:rPr>
                <w:rFonts w:hint="eastAsia"/>
                <w:b w:val="0"/>
                <w:bCs w:val="0"/>
                <w:color w:val="auto"/>
                <w:sz w:val="21"/>
                <w:szCs w:val="21"/>
              </w:rPr>
              <w:t>皮肤接触：</w:t>
            </w:r>
          </w:p>
        </w:tc>
        <w:tc>
          <w:tcPr>
            <w:tcW w:w="6900" w:type="dxa"/>
            <w:noWrap w:val="0"/>
            <w:vAlign w:val="center"/>
          </w:tcPr>
          <w:p w14:paraId="0F60B15C">
            <w:pPr>
              <w:spacing w:line="240" w:lineRule="exact"/>
              <w:rPr>
                <w:rFonts w:hint="eastAsia"/>
                <w:b w:val="0"/>
                <w:bCs w:val="0"/>
                <w:color w:val="auto"/>
                <w:sz w:val="21"/>
                <w:szCs w:val="21"/>
              </w:rPr>
            </w:pPr>
            <w:r>
              <w:rPr>
                <w:b w:val="0"/>
                <w:bCs w:val="0"/>
                <w:color w:val="auto"/>
                <w:sz w:val="21"/>
                <w:szCs w:val="21"/>
              </w:rPr>
              <w:t>用肥皂水及清水彻底冲洗。就医。</w:t>
            </w:r>
          </w:p>
        </w:tc>
      </w:tr>
      <w:tr w14:paraId="13F3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6CFC918F">
            <w:pPr>
              <w:spacing w:line="240" w:lineRule="exact"/>
              <w:ind w:left="113" w:right="113"/>
              <w:jc w:val="center"/>
              <w:rPr>
                <w:rFonts w:hint="eastAsia"/>
                <w:b w:val="0"/>
                <w:bCs w:val="0"/>
                <w:color w:val="auto"/>
                <w:sz w:val="21"/>
                <w:szCs w:val="21"/>
              </w:rPr>
            </w:pPr>
          </w:p>
        </w:tc>
        <w:tc>
          <w:tcPr>
            <w:tcW w:w="1856" w:type="dxa"/>
            <w:noWrap w:val="0"/>
            <w:vAlign w:val="center"/>
          </w:tcPr>
          <w:p w14:paraId="20581DE7">
            <w:pPr>
              <w:spacing w:line="240" w:lineRule="exact"/>
              <w:rPr>
                <w:rFonts w:hint="eastAsia"/>
                <w:b w:val="0"/>
                <w:bCs w:val="0"/>
                <w:color w:val="auto"/>
                <w:sz w:val="21"/>
                <w:szCs w:val="21"/>
              </w:rPr>
            </w:pPr>
            <w:r>
              <w:rPr>
                <w:rFonts w:hint="eastAsia"/>
                <w:b w:val="0"/>
                <w:bCs w:val="0"/>
                <w:color w:val="auto"/>
                <w:sz w:val="21"/>
                <w:szCs w:val="21"/>
              </w:rPr>
              <w:t>眼睛接触：</w:t>
            </w:r>
          </w:p>
        </w:tc>
        <w:tc>
          <w:tcPr>
            <w:tcW w:w="6900" w:type="dxa"/>
            <w:noWrap w:val="0"/>
            <w:vAlign w:val="center"/>
          </w:tcPr>
          <w:p w14:paraId="656A08E0">
            <w:pPr>
              <w:spacing w:line="240" w:lineRule="exact"/>
              <w:rPr>
                <w:rFonts w:hint="eastAsia"/>
                <w:b w:val="0"/>
                <w:bCs w:val="0"/>
                <w:color w:val="auto"/>
                <w:sz w:val="21"/>
                <w:szCs w:val="21"/>
              </w:rPr>
            </w:pPr>
            <w:r>
              <w:rPr>
                <w:b w:val="0"/>
                <w:bCs w:val="0"/>
                <w:color w:val="auto"/>
                <w:sz w:val="21"/>
                <w:szCs w:val="21"/>
              </w:rPr>
              <w:t>拉开眼睑，用流动清水冲洗15分钟。就医。</w:t>
            </w:r>
          </w:p>
        </w:tc>
      </w:tr>
      <w:tr w14:paraId="083E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341B9A16">
            <w:pPr>
              <w:spacing w:line="240" w:lineRule="exact"/>
              <w:ind w:left="113" w:right="113"/>
              <w:jc w:val="center"/>
              <w:rPr>
                <w:rFonts w:hint="eastAsia"/>
                <w:b w:val="0"/>
                <w:bCs w:val="0"/>
                <w:color w:val="auto"/>
                <w:sz w:val="21"/>
                <w:szCs w:val="21"/>
              </w:rPr>
            </w:pPr>
          </w:p>
        </w:tc>
        <w:tc>
          <w:tcPr>
            <w:tcW w:w="1856" w:type="dxa"/>
            <w:noWrap w:val="0"/>
            <w:vAlign w:val="center"/>
          </w:tcPr>
          <w:p w14:paraId="3D55A30D">
            <w:pPr>
              <w:spacing w:line="240" w:lineRule="exact"/>
              <w:rPr>
                <w:rFonts w:hint="eastAsia"/>
                <w:b w:val="0"/>
                <w:bCs w:val="0"/>
                <w:color w:val="auto"/>
                <w:sz w:val="21"/>
                <w:szCs w:val="21"/>
              </w:rPr>
            </w:pPr>
            <w:r>
              <w:rPr>
                <w:rFonts w:hint="eastAsia"/>
                <w:b w:val="0"/>
                <w:bCs w:val="0"/>
                <w:color w:val="auto"/>
                <w:sz w:val="21"/>
                <w:szCs w:val="21"/>
              </w:rPr>
              <w:t>吸入：</w:t>
            </w:r>
          </w:p>
        </w:tc>
        <w:tc>
          <w:tcPr>
            <w:tcW w:w="6900" w:type="dxa"/>
            <w:noWrap w:val="0"/>
            <w:vAlign w:val="center"/>
          </w:tcPr>
          <w:p w14:paraId="0892946B">
            <w:pPr>
              <w:spacing w:line="240" w:lineRule="exact"/>
              <w:rPr>
                <w:rFonts w:hint="eastAsia"/>
                <w:b w:val="0"/>
                <w:bCs w:val="0"/>
                <w:color w:val="auto"/>
                <w:sz w:val="21"/>
                <w:szCs w:val="21"/>
              </w:rPr>
            </w:pPr>
            <w:r>
              <w:rPr>
                <w:b w:val="0"/>
                <w:bCs w:val="0"/>
                <w:color w:val="auto"/>
                <w:sz w:val="21"/>
                <w:szCs w:val="21"/>
              </w:rPr>
              <w:t>脱离现场至空气新鲜处。呼吸困难时给输氧。呼吸停止时，立即进行人工呼吸。就医。</w:t>
            </w:r>
          </w:p>
        </w:tc>
      </w:tr>
      <w:tr w14:paraId="5651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6AEE57C9">
            <w:pPr>
              <w:spacing w:line="240" w:lineRule="exact"/>
              <w:ind w:left="113" w:right="113"/>
              <w:jc w:val="center"/>
              <w:rPr>
                <w:rFonts w:hint="eastAsia"/>
                <w:b w:val="0"/>
                <w:bCs w:val="0"/>
                <w:color w:val="auto"/>
                <w:sz w:val="21"/>
                <w:szCs w:val="21"/>
              </w:rPr>
            </w:pPr>
          </w:p>
        </w:tc>
        <w:tc>
          <w:tcPr>
            <w:tcW w:w="1856" w:type="dxa"/>
            <w:noWrap w:val="0"/>
            <w:vAlign w:val="center"/>
          </w:tcPr>
          <w:p w14:paraId="16E08D8A">
            <w:pPr>
              <w:spacing w:line="240" w:lineRule="exact"/>
              <w:rPr>
                <w:rFonts w:hint="eastAsia"/>
                <w:b w:val="0"/>
                <w:bCs w:val="0"/>
                <w:color w:val="auto"/>
                <w:sz w:val="21"/>
                <w:szCs w:val="21"/>
              </w:rPr>
            </w:pPr>
            <w:r>
              <w:rPr>
                <w:rFonts w:hint="eastAsia"/>
                <w:b w:val="0"/>
                <w:bCs w:val="0"/>
                <w:color w:val="auto"/>
                <w:sz w:val="21"/>
                <w:szCs w:val="21"/>
              </w:rPr>
              <w:t xml:space="preserve">食入： </w:t>
            </w:r>
          </w:p>
        </w:tc>
        <w:tc>
          <w:tcPr>
            <w:tcW w:w="6900" w:type="dxa"/>
            <w:noWrap w:val="0"/>
            <w:vAlign w:val="center"/>
          </w:tcPr>
          <w:p w14:paraId="6105517C">
            <w:pPr>
              <w:spacing w:line="240" w:lineRule="exact"/>
              <w:rPr>
                <w:rFonts w:hint="eastAsia"/>
                <w:b w:val="0"/>
                <w:bCs w:val="0"/>
                <w:color w:val="auto"/>
                <w:sz w:val="21"/>
                <w:szCs w:val="21"/>
              </w:rPr>
            </w:pPr>
            <w:r>
              <w:rPr>
                <w:b w:val="0"/>
                <w:bCs w:val="0"/>
                <w:color w:val="auto"/>
                <w:sz w:val="21"/>
                <w:szCs w:val="21"/>
              </w:rPr>
              <w:t>误服者，口服牛奶、豆浆或蛋清，就医。</w:t>
            </w:r>
          </w:p>
        </w:tc>
      </w:tr>
      <w:tr w14:paraId="5A9B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restart"/>
            <w:noWrap w:val="0"/>
            <w:textDirection w:val="tbRlV"/>
            <w:vAlign w:val="center"/>
          </w:tcPr>
          <w:p w14:paraId="153E64D5">
            <w:pPr>
              <w:spacing w:line="240" w:lineRule="exact"/>
              <w:ind w:left="113" w:right="113"/>
              <w:jc w:val="center"/>
              <w:rPr>
                <w:rFonts w:hint="eastAsia"/>
                <w:b w:val="0"/>
                <w:bCs w:val="0"/>
                <w:color w:val="auto"/>
                <w:sz w:val="21"/>
                <w:szCs w:val="21"/>
              </w:rPr>
            </w:pPr>
            <w:r>
              <w:rPr>
                <w:rFonts w:hint="eastAsia"/>
                <w:b w:val="0"/>
                <w:bCs w:val="0"/>
                <w:color w:val="auto"/>
                <w:sz w:val="21"/>
                <w:szCs w:val="21"/>
              </w:rPr>
              <w:t>防护措施</w:t>
            </w:r>
          </w:p>
        </w:tc>
        <w:tc>
          <w:tcPr>
            <w:tcW w:w="1856" w:type="dxa"/>
            <w:noWrap w:val="0"/>
            <w:vAlign w:val="center"/>
          </w:tcPr>
          <w:p w14:paraId="4F84645B">
            <w:pPr>
              <w:spacing w:line="240" w:lineRule="exact"/>
              <w:rPr>
                <w:rFonts w:hint="eastAsia"/>
                <w:b w:val="0"/>
                <w:bCs w:val="0"/>
                <w:color w:val="auto"/>
                <w:sz w:val="21"/>
                <w:szCs w:val="21"/>
              </w:rPr>
            </w:pPr>
            <w:r>
              <w:rPr>
                <w:rFonts w:hint="eastAsia"/>
                <w:b w:val="0"/>
                <w:bCs w:val="0"/>
                <w:color w:val="auto"/>
                <w:sz w:val="21"/>
                <w:szCs w:val="21"/>
              </w:rPr>
              <w:t>工程控制：</w:t>
            </w:r>
          </w:p>
        </w:tc>
        <w:tc>
          <w:tcPr>
            <w:tcW w:w="6900" w:type="dxa"/>
            <w:noWrap w:val="0"/>
            <w:vAlign w:val="center"/>
          </w:tcPr>
          <w:p w14:paraId="1D9ECF78">
            <w:pPr>
              <w:spacing w:line="240" w:lineRule="exact"/>
              <w:rPr>
                <w:rFonts w:hint="eastAsia"/>
                <w:b w:val="0"/>
                <w:bCs w:val="0"/>
                <w:color w:val="auto"/>
                <w:sz w:val="21"/>
                <w:szCs w:val="21"/>
              </w:rPr>
            </w:pPr>
            <w:r>
              <w:rPr>
                <w:b w:val="0"/>
                <w:bCs w:val="0"/>
                <w:color w:val="auto"/>
                <w:sz w:val="21"/>
                <w:szCs w:val="21"/>
              </w:rPr>
              <w:t>密闭操作，局部排风。</w:t>
            </w:r>
          </w:p>
        </w:tc>
      </w:tr>
      <w:tr w14:paraId="1A02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4166163A">
            <w:pPr>
              <w:spacing w:line="240" w:lineRule="exact"/>
              <w:ind w:left="113" w:right="113"/>
              <w:jc w:val="center"/>
              <w:rPr>
                <w:rFonts w:hint="eastAsia"/>
                <w:b w:val="0"/>
                <w:bCs w:val="0"/>
                <w:color w:val="auto"/>
                <w:sz w:val="21"/>
                <w:szCs w:val="21"/>
              </w:rPr>
            </w:pPr>
          </w:p>
        </w:tc>
        <w:tc>
          <w:tcPr>
            <w:tcW w:w="1856" w:type="dxa"/>
            <w:noWrap w:val="0"/>
            <w:vAlign w:val="center"/>
          </w:tcPr>
          <w:p w14:paraId="39A148BA">
            <w:pPr>
              <w:spacing w:line="240" w:lineRule="exact"/>
              <w:rPr>
                <w:rFonts w:hint="eastAsia"/>
                <w:b w:val="0"/>
                <w:bCs w:val="0"/>
                <w:color w:val="auto"/>
                <w:sz w:val="21"/>
                <w:szCs w:val="21"/>
              </w:rPr>
            </w:pPr>
            <w:r>
              <w:rPr>
                <w:rFonts w:hint="eastAsia"/>
                <w:b w:val="0"/>
                <w:bCs w:val="0"/>
                <w:color w:val="auto"/>
                <w:sz w:val="21"/>
                <w:szCs w:val="21"/>
              </w:rPr>
              <w:t>呼吸系统防护：</w:t>
            </w:r>
          </w:p>
        </w:tc>
        <w:tc>
          <w:tcPr>
            <w:tcW w:w="6900" w:type="dxa"/>
            <w:noWrap w:val="0"/>
            <w:vAlign w:val="center"/>
          </w:tcPr>
          <w:p w14:paraId="5F65B77C">
            <w:pPr>
              <w:spacing w:line="240" w:lineRule="exact"/>
              <w:rPr>
                <w:rFonts w:hint="eastAsia"/>
                <w:b w:val="0"/>
                <w:bCs w:val="0"/>
                <w:color w:val="auto"/>
                <w:sz w:val="21"/>
                <w:szCs w:val="21"/>
              </w:rPr>
            </w:pPr>
            <w:r>
              <w:rPr>
                <w:b w:val="0"/>
                <w:bCs w:val="0"/>
                <w:color w:val="auto"/>
                <w:sz w:val="21"/>
                <w:szCs w:val="21"/>
              </w:rPr>
              <w:t>可能接触其蒸气时，佩戴防毒口罩。必要时佩戴防毒面具。  </w:t>
            </w:r>
          </w:p>
        </w:tc>
      </w:tr>
      <w:tr w14:paraId="4F70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75395365">
            <w:pPr>
              <w:spacing w:line="240" w:lineRule="exact"/>
              <w:ind w:left="113" w:right="113"/>
              <w:jc w:val="center"/>
              <w:rPr>
                <w:rFonts w:hint="eastAsia"/>
                <w:b w:val="0"/>
                <w:bCs w:val="0"/>
                <w:color w:val="auto"/>
                <w:sz w:val="21"/>
                <w:szCs w:val="21"/>
              </w:rPr>
            </w:pPr>
          </w:p>
        </w:tc>
        <w:tc>
          <w:tcPr>
            <w:tcW w:w="1856" w:type="dxa"/>
            <w:noWrap w:val="0"/>
            <w:vAlign w:val="center"/>
          </w:tcPr>
          <w:p w14:paraId="61D1218D">
            <w:pPr>
              <w:spacing w:line="240" w:lineRule="exact"/>
              <w:rPr>
                <w:rFonts w:hint="eastAsia"/>
                <w:b w:val="0"/>
                <w:bCs w:val="0"/>
                <w:color w:val="auto"/>
                <w:sz w:val="21"/>
                <w:szCs w:val="21"/>
              </w:rPr>
            </w:pPr>
            <w:r>
              <w:rPr>
                <w:rFonts w:hint="eastAsia"/>
                <w:b w:val="0"/>
                <w:bCs w:val="0"/>
                <w:color w:val="auto"/>
                <w:sz w:val="21"/>
                <w:szCs w:val="21"/>
              </w:rPr>
              <w:t>眼睛防护：</w:t>
            </w:r>
          </w:p>
        </w:tc>
        <w:tc>
          <w:tcPr>
            <w:tcW w:w="6900" w:type="dxa"/>
            <w:noWrap w:val="0"/>
            <w:vAlign w:val="center"/>
          </w:tcPr>
          <w:p w14:paraId="0FB43955">
            <w:pPr>
              <w:spacing w:line="240" w:lineRule="exact"/>
              <w:rPr>
                <w:rFonts w:hint="eastAsia"/>
                <w:b w:val="0"/>
                <w:bCs w:val="0"/>
                <w:color w:val="auto"/>
                <w:sz w:val="21"/>
                <w:szCs w:val="21"/>
              </w:rPr>
            </w:pPr>
            <w:r>
              <w:rPr>
                <w:b w:val="0"/>
                <w:bCs w:val="0"/>
                <w:color w:val="auto"/>
                <w:sz w:val="21"/>
                <w:szCs w:val="21"/>
              </w:rPr>
              <w:t>戴化学安全防护眼镜。</w:t>
            </w:r>
          </w:p>
        </w:tc>
      </w:tr>
      <w:tr w14:paraId="5790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37AF7D62">
            <w:pPr>
              <w:spacing w:line="240" w:lineRule="exact"/>
              <w:ind w:left="113" w:right="113"/>
              <w:jc w:val="center"/>
              <w:rPr>
                <w:rFonts w:hint="eastAsia"/>
                <w:b w:val="0"/>
                <w:bCs w:val="0"/>
                <w:color w:val="auto"/>
                <w:sz w:val="21"/>
                <w:szCs w:val="21"/>
              </w:rPr>
            </w:pPr>
          </w:p>
        </w:tc>
        <w:tc>
          <w:tcPr>
            <w:tcW w:w="1856" w:type="dxa"/>
            <w:noWrap w:val="0"/>
            <w:vAlign w:val="center"/>
          </w:tcPr>
          <w:p w14:paraId="1A973704">
            <w:pPr>
              <w:spacing w:line="240" w:lineRule="exact"/>
              <w:rPr>
                <w:rFonts w:hint="eastAsia"/>
                <w:b w:val="0"/>
                <w:bCs w:val="0"/>
                <w:color w:val="auto"/>
                <w:sz w:val="21"/>
                <w:szCs w:val="21"/>
              </w:rPr>
            </w:pPr>
            <w:r>
              <w:rPr>
                <w:rFonts w:hint="eastAsia"/>
                <w:b w:val="0"/>
                <w:bCs w:val="0"/>
                <w:color w:val="auto"/>
                <w:sz w:val="21"/>
                <w:szCs w:val="21"/>
              </w:rPr>
              <w:t>防护服：</w:t>
            </w:r>
          </w:p>
        </w:tc>
        <w:tc>
          <w:tcPr>
            <w:tcW w:w="6900" w:type="dxa"/>
            <w:noWrap w:val="0"/>
            <w:vAlign w:val="center"/>
          </w:tcPr>
          <w:p w14:paraId="32060AB9">
            <w:pPr>
              <w:spacing w:line="240" w:lineRule="exact"/>
              <w:rPr>
                <w:rFonts w:hint="eastAsia"/>
                <w:b w:val="0"/>
                <w:bCs w:val="0"/>
                <w:color w:val="auto"/>
                <w:sz w:val="21"/>
                <w:szCs w:val="21"/>
              </w:rPr>
            </w:pPr>
            <w:r>
              <w:rPr>
                <w:b w:val="0"/>
                <w:bCs w:val="0"/>
                <w:color w:val="auto"/>
                <w:sz w:val="21"/>
                <w:szCs w:val="21"/>
              </w:rPr>
              <w:t>穿相应的防护服。</w:t>
            </w:r>
          </w:p>
        </w:tc>
      </w:tr>
      <w:tr w14:paraId="645E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548" w:type="dxa"/>
            <w:vMerge w:val="continue"/>
            <w:noWrap w:val="0"/>
            <w:textDirection w:val="tbRlV"/>
            <w:vAlign w:val="center"/>
          </w:tcPr>
          <w:p w14:paraId="5BA42AD4">
            <w:pPr>
              <w:spacing w:line="240" w:lineRule="exact"/>
              <w:ind w:left="113" w:right="113"/>
              <w:jc w:val="center"/>
              <w:rPr>
                <w:rFonts w:hint="eastAsia"/>
                <w:b w:val="0"/>
                <w:bCs w:val="0"/>
                <w:color w:val="auto"/>
                <w:sz w:val="21"/>
                <w:szCs w:val="21"/>
              </w:rPr>
            </w:pPr>
          </w:p>
        </w:tc>
        <w:tc>
          <w:tcPr>
            <w:tcW w:w="1856" w:type="dxa"/>
            <w:noWrap w:val="0"/>
            <w:vAlign w:val="center"/>
          </w:tcPr>
          <w:p w14:paraId="62563F1B">
            <w:pPr>
              <w:spacing w:line="240" w:lineRule="exact"/>
              <w:rPr>
                <w:rFonts w:hint="eastAsia"/>
                <w:b w:val="0"/>
                <w:bCs w:val="0"/>
                <w:color w:val="auto"/>
                <w:sz w:val="21"/>
                <w:szCs w:val="21"/>
              </w:rPr>
            </w:pPr>
            <w:r>
              <w:rPr>
                <w:b w:val="0"/>
                <w:bCs w:val="0"/>
                <w:color w:val="auto"/>
                <w:sz w:val="21"/>
                <w:szCs w:val="21"/>
              </w:rPr>
              <w:t>手防护：</w:t>
            </w:r>
          </w:p>
        </w:tc>
        <w:tc>
          <w:tcPr>
            <w:tcW w:w="6900" w:type="dxa"/>
            <w:noWrap w:val="0"/>
            <w:vAlign w:val="center"/>
          </w:tcPr>
          <w:p w14:paraId="073AD7E6">
            <w:pPr>
              <w:spacing w:line="240" w:lineRule="exact"/>
              <w:rPr>
                <w:b w:val="0"/>
                <w:bCs w:val="0"/>
                <w:color w:val="auto"/>
                <w:sz w:val="21"/>
                <w:szCs w:val="21"/>
              </w:rPr>
            </w:pPr>
            <w:r>
              <w:rPr>
                <w:b w:val="0"/>
                <w:bCs w:val="0"/>
                <w:color w:val="auto"/>
                <w:sz w:val="21"/>
                <w:szCs w:val="21"/>
              </w:rPr>
              <w:t>戴防化学品手套。</w:t>
            </w:r>
          </w:p>
        </w:tc>
      </w:tr>
      <w:tr w14:paraId="5808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7" w:hRule="atLeast"/>
          <w:jc w:val="center"/>
        </w:trPr>
        <w:tc>
          <w:tcPr>
            <w:tcW w:w="2404" w:type="dxa"/>
            <w:gridSpan w:val="2"/>
            <w:noWrap w:val="0"/>
            <w:vAlign w:val="center"/>
          </w:tcPr>
          <w:p w14:paraId="45DBBDCD">
            <w:pPr>
              <w:spacing w:line="240" w:lineRule="exact"/>
              <w:jc w:val="center"/>
              <w:rPr>
                <w:rFonts w:hint="eastAsia"/>
                <w:b w:val="0"/>
                <w:bCs w:val="0"/>
                <w:color w:val="auto"/>
                <w:sz w:val="21"/>
                <w:szCs w:val="21"/>
              </w:rPr>
            </w:pPr>
            <w:r>
              <w:rPr>
                <w:rFonts w:hint="eastAsia"/>
                <w:b w:val="0"/>
                <w:bCs w:val="0"/>
                <w:color w:val="auto"/>
                <w:sz w:val="21"/>
                <w:szCs w:val="21"/>
              </w:rPr>
              <w:t>泄漏处置：</w:t>
            </w:r>
          </w:p>
        </w:tc>
        <w:tc>
          <w:tcPr>
            <w:tcW w:w="6900" w:type="dxa"/>
            <w:noWrap w:val="0"/>
            <w:vAlign w:val="center"/>
          </w:tcPr>
          <w:p w14:paraId="4FD4547D">
            <w:pPr>
              <w:spacing w:line="240" w:lineRule="exact"/>
              <w:rPr>
                <w:rFonts w:hint="eastAsia"/>
                <w:b w:val="0"/>
                <w:bCs w:val="0"/>
                <w:color w:val="auto"/>
                <w:sz w:val="21"/>
                <w:szCs w:val="21"/>
              </w:rPr>
            </w:pPr>
            <w:r>
              <w:rPr>
                <w:b w:val="0"/>
                <w:bCs w:val="0"/>
                <w:color w:val="auto"/>
                <w:sz w:val="21"/>
                <w:szCs w:val="21"/>
              </w:rPr>
              <w:t>隔离泄漏污染区，周围设警告标志，建议应急处理人员戴自给式呼吸器，穿工作服。不要直接接触泄漏物，小心扫起，倒至空旷地方深埋。用水刷洗泄漏污染区，经稀释的污水放入废水系统。如大量泄漏，收集回收或无害处理后废弃。</w:t>
            </w:r>
          </w:p>
        </w:tc>
      </w:tr>
      <w:tr w14:paraId="369E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2404" w:type="dxa"/>
            <w:gridSpan w:val="2"/>
            <w:noWrap w:val="0"/>
            <w:vAlign w:val="center"/>
          </w:tcPr>
          <w:p w14:paraId="11ED3A45">
            <w:pPr>
              <w:spacing w:line="240" w:lineRule="exact"/>
              <w:jc w:val="center"/>
              <w:rPr>
                <w:rFonts w:hint="eastAsia"/>
                <w:b w:val="0"/>
                <w:bCs w:val="0"/>
                <w:color w:val="auto"/>
                <w:sz w:val="21"/>
                <w:szCs w:val="21"/>
              </w:rPr>
            </w:pPr>
            <w:r>
              <w:rPr>
                <w:rFonts w:hint="eastAsia"/>
                <w:b w:val="0"/>
                <w:bCs w:val="0"/>
                <w:color w:val="auto"/>
                <w:sz w:val="21"/>
                <w:szCs w:val="21"/>
              </w:rPr>
              <w:t>其他：</w:t>
            </w:r>
          </w:p>
        </w:tc>
        <w:tc>
          <w:tcPr>
            <w:tcW w:w="6900" w:type="dxa"/>
            <w:noWrap w:val="0"/>
            <w:vAlign w:val="center"/>
          </w:tcPr>
          <w:p w14:paraId="10BBA017">
            <w:pPr>
              <w:spacing w:line="240" w:lineRule="exact"/>
              <w:rPr>
                <w:rFonts w:hint="eastAsia"/>
                <w:b w:val="0"/>
                <w:bCs w:val="0"/>
                <w:color w:val="auto"/>
                <w:sz w:val="21"/>
                <w:szCs w:val="21"/>
              </w:rPr>
            </w:pPr>
            <w:r>
              <w:rPr>
                <w:b w:val="0"/>
                <w:bCs w:val="0"/>
                <w:color w:val="auto"/>
                <w:sz w:val="21"/>
                <w:szCs w:val="21"/>
              </w:rPr>
              <w:t>工作现场禁止吸烟、进食和饮水。工作后，淋浴更衣。注意个人清洁卫生。</w:t>
            </w:r>
          </w:p>
        </w:tc>
      </w:tr>
    </w:tbl>
    <w:p w14:paraId="6A4C062C">
      <w:pPr>
        <w:pStyle w:val="4"/>
        <w:numPr>
          <w:ilvl w:val="3"/>
          <w:numId w:val="10"/>
        </w:numPr>
        <w:tabs>
          <w:tab w:val="left" w:pos="1358"/>
          <w:tab w:val="left" w:pos="2153"/>
        </w:tabs>
        <w:ind w:left="1358"/>
        <w:outlineLvl w:val="4"/>
        <w:rPr>
          <w:color w:val="auto"/>
        </w:rPr>
      </w:pPr>
      <w:r>
        <w:rPr>
          <w:rFonts w:hint="eastAsia" w:ascii="Times New Roman" w:hAnsi="Times New Roman" w:cs="Times New Roman"/>
          <w:color w:val="auto"/>
          <w:lang w:val="en-US" w:eastAsia="zh-CN"/>
        </w:rPr>
        <w:t>氟化钾</w:t>
      </w:r>
      <w:r>
        <w:rPr>
          <w:rFonts w:hint="default" w:ascii="Times New Roman" w:hAnsi="Times New Roman" w:eastAsia="宋体" w:cs="Times New Roman"/>
          <w:color w:val="auto"/>
          <w:lang w:val="zh-CN" w:eastAsia="zh-CN"/>
        </w:rPr>
        <w:t>安全技术说明书</w:t>
      </w:r>
    </w:p>
    <w:tbl>
      <w:tblPr>
        <w:tblStyle w:val="19"/>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1821"/>
        <w:gridCol w:w="6868"/>
      </w:tblGrid>
      <w:tr w14:paraId="0392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46" w:type="dxa"/>
            <w:vMerge w:val="restart"/>
            <w:noWrap w:val="0"/>
            <w:textDirection w:val="tbRlV"/>
            <w:vAlign w:val="center"/>
          </w:tcPr>
          <w:p w14:paraId="467339ED">
            <w:pPr>
              <w:spacing w:line="260" w:lineRule="exact"/>
              <w:ind w:left="113" w:right="113"/>
              <w:jc w:val="center"/>
              <w:rPr>
                <w:rFonts w:hint="eastAsia"/>
                <w:b w:val="0"/>
                <w:bCs w:val="0"/>
                <w:color w:val="auto"/>
                <w:sz w:val="21"/>
                <w:szCs w:val="21"/>
              </w:rPr>
            </w:pPr>
            <w:r>
              <w:rPr>
                <w:rFonts w:hint="eastAsia"/>
                <w:b w:val="0"/>
                <w:bCs w:val="0"/>
                <w:color w:val="auto"/>
                <w:sz w:val="21"/>
                <w:szCs w:val="21"/>
              </w:rPr>
              <w:t>标识</w:t>
            </w:r>
          </w:p>
        </w:tc>
        <w:tc>
          <w:tcPr>
            <w:tcW w:w="1821" w:type="dxa"/>
            <w:noWrap w:val="0"/>
            <w:vAlign w:val="center"/>
          </w:tcPr>
          <w:p w14:paraId="6395231F">
            <w:pPr>
              <w:spacing w:line="260" w:lineRule="exact"/>
              <w:rPr>
                <w:rFonts w:hint="eastAsia"/>
                <w:b w:val="0"/>
                <w:bCs w:val="0"/>
                <w:color w:val="auto"/>
                <w:sz w:val="21"/>
                <w:szCs w:val="21"/>
              </w:rPr>
            </w:pPr>
            <w:r>
              <w:rPr>
                <w:rFonts w:hint="eastAsia"/>
                <w:b w:val="0"/>
                <w:bCs w:val="0"/>
                <w:color w:val="auto"/>
                <w:sz w:val="21"/>
                <w:szCs w:val="21"/>
              </w:rPr>
              <w:t>中文名：</w:t>
            </w:r>
          </w:p>
        </w:tc>
        <w:tc>
          <w:tcPr>
            <w:tcW w:w="6868" w:type="dxa"/>
            <w:noWrap w:val="0"/>
            <w:vAlign w:val="center"/>
          </w:tcPr>
          <w:p w14:paraId="342C6AA3">
            <w:pPr>
              <w:pStyle w:val="29"/>
              <w:spacing w:line="260" w:lineRule="exact"/>
              <w:rPr>
                <w:rFonts w:hint="eastAsia"/>
                <w:b w:val="0"/>
                <w:bCs w:val="0"/>
                <w:color w:val="auto"/>
                <w:sz w:val="21"/>
                <w:szCs w:val="21"/>
              </w:rPr>
            </w:pPr>
            <w:r>
              <w:rPr>
                <w:b w:val="0"/>
                <w:bCs w:val="0"/>
                <w:color w:val="auto"/>
                <w:sz w:val="21"/>
                <w:szCs w:val="21"/>
              </w:rPr>
              <w:t xml:space="preserve">氟化钾 </w:t>
            </w:r>
            <w:r>
              <w:rPr>
                <w:rFonts w:hint="eastAsia"/>
                <w:b w:val="0"/>
                <w:bCs w:val="0"/>
                <w:color w:val="auto"/>
                <w:sz w:val="21"/>
                <w:szCs w:val="21"/>
              </w:rPr>
              <w:t xml:space="preserve">              </w:t>
            </w:r>
            <w:r>
              <w:rPr>
                <w:b w:val="0"/>
                <w:bCs w:val="0"/>
                <w:color w:val="auto"/>
                <w:sz w:val="21"/>
                <w:szCs w:val="21"/>
              </w:rPr>
              <w:t xml:space="preserve">英文名：Potassium fluoride </w:t>
            </w:r>
          </w:p>
        </w:tc>
      </w:tr>
      <w:tr w14:paraId="4230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46" w:type="dxa"/>
            <w:vMerge w:val="continue"/>
            <w:noWrap w:val="0"/>
            <w:textDirection w:val="tbRlV"/>
            <w:vAlign w:val="center"/>
          </w:tcPr>
          <w:p w14:paraId="2AF3A4D6">
            <w:pPr>
              <w:spacing w:line="260" w:lineRule="exact"/>
              <w:ind w:left="113" w:right="113"/>
              <w:jc w:val="center"/>
              <w:rPr>
                <w:rFonts w:hint="eastAsia"/>
                <w:b w:val="0"/>
                <w:bCs w:val="0"/>
                <w:color w:val="auto"/>
                <w:sz w:val="21"/>
                <w:szCs w:val="21"/>
              </w:rPr>
            </w:pPr>
          </w:p>
        </w:tc>
        <w:tc>
          <w:tcPr>
            <w:tcW w:w="1821" w:type="dxa"/>
            <w:noWrap w:val="0"/>
            <w:vAlign w:val="center"/>
          </w:tcPr>
          <w:p w14:paraId="74952159">
            <w:pPr>
              <w:spacing w:line="260" w:lineRule="exact"/>
              <w:rPr>
                <w:rFonts w:hint="eastAsia"/>
                <w:b w:val="0"/>
                <w:bCs w:val="0"/>
                <w:color w:val="auto"/>
                <w:sz w:val="21"/>
                <w:szCs w:val="21"/>
              </w:rPr>
            </w:pPr>
            <w:r>
              <w:rPr>
                <w:rFonts w:hint="eastAsia"/>
                <w:b w:val="0"/>
                <w:bCs w:val="0"/>
                <w:color w:val="auto"/>
                <w:sz w:val="21"/>
                <w:szCs w:val="21"/>
              </w:rPr>
              <w:t>分子式：</w:t>
            </w:r>
          </w:p>
        </w:tc>
        <w:tc>
          <w:tcPr>
            <w:tcW w:w="6868" w:type="dxa"/>
            <w:noWrap w:val="0"/>
            <w:vAlign w:val="center"/>
          </w:tcPr>
          <w:p w14:paraId="5302EF69">
            <w:pPr>
              <w:spacing w:line="260" w:lineRule="exact"/>
              <w:rPr>
                <w:rFonts w:hint="eastAsia"/>
                <w:b w:val="0"/>
                <w:bCs w:val="0"/>
                <w:color w:val="auto"/>
                <w:sz w:val="21"/>
                <w:szCs w:val="21"/>
              </w:rPr>
            </w:pPr>
            <w:r>
              <w:rPr>
                <w:b w:val="0"/>
                <w:bCs w:val="0"/>
                <w:color w:val="auto"/>
                <w:sz w:val="21"/>
                <w:szCs w:val="21"/>
              </w:rPr>
              <w:t xml:space="preserve">KF </w:t>
            </w:r>
            <w:r>
              <w:rPr>
                <w:rFonts w:hint="eastAsia"/>
                <w:b w:val="0"/>
                <w:bCs w:val="0"/>
                <w:color w:val="auto"/>
                <w:sz w:val="21"/>
                <w:szCs w:val="21"/>
              </w:rPr>
              <w:t xml:space="preserve">                  </w:t>
            </w:r>
            <w:r>
              <w:rPr>
                <w:b w:val="0"/>
                <w:bCs w:val="0"/>
                <w:color w:val="auto"/>
                <w:sz w:val="21"/>
                <w:szCs w:val="21"/>
              </w:rPr>
              <w:t xml:space="preserve">分子量：58.1 </w:t>
            </w:r>
          </w:p>
        </w:tc>
      </w:tr>
      <w:tr w14:paraId="04B2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46" w:type="dxa"/>
            <w:vMerge w:val="continue"/>
            <w:noWrap w:val="0"/>
            <w:textDirection w:val="tbRlV"/>
            <w:vAlign w:val="center"/>
          </w:tcPr>
          <w:p w14:paraId="76359001">
            <w:pPr>
              <w:spacing w:line="260" w:lineRule="exact"/>
              <w:ind w:left="113" w:right="113"/>
              <w:jc w:val="center"/>
              <w:rPr>
                <w:rFonts w:hint="eastAsia"/>
                <w:b w:val="0"/>
                <w:bCs w:val="0"/>
                <w:color w:val="auto"/>
                <w:sz w:val="21"/>
                <w:szCs w:val="21"/>
              </w:rPr>
            </w:pPr>
          </w:p>
        </w:tc>
        <w:tc>
          <w:tcPr>
            <w:tcW w:w="1821" w:type="dxa"/>
            <w:noWrap w:val="0"/>
            <w:vAlign w:val="center"/>
          </w:tcPr>
          <w:p w14:paraId="0F67E645">
            <w:pPr>
              <w:spacing w:line="260" w:lineRule="exact"/>
              <w:rPr>
                <w:rFonts w:hint="eastAsia"/>
                <w:b w:val="0"/>
                <w:bCs w:val="0"/>
                <w:color w:val="auto"/>
                <w:sz w:val="21"/>
                <w:szCs w:val="21"/>
              </w:rPr>
            </w:pPr>
            <w:r>
              <w:rPr>
                <w:rFonts w:hint="eastAsia"/>
                <w:b w:val="0"/>
                <w:bCs w:val="0"/>
                <w:color w:val="auto"/>
                <w:sz w:val="21"/>
                <w:szCs w:val="21"/>
              </w:rPr>
              <w:t>CAS号：</w:t>
            </w:r>
          </w:p>
        </w:tc>
        <w:tc>
          <w:tcPr>
            <w:tcW w:w="6868" w:type="dxa"/>
            <w:noWrap w:val="0"/>
            <w:vAlign w:val="center"/>
          </w:tcPr>
          <w:p w14:paraId="0B8A8D53">
            <w:pPr>
              <w:spacing w:line="260" w:lineRule="exact"/>
              <w:rPr>
                <w:rFonts w:hint="eastAsia"/>
                <w:b w:val="0"/>
                <w:bCs w:val="0"/>
                <w:color w:val="auto"/>
                <w:sz w:val="21"/>
                <w:szCs w:val="21"/>
              </w:rPr>
            </w:pPr>
            <w:r>
              <w:rPr>
                <w:b w:val="0"/>
                <w:bCs w:val="0"/>
                <w:color w:val="auto"/>
                <w:sz w:val="21"/>
                <w:szCs w:val="21"/>
              </w:rPr>
              <w:t xml:space="preserve">7789-23-3 </w:t>
            </w:r>
            <w:r>
              <w:rPr>
                <w:rFonts w:hint="eastAsia"/>
                <w:b w:val="0"/>
                <w:bCs w:val="0"/>
                <w:color w:val="auto"/>
                <w:sz w:val="21"/>
                <w:szCs w:val="21"/>
              </w:rPr>
              <w:t xml:space="preserve">            </w:t>
            </w:r>
            <w:r>
              <w:rPr>
                <w:b w:val="0"/>
                <w:bCs w:val="0"/>
                <w:color w:val="auto"/>
                <w:sz w:val="21"/>
                <w:szCs w:val="21"/>
              </w:rPr>
              <w:t>RTECS号：TT0700000</w:t>
            </w:r>
          </w:p>
        </w:tc>
      </w:tr>
      <w:tr w14:paraId="1AC0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546" w:type="dxa"/>
            <w:vMerge w:val="continue"/>
            <w:noWrap w:val="0"/>
            <w:textDirection w:val="tbRlV"/>
            <w:vAlign w:val="center"/>
          </w:tcPr>
          <w:p w14:paraId="6AC63937">
            <w:pPr>
              <w:spacing w:line="260" w:lineRule="exact"/>
              <w:ind w:left="113" w:right="113"/>
              <w:jc w:val="center"/>
              <w:rPr>
                <w:rFonts w:hint="eastAsia"/>
                <w:b w:val="0"/>
                <w:bCs w:val="0"/>
                <w:color w:val="auto"/>
                <w:sz w:val="21"/>
                <w:szCs w:val="21"/>
              </w:rPr>
            </w:pPr>
          </w:p>
        </w:tc>
        <w:tc>
          <w:tcPr>
            <w:tcW w:w="1821" w:type="dxa"/>
            <w:noWrap w:val="0"/>
            <w:vAlign w:val="center"/>
          </w:tcPr>
          <w:p w14:paraId="51E65E6F">
            <w:pPr>
              <w:spacing w:line="260" w:lineRule="exact"/>
              <w:rPr>
                <w:rFonts w:hint="eastAsia"/>
                <w:b w:val="0"/>
                <w:bCs w:val="0"/>
                <w:color w:val="auto"/>
                <w:sz w:val="21"/>
                <w:szCs w:val="21"/>
              </w:rPr>
            </w:pPr>
            <w:r>
              <w:rPr>
                <w:b w:val="0"/>
                <w:bCs w:val="0"/>
                <w:color w:val="auto"/>
                <w:sz w:val="21"/>
                <w:szCs w:val="21"/>
              </w:rPr>
              <w:t>UN编号：</w:t>
            </w:r>
          </w:p>
        </w:tc>
        <w:tc>
          <w:tcPr>
            <w:tcW w:w="6868" w:type="dxa"/>
            <w:noWrap w:val="0"/>
            <w:vAlign w:val="center"/>
          </w:tcPr>
          <w:p w14:paraId="002B70F1">
            <w:pPr>
              <w:spacing w:line="260" w:lineRule="exact"/>
              <w:rPr>
                <w:rFonts w:hint="eastAsia"/>
                <w:b w:val="0"/>
                <w:bCs w:val="0"/>
                <w:color w:val="auto"/>
                <w:sz w:val="21"/>
                <w:szCs w:val="21"/>
              </w:rPr>
            </w:pPr>
            <w:r>
              <w:rPr>
                <w:b w:val="0"/>
                <w:bCs w:val="0"/>
                <w:color w:val="auto"/>
                <w:sz w:val="21"/>
                <w:szCs w:val="21"/>
              </w:rPr>
              <w:t xml:space="preserve">1812 </w:t>
            </w:r>
            <w:r>
              <w:rPr>
                <w:rFonts w:hint="eastAsia"/>
                <w:b w:val="0"/>
                <w:bCs w:val="0"/>
                <w:color w:val="auto"/>
                <w:sz w:val="21"/>
                <w:szCs w:val="21"/>
              </w:rPr>
              <w:t xml:space="preserve">  </w:t>
            </w:r>
            <w:r>
              <w:rPr>
                <w:b w:val="0"/>
                <w:bCs w:val="0"/>
                <w:color w:val="auto"/>
                <w:sz w:val="21"/>
                <w:szCs w:val="21"/>
              </w:rPr>
              <w:t>危险货物编号：61513</w:t>
            </w:r>
            <w:r>
              <w:rPr>
                <w:rFonts w:hint="eastAsia"/>
                <w:b w:val="0"/>
                <w:bCs w:val="0"/>
                <w:color w:val="auto"/>
                <w:sz w:val="21"/>
                <w:szCs w:val="21"/>
              </w:rPr>
              <w:t xml:space="preserve">    </w:t>
            </w:r>
            <w:r>
              <w:rPr>
                <w:b w:val="0"/>
                <w:bCs w:val="0"/>
                <w:color w:val="auto"/>
                <w:sz w:val="21"/>
                <w:szCs w:val="21"/>
              </w:rPr>
              <w:t xml:space="preserve"> IMDG规则页码：6242 </w:t>
            </w:r>
          </w:p>
        </w:tc>
      </w:tr>
      <w:tr w14:paraId="7D6A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46" w:type="dxa"/>
            <w:vMerge w:val="restart"/>
            <w:noWrap w:val="0"/>
            <w:textDirection w:val="tbRlV"/>
            <w:vAlign w:val="center"/>
          </w:tcPr>
          <w:p w14:paraId="609E5F85">
            <w:pPr>
              <w:spacing w:line="260" w:lineRule="exact"/>
              <w:ind w:left="113" w:right="113"/>
              <w:jc w:val="center"/>
              <w:rPr>
                <w:rFonts w:hint="eastAsia"/>
                <w:b w:val="0"/>
                <w:bCs w:val="0"/>
                <w:color w:val="auto"/>
                <w:sz w:val="21"/>
                <w:szCs w:val="21"/>
              </w:rPr>
            </w:pPr>
            <w:r>
              <w:rPr>
                <w:rFonts w:hint="eastAsia"/>
                <w:b w:val="0"/>
                <w:bCs w:val="0"/>
                <w:color w:val="auto"/>
                <w:sz w:val="21"/>
                <w:szCs w:val="21"/>
              </w:rPr>
              <w:t>理化性质</w:t>
            </w:r>
          </w:p>
        </w:tc>
        <w:tc>
          <w:tcPr>
            <w:tcW w:w="1821" w:type="dxa"/>
            <w:noWrap w:val="0"/>
            <w:vAlign w:val="center"/>
          </w:tcPr>
          <w:p w14:paraId="1A2C8EC7">
            <w:pPr>
              <w:spacing w:line="260" w:lineRule="exact"/>
              <w:rPr>
                <w:rFonts w:hint="eastAsia"/>
                <w:b w:val="0"/>
                <w:bCs w:val="0"/>
                <w:color w:val="auto"/>
                <w:sz w:val="21"/>
                <w:szCs w:val="21"/>
              </w:rPr>
            </w:pPr>
            <w:r>
              <w:rPr>
                <w:rFonts w:hint="eastAsia"/>
                <w:b w:val="0"/>
                <w:bCs w:val="0"/>
                <w:color w:val="auto"/>
                <w:sz w:val="21"/>
                <w:szCs w:val="21"/>
              </w:rPr>
              <w:t>外观与性状：</w:t>
            </w:r>
          </w:p>
        </w:tc>
        <w:tc>
          <w:tcPr>
            <w:tcW w:w="6868" w:type="dxa"/>
            <w:noWrap w:val="0"/>
            <w:vAlign w:val="center"/>
          </w:tcPr>
          <w:p w14:paraId="26459684">
            <w:pPr>
              <w:spacing w:line="260" w:lineRule="exact"/>
              <w:rPr>
                <w:rFonts w:hint="eastAsia"/>
                <w:b w:val="0"/>
                <w:bCs w:val="0"/>
                <w:color w:val="auto"/>
                <w:sz w:val="21"/>
                <w:szCs w:val="21"/>
              </w:rPr>
            </w:pPr>
            <w:r>
              <w:rPr>
                <w:b w:val="0"/>
                <w:bCs w:val="0"/>
                <w:color w:val="auto"/>
                <w:sz w:val="21"/>
                <w:szCs w:val="21"/>
              </w:rPr>
              <w:t>五色立方结晶，易潮解。</w:t>
            </w:r>
          </w:p>
        </w:tc>
      </w:tr>
      <w:tr w14:paraId="07C2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46" w:type="dxa"/>
            <w:vMerge w:val="continue"/>
            <w:noWrap w:val="0"/>
            <w:textDirection w:val="tbRlV"/>
            <w:vAlign w:val="center"/>
          </w:tcPr>
          <w:p w14:paraId="12B49D3F">
            <w:pPr>
              <w:spacing w:line="260" w:lineRule="exact"/>
              <w:ind w:left="113" w:right="113"/>
              <w:jc w:val="center"/>
              <w:rPr>
                <w:rFonts w:hint="eastAsia"/>
                <w:b w:val="0"/>
                <w:bCs w:val="0"/>
                <w:color w:val="auto"/>
                <w:sz w:val="21"/>
                <w:szCs w:val="21"/>
              </w:rPr>
            </w:pPr>
          </w:p>
        </w:tc>
        <w:tc>
          <w:tcPr>
            <w:tcW w:w="1821" w:type="dxa"/>
            <w:noWrap w:val="0"/>
            <w:vAlign w:val="center"/>
          </w:tcPr>
          <w:p w14:paraId="0E7F4BE0">
            <w:pPr>
              <w:spacing w:line="260" w:lineRule="exact"/>
              <w:rPr>
                <w:rFonts w:hint="eastAsia"/>
                <w:b w:val="0"/>
                <w:bCs w:val="0"/>
                <w:color w:val="auto"/>
                <w:sz w:val="21"/>
                <w:szCs w:val="21"/>
              </w:rPr>
            </w:pPr>
            <w:r>
              <w:rPr>
                <w:rFonts w:hint="eastAsia"/>
                <w:b w:val="0"/>
                <w:bCs w:val="0"/>
                <w:color w:val="auto"/>
                <w:sz w:val="21"/>
                <w:szCs w:val="21"/>
              </w:rPr>
              <w:t>主要用途：</w:t>
            </w:r>
          </w:p>
        </w:tc>
        <w:tc>
          <w:tcPr>
            <w:tcW w:w="6868" w:type="dxa"/>
            <w:noWrap w:val="0"/>
            <w:vAlign w:val="center"/>
          </w:tcPr>
          <w:p w14:paraId="13B441E8">
            <w:pPr>
              <w:spacing w:line="260" w:lineRule="exact"/>
              <w:rPr>
                <w:rFonts w:hint="eastAsia"/>
                <w:b w:val="0"/>
                <w:bCs w:val="0"/>
                <w:color w:val="auto"/>
                <w:sz w:val="21"/>
                <w:szCs w:val="21"/>
              </w:rPr>
            </w:pPr>
            <w:r>
              <w:rPr>
                <w:b w:val="0"/>
                <w:bCs w:val="0"/>
                <w:color w:val="auto"/>
                <w:sz w:val="21"/>
                <w:szCs w:val="21"/>
              </w:rPr>
              <w:t>用作分析试剂、络合物形成剂，及用于玻璃雕刻和食物防腐，还用作杀虫剂、氟化剂等。</w:t>
            </w:r>
          </w:p>
        </w:tc>
      </w:tr>
      <w:tr w14:paraId="4643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46" w:type="dxa"/>
            <w:vMerge w:val="continue"/>
            <w:noWrap w:val="0"/>
            <w:textDirection w:val="tbRlV"/>
            <w:vAlign w:val="center"/>
          </w:tcPr>
          <w:p w14:paraId="597E0B91">
            <w:pPr>
              <w:spacing w:line="260" w:lineRule="exact"/>
              <w:ind w:left="113" w:right="113"/>
              <w:jc w:val="center"/>
              <w:rPr>
                <w:rFonts w:hint="eastAsia"/>
                <w:b w:val="0"/>
                <w:bCs w:val="0"/>
                <w:color w:val="auto"/>
                <w:sz w:val="21"/>
                <w:szCs w:val="21"/>
              </w:rPr>
            </w:pPr>
          </w:p>
        </w:tc>
        <w:tc>
          <w:tcPr>
            <w:tcW w:w="1821" w:type="dxa"/>
            <w:noWrap w:val="0"/>
            <w:vAlign w:val="center"/>
          </w:tcPr>
          <w:p w14:paraId="15F3C44A">
            <w:pPr>
              <w:spacing w:line="260" w:lineRule="exact"/>
              <w:rPr>
                <w:rFonts w:hint="eastAsia"/>
                <w:b w:val="0"/>
                <w:bCs w:val="0"/>
                <w:color w:val="auto"/>
                <w:sz w:val="21"/>
                <w:szCs w:val="21"/>
              </w:rPr>
            </w:pPr>
            <w:r>
              <w:rPr>
                <w:rFonts w:hint="eastAsia"/>
                <w:b w:val="0"/>
                <w:bCs w:val="0"/>
                <w:color w:val="auto"/>
                <w:sz w:val="21"/>
                <w:szCs w:val="21"/>
              </w:rPr>
              <w:t>熔点(℃)：</w:t>
            </w:r>
          </w:p>
        </w:tc>
        <w:tc>
          <w:tcPr>
            <w:tcW w:w="6868" w:type="dxa"/>
            <w:noWrap w:val="0"/>
            <w:vAlign w:val="center"/>
          </w:tcPr>
          <w:p w14:paraId="0DC6305E">
            <w:pPr>
              <w:spacing w:line="260" w:lineRule="exact"/>
              <w:rPr>
                <w:rFonts w:hint="eastAsia"/>
                <w:b w:val="0"/>
                <w:bCs w:val="0"/>
                <w:color w:val="auto"/>
                <w:sz w:val="21"/>
                <w:szCs w:val="21"/>
              </w:rPr>
            </w:pPr>
            <w:r>
              <w:rPr>
                <w:b w:val="0"/>
                <w:bCs w:val="0"/>
                <w:color w:val="auto"/>
                <w:sz w:val="21"/>
                <w:szCs w:val="21"/>
              </w:rPr>
              <w:t>858</w:t>
            </w:r>
            <w:r>
              <w:rPr>
                <w:rFonts w:hint="eastAsia"/>
                <w:b w:val="0"/>
                <w:bCs w:val="0"/>
                <w:color w:val="auto"/>
                <w:sz w:val="21"/>
                <w:szCs w:val="21"/>
              </w:rPr>
              <w:t xml:space="preserve">                  </w:t>
            </w:r>
            <w:r>
              <w:rPr>
                <w:b w:val="0"/>
                <w:bCs w:val="0"/>
                <w:color w:val="auto"/>
                <w:sz w:val="21"/>
                <w:szCs w:val="21"/>
              </w:rPr>
              <w:t>沸点：1505</w:t>
            </w:r>
          </w:p>
        </w:tc>
      </w:tr>
      <w:tr w14:paraId="39C0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546" w:type="dxa"/>
            <w:vMerge w:val="continue"/>
            <w:noWrap w:val="0"/>
            <w:textDirection w:val="tbRlV"/>
            <w:vAlign w:val="center"/>
          </w:tcPr>
          <w:p w14:paraId="2BA36572">
            <w:pPr>
              <w:spacing w:line="260" w:lineRule="exact"/>
              <w:ind w:left="113" w:right="113"/>
              <w:jc w:val="center"/>
              <w:rPr>
                <w:rFonts w:hint="eastAsia"/>
                <w:b w:val="0"/>
                <w:bCs w:val="0"/>
                <w:color w:val="auto"/>
                <w:sz w:val="21"/>
                <w:szCs w:val="21"/>
              </w:rPr>
            </w:pPr>
          </w:p>
        </w:tc>
        <w:tc>
          <w:tcPr>
            <w:tcW w:w="1821" w:type="dxa"/>
            <w:noWrap w:val="0"/>
            <w:vAlign w:val="center"/>
          </w:tcPr>
          <w:p w14:paraId="126A620F">
            <w:pPr>
              <w:spacing w:line="260" w:lineRule="exact"/>
              <w:rPr>
                <w:rFonts w:hint="eastAsia"/>
                <w:b w:val="0"/>
                <w:bCs w:val="0"/>
                <w:color w:val="auto"/>
                <w:sz w:val="21"/>
                <w:szCs w:val="21"/>
              </w:rPr>
            </w:pPr>
            <w:r>
              <w:rPr>
                <w:rFonts w:ascii="宋体" w:hAnsi="宋体"/>
                <w:b w:val="0"/>
                <w:bCs w:val="0"/>
                <w:color w:val="auto"/>
                <w:sz w:val="21"/>
                <w:szCs w:val="21"/>
              </w:rPr>
              <w:t>相对密度(水=1)：</w:t>
            </w:r>
          </w:p>
        </w:tc>
        <w:tc>
          <w:tcPr>
            <w:tcW w:w="6868" w:type="dxa"/>
            <w:noWrap w:val="0"/>
            <w:vAlign w:val="center"/>
          </w:tcPr>
          <w:p w14:paraId="756B940D">
            <w:pPr>
              <w:spacing w:line="260" w:lineRule="exact"/>
              <w:rPr>
                <w:rFonts w:hint="eastAsia"/>
                <w:b w:val="0"/>
                <w:bCs w:val="0"/>
                <w:color w:val="auto"/>
                <w:sz w:val="21"/>
                <w:szCs w:val="21"/>
              </w:rPr>
            </w:pPr>
            <w:r>
              <w:rPr>
                <w:b w:val="0"/>
                <w:bCs w:val="0"/>
                <w:color w:val="auto"/>
                <w:sz w:val="21"/>
                <w:szCs w:val="21"/>
              </w:rPr>
              <w:t>2</w:t>
            </w:r>
            <w:r>
              <w:rPr>
                <w:rFonts w:hint="eastAsia"/>
                <w:b w:val="0"/>
                <w:bCs w:val="0"/>
                <w:color w:val="auto"/>
                <w:sz w:val="21"/>
                <w:szCs w:val="21"/>
              </w:rPr>
              <w:t>.</w:t>
            </w:r>
            <w:r>
              <w:rPr>
                <w:b w:val="0"/>
                <w:bCs w:val="0"/>
                <w:color w:val="auto"/>
                <w:sz w:val="21"/>
                <w:szCs w:val="21"/>
              </w:rPr>
              <w:t xml:space="preserve">48 </w:t>
            </w:r>
            <w:r>
              <w:rPr>
                <w:rFonts w:hint="eastAsia"/>
                <w:b w:val="0"/>
                <w:bCs w:val="0"/>
                <w:color w:val="auto"/>
                <w:sz w:val="21"/>
                <w:szCs w:val="21"/>
              </w:rPr>
              <w:t xml:space="preserve">                </w:t>
            </w:r>
            <w:r>
              <w:rPr>
                <w:b w:val="0"/>
                <w:bCs w:val="0"/>
                <w:color w:val="auto"/>
                <w:sz w:val="21"/>
                <w:szCs w:val="21"/>
              </w:rPr>
              <w:t>相对密度(空气=1)</w:t>
            </w:r>
            <w:r>
              <w:rPr>
                <w:rFonts w:hint="eastAsia"/>
                <w:b w:val="0"/>
                <w:bCs w:val="0"/>
                <w:color w:val="auto"/>
                <w:sz w:val="21"/>
                <w:szCs w:val="21"/>
                <w:lang w:eastAsia="zh-CN"/>
              </w:rPr>
              <w:t>：</w:t>
            </w:r>
            <w:r>
              <w:rPr>
                <w:b w:val="0"/>
                <w:bCs w:val="0"/>
                <w:color w:val="auto"/>
                <w:sz w:val="21"/>
                <w:szCs w:val="21"/>
              </w:rPr>
              <w:t>无资料</w:t>
            </w:r>
          </w:p>
        </w:tc>
      </w:tr>
      <w:tr w14:paraId="65AE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46" w:type="dxa"/>
            <w:vMerge w:val="continue"/>
            <w:noWrap w:val="0"/>
            <w:textDirection w:val="tbRlV"/>
            <w:vAlign w:val="center"/>
          </w:tcPr>
          <w:p w14:paraId="112D5E67">
            <w:pPr>
              <w:spacing w:line="260" w:lineRule="exact"/>
              <w:ind w:left="113" w:right="113"/>
              <w:jc w:val="center"/>
              <w:rPr>
                <w:rFonts w:hint="eastAsia"/>
                <w:b w:val="0"/>
                <w:bCs w:val="0"/>
                <w:color w:val="auto"/>
                <w:sz w:val="21"/>
                <w:szCs w:val="21"/>
              </w:rPr>
            </w:pPr>
          </w:p>
        </w:tc>
        <w:tc>
          <w:tcPr>
            <w:tcW w:w="1821" w:type="dxa"/>
            <w:noWrap w:val="0"/>
            <w:vAlign w:val="center"/>
          </w:tcPr>
          <w:p w14:paraId="756A58DF">
            <w:pPr>
              <w:spacing w:line="260" w:lineRule="exact"/>
              <w:rPr>
                <w:rFonts w:ascii="宋体" w:hAnsi="宋体"/>
                <w:b w:val="0"/>
                <w:bCs w:val="0"/>
                <w:color w:val="auto"/>
                <w:sz w:val="21"/>
                <w:szCs w:val="21"/>
              </w:rPr>
            </w:pPr>
            <w:r>
              <w:rPr>
                <w:b w:val="0"/>
                <w:bCs w:val="0"/>
                <w:color w:val="auto"/>
                <w:sz w:val="21"/>
                <w:szCs w:val="21"/>
              </w:rPr>
              <w:t>饱和蒸汽压(kPa)：</w:t>
            </w:r>
          </w:p>
        </w:tc>
        <w:tc>
          <w:tcPr>
            <w:tcW w:w="6868" w:type="dxa"/>
            <w:noWrap w:val="0"/>
            <w:vAlign w:val="center"/>
          </w:tcPr>
          <w:p w14:paraId="621908EA">
            <w:pPr>
              <w:spacing w:line="260" w:lineRule="exact"/>
              <w:rPr>
                <w:b w:val="0"/>
                <w:bCs w:val="0"/>
                <w:color w:val="auto"/>
                <w:sz w:val="21"/>
                <w:szCs w:val="21"/>
              </w:rPr>
            </w:pPr>
            <w:r>
              <w:rPr>
                <w:b w:val="0"/>
                <w:bCs w:val="0"/>
                <w:color w:val="auto"/>
                <w:sz w:val="21"/>
                <w:szCs w:val="21"/>
              </w:rPr>
              <w:t>无资料</w:t>
            </w:r>
          </w:p>
        </w:tc>
      </w:tr>
      <w:tr w14:paraId="7739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46" w:type="dxa"/>
            <w:vMerge w:val="continue"/>
            <w:noWrap w:val="0"/>
            <w:textDirection w:val="tbRlV"/>
            <w:vAlign w:val="center"/>
          </w:tcPr>
          <w:p w14:paraId="6EE39716">
            <w:pPr>
              <w:spacing w:line="260" w:lineRule="exact"/>
              <w:ind w:left="113" w:right="113"/>
              <w:jc w:val="center"/>
              <w:rPr>
                <w:rFonts w:hint="eastAsia"/>
                <w:b w:val="0"/>
                <w:bCs w:val="0"/>
                <w:color w:val="auto"/>
                <w:sz w:val="21"/>
                <w:szCs w:val="21"/>
              </w:rPr>
            </w:pPr>
          </w:p>
        </w:tc>
        <w:tc>
          <w:tcPr>
            <w:tcW w:w="1821" w:type="dxa"/>
            <w:noWrap w:val="0"/>
            <w:vAlign w:val="center"/>
          </w:tcPr>
          <w:p w14:paraId="5231BDDF">
            <w:pPr>
              <w:spacing w:line="260" w:lineRule="exact"/>
              <w:rPr>
                <w:rFonts w:hint="eastAsia"/>
                <w:b w:val="0"/>
                <w:bCs w:val="0"/>
                <w:color w:val="auto"/>
                <w:sz w:val="21"/>
                <w:szCs w:val="21"/>
              </w:rPr>
            </w:pPr>
            <w:r>
              <w:rPr>
                <w:rFonts w:ascii="宋体" w:hAnsi="宋体"/>
                <w:b w:val="0"/>
                <w:bCs w:val="0"/>
                <w:color w:val="auto"/>
                <w:sz w:val="21"/>
                <w:szCs w:val="21"/>
              </w:rPr>
              <w:t>溶解性：</w:t>
            </w:r>
          </w:p>
        </w:tc>
        <w:tc>
          <w:tcPr>
            <w:tcW w:w="6868" w:type="dxa"/>
            <w:noWrap w:val="0"/>
            <w:vAlign w:val="center"/>
          </w:tcPr>
          <w:p w14:paraId="5BE5B965">
            <w:pPr>
              <w:spacing w:line="260" w:lineRule="exact"/>
              <w:rPr>
                <w:rFonts w:hint="eastAsia"/>
                <w:b w:val="0"/>
                <w:bCs w:val="0"/>
                <w:color w:val="auto"/>
                <w:sz w:val="21"/>
                <w:szCs w:val="21"/>
              </w:rPr>
            </w:pPr>
            <w:r>
              <w:rPr>
                <w:b w:val="0"/>
                <w:bCs w:val="0"/>
                <w:color w:val="auto"/>
                <w:sz w:val="21"/>
                <w:szCs w:val="21"/>
              </w:rPr>
              <w:t xml:space="preserve">溶于水、氢氟酸、液氨，不溶于醇。 </w:t>
            </w:r>
          </w:p>
        </w:tc>
      </w:tr>
      <w:tr w14:paraId="6B8D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46" w:type="dxa"/>
            <w:vMerge w:val="continue"/>
            <w:noWrap w:val="0"/>
            <w:textDirection w:val="tbRlV"/>
            <w:vAlign w:val="center"/>
          </w:tcPr>
          <w:p w14:paraId="0BE4E53D">
            <w:pPr>
              <w:spacing w:line="260" w:lineRule="exact"/>
              <w:ind w:left="113" w:right="113"/>
              <w:jc w:val="center"/>
              <w:rPr>
                <w:rFonts w:hint="eastAsia"/>
                <w:b w:val="0"/>
                <w:bCs w:val="0"/>
                <w:color w:val="auto"/>
                <w:sz w:val="21"/>
                <w:szCs w:val="21"/>
              </w:rPr>
            </w:pPr>
          </w:p>
        </w:tc>
        <w:tc>
          <w:tcPr>
            <w:tcW w:w="1821" w:type="dxa"/>
            <w:noWrap w:val="0"/>
            <w:vAlign w:val="center"/>
          </w:tcPr>
          <w:p w14:paraId="578718C0">
            <w:pPr>
              <w:spacing w:line="260" w:lineRule="exact"/>
              <w:rPr>
                <w:rFonts w:ascii="宋体" w:hAnsi="宋体"/>
                <w:b w:val="0"/>
                <w:bCs w:val="0"/>
                <w:color w:val="auto"/>
                <w:sz w:val="21"/>
                <w:szCs w:val="21"/>
              </w:rPr>
            </w:pPr>
            <w:r>
              <w:rPr>
                <w:b w:val="0"/>
                <w:bCs w:val="0"/>
                <w:color w:val="auto"/>
                <w:sz w:val="21"/>
                <w:szCs w:val="21"/>
              </w:rPr>
              <w:t>燃烧热(kj/mol)：</w:t>
            </w:r>
          </w:p>
        </w:tc>
        <w:tc>
          <w:tcPr>
            <w:tcW w:w="6868" w:type="dxa"/>
            <w:noWrap w:val="0"/>
            <w:vAlign w:val="center"/>
          </w:tcPr>
          <w:p w14:paraId="36D79C15">
            <w:pPr>
              <w:spacing w:line="260" w:lineRule="exact"/>
              <w:rPr>
                <w:b w:val="0"/>
                <w:bCs w:val="0"/>
                <w:color w:val="auto"/>
                <w:sz w:val="21"/>
                <w:szCs w:val="21"/>
              </w:rPr>
            </w:pPr>
            <w:r>
              <w:rPr>
                <w:b w:val="0"/>
                <w:bCs w:val="0"/>
                <w:color w:val="auto"/>
                <w:sz w:val="21"/>
                <w:szCs w:val="21"/>
              </w:rPr>
              <w:t>无意义</w:t>
            </w:r>
          </w:p>
        </w:tc>
      </w:tr>
      <w:tr w14:paraId="0BAC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546" w:type="dxa"/>
            <w:vMerge w:val="restart"/>
            <w:noWrap w:val="0"/>
            <w:textDirection w:val="tbRlV"/>
            <w:vAlign w:val="center"/>
          </w:tcPr>
          <w:p w14:paraId="52E302D5">
            <w:pPr>
              <w:spacing w:line="260" w:lineRule="exact"/>
              <w:ind w:left="113" w:right="113"/>
              <w:jc w:val="center"/>
              <w:rPr>
                <w:rFonts w:hint="eastAsia"/>
                <w:b w:val="0"/>
                <w:bCs w:val="0"/>
                <w:color w:val="auto"/>
                <w:sz w:val="21"/>
                <w:szCs w:val="21"/>
              </w:rPr>
            </w:pPr>
            <w:r>
              <w:rPr>
                <w:rFonts w:hint="eastAsia"/>
                <w:b w:val="0"/>
                <w:bCs w:val="0"/>
                <w:color w:val="auto"/>
                <w:sz w:val="21"/>
                <w:szCs w:val="21"/>
              </w:rPr>
              <w:t>燃烧爆炸危险性</w:t>
            </w:r>
          </w:p>
        </w:tc>
        <w:tc>
          <w:tcPr>
            <w:tcW w:w="1821" w:type="dxa"/>
            <w:noWrap w:val="0"/>
            <w:vAlign w:val="center"/>
          </w:tcPr>
          <w:p w14:paraId="03552507">
            <w:pPr>
              <w:spacing w:line="260" w:lineRule="exact"/>
              <w:rPr>
                <w:rFonts w:hint="eastAsia"/>
                <w:b w:val="0"/>
                <w:bCs w:val="0"/>
                <w:color w:val="auto"/>
                <w:sz w:val="21"/>
                <w:szCs w:val="21"/>
              </w:rPr>
            </w:pPr>
            <w:r>
              <w:rPr>
                <w:rFonts w:hint="eastAsia"/>
                <w:b w:val="0"/>
                <w:bCs w:val="0"/>
                <w:color w:val="auto"/>
                <w:sz w:val="21"/>
                <w:szCs w:val="21"/>
              </w:rPr>
              <w:t>燃烧性：</w:t>
            </w:r>
          </w:p>
        </w:tc>
        <w:tc>
          <w:tcPr>
            <w:tcW w:w="6868" w:type="dxa"/>
            <w:noWrap w:val="0"/>
            <w:vAlign w:val="center"/>
          </w:tcPr>
          <w:p w14:paraId="657C62FF">
            <w:pPr>
              <w:spacing w:line="260" w:lineRule="exact"/>
              <w:rPr>
                <w:rFonts w:hint="eastAsia"/>
                <w:b w:val="0"/>
                <w:bCs w:val="0"/>
                <w:color w:val="auto"/>
                <w:sz w:val="21"/>
                <w:szCs w:val="21"/>
              </w:rPr>
            </w:pPr>
            <w:r>
              <w:rPr>
                <w:b w:val="0"/>
                <w:bCs w:val="0"/>
                <w:color w:val="auto"/>
                <w:sz w:val="21"/>
                <w:szCs w:val="21"/>
              </w:rPr>
              <w:t>不燃</w:t>
            </w:r>
          </w:p>
        </w:tc>
      </w:tr>
      <w:tr w14:paraId="1215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46" w:type="dxa"/>
            <w:vMerge w:val="continue"/>
            <w:noWrap w:val="0"/>
            <w:textDirection w:val="tbRlV"/>
            <w:vAlign w:val="center"/>
          </w:tcPr>
          <w:p w14:paraId="38A2CDA6">
            <w:pPr>
              <w:spacing w:line="260" w:lineRule="exact"/>
              <w:ind w:left="113" w:right="113"/>
              <w:jc w:val="center"/>
              <w:rPr>
                <w:rFonts w:hint="eastAsia"/>
                <w:b w:val="0"/>
                <w:bCs w:val="0"/>
                <w:color w:val="auto"/>
                <w:sz w:val="21"/>
                <w:szCs w:val="21"/>
              </w:rPr>
            </w:pPr>
          </w:p>
        </w:tc>
        <w:tc>
          <w:tcPr>
            <w:tcW w:w="1821" w:type="dxa"/>
            <w:noWrap w:val="0"/>
            <w:vAlign w:val="center"/>
          </w:tcPr>
          <w:p w14:paraId="67B36196">
            <w:pPr>
              <w:spacing w:line="260" w:lineRule="exact"/>
              <w:rPr>
                <w:rFonts w:hint="eastAsia"/>
                <w:b w:val="0"/>
                <w:bCs w:val="0"/>
                <w:color w:val="auto"/>
                <w:sz w:val="21"/>
                <w:szCs w:val="21"/>
              </w:rPr>
            </w:pPr>
            <w:r>
              <w:rPr>
                <w:b w:val="0"/>
                <w:bCs w:val="0"/>
                <w:color w:val="auto"/>
                <w:sz w:val="21"/>
                <w:szCs w:val="21"/>
              </w:rPr>
              <w:t>闪点(℃)：</w:t>
            </w:r>
          </w:p>
        </w:tc>
        <w:tc>
          <w:tcPr>
            <w:tcW w:w="6868" w:type="dxa"/>
            <w:noWrap w:val="0"/>
            <w:vAlign w:val="center"/>
          </w:tcPr>
          <w:p w14:paraId="3B189B8F">
            <w:pPr>
              <w:spacing w:line="260" w:lineRule="exact"/>
              <w:rPr>
                <w:b w:val="0"/>
                <w:bCs w:val="0"/>
                <w:color w:val="auto"/>
                <w:sz w:val="21"/>
                <w:szCs w:val="21"/>
              </w:rPr>
            </w:pPr>
            <w:r>
              <w:rPr>
                <w:b w:val="0"/>
                <w:bCs w:val="0"/>
                <w:color w:val="auto"/>
                <w:sz w:val="21"/>
                <w:szCs w:val="21"/>
              </w:rPr>
              <w:t xml:space="preserve">无意义 </w:t>
            </w:r>
            <w:r>
              <w:rPr>
                <w:rFonts w:hint="eastAsia"/>
                <w:b w:val="0"/>
                <w:bCs w:val="0"/>
                <w:color w:val="auto"/>
                <w:sz w:val="21"/>
                <w:szCs w:val="21"/>
              </w:rPr>
              <w:t xml:space="preserve">             </w:t>
            </w:r>
            <w:r>
              <w:rPr>
                <w:b w:val="0"/>
                <w:bCs w:val="0"/>
                <w:color w:val="auto"/>
                <w:sz w:val="21"/>
                <w:szCs w:val="21"/>
              </w:rPr>
              <w:t>自燃温度(℃)：无意义</w:t>
            </w:r>
          </w:p>
        </w:tc>
      </w:tr>
      <w:tr w14:paraId="755B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46" w:type="dxa"/>
            <w:vMerge w:val="continue"/>
            <w:noWrap w:val="0"/>
            <w:textDirection w:val="tbRlV"/>
            <w:vAlign w:val="center"/>
          </w:tcPr>
          <w:p w14:paraId="3507D7EC">
            <w:pPr>
              <w:spacing w:line="260" w:lineRule="exact"/>
              <w:ind w:left="113" w:right="113"/>
              <w:jc w:val="center"/>
              <w:rPr>
                <w:rFonts w:hint="eastAsia"/>
                <w:b w:val="0"/>
                <w:bCs w:val="0"/>
                <w:color w:val="auto"/>
                <w:sz w:val="21"/>
                <w:szCs w:val="21"/>
              </w:rPr>
            </w:pPr>
          </w:p>
        </w:tc>
        <w:tc>
          <w:tcPr>
            <w:tcW w:w="1821" w:type="dxa"/>
            <w:noWrap w:val="0"/>
            <w:vAlign w:val="center"/>
          </w:tcPr>
          <w:p w14:paraId="7C6E9DBC">
            <w:pPr>
              <w:spacing w:line="260" w:lineRule="exact"/>
              <w:rPr>
                <w:b w:val="0"/>
                <w:bCs w:val="0"/>
                <w:color w:val="auto"/>
                <w:sz w:val="21"/>
                <w:szCs w:val="21"/>
              </w:rPr>
            </w:pPr>
            <w:r>
              <w:rPr>
                <w:b w:val="0"/>
                <w:bCs w:val="0"/>
                <w:color w:val="auto"/>
                <w:sz w:val="21"/>
                <w:szCs w:val="21"/>
              </w:rPr>
              <w:t>爆炸下限(V%)：</w:t>
            </w:r>
          </w:p>
        </w:tc>
        <w:tc>
          <w:tcPr>
            <w:tcW w:w="6868" w:type="dxa"/>
            <w:noWrap w:val="0"/>
            <w:vAlign w:val="center"/>
          </w:tcPr>
          <w:p w14:paraId="12A4EAD2">
            <w:pPr>
              <w:spacing w:line="260" w:lineRule="exact"/>
              <w:rPr>
                <w:b w:val="0"/>
                <w:bCs w:val="0"/>
                <w:color w:val="auto"/>
                <w:sz w:val="21"/>
                <w:szCs w:val="21"/>
              </w:rPr>
            </w:pPr>
            <w:r>
              <w:rPr>
                <w:b w:val="0"/>
                <w:bCs w:val="0"/>
                <w:color w:val="auto"/>
                <w:sz w:val="21"/>
                <w:szCs w:val="21"/>
              </w:rPr>
              <w:t xml:space="preserve">无意义 </w:t>
            </w:r>
            <w:r>
              <w:rPr>
                <w:rFonts w:hint="eastAsia"/>
                <w:b w:val="0"/>
                <w:bCs w:val="0"/>
                <w:color w:val="auto"/>
                <w:sz w:val="21"/>
                <w:szCs w:val="21"/>
              </w:rPr>
              <w:t xml:space="preserve">             </w:t>
            </w:r>
            <w:r>
              <w:rPr>
                <w:b w:val="0"/>
                <w:bCs w:val="0"/>
                <w:color w:val="auto"/>
                <w:sz w:val="21"/>
                <w:szCs w:val="21"/>
              </w:rPr>
              <w:t>爆炸上限(V%)：无意义</w:t>
            </w:r>
          </w:p>
        </w:tc>
      </w:tr>
      <w:tr w14:paraId="7156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546" w:type="dxa"/>
            <w:vMerge w:val="continue"/>
            <w:noWrap w:val="0"/>
            <w:textDirection w:val="tbRlV"/>
            <w:vAlign w:val="center"/>
          </w:tcPr>
          <w:p w14:paraId="4F6A28EB">
            <w:pPr>
              <w:spacing w:line="260" w:lineRule="exact"/>
              <w:ind w:left="113" w:right="113"/>
              <w:jc w:val="center"/>
              <w:rPr>
                <w:rFonts w:hint="eastAsia"/>
                <w:b w:val="0"/>
                <w:bCs w:val="0"/>
                <w:color w:val="auto"/>
                <w:sz w:val="21"/>
                <w:szCs w:val="21"/>
              </w:rPr>
            </w:pPr>
          </w:p>
        </w:tc>
        <w:tc>
          <w:tcPr>
            <w:tcW w:w="1821" w:type="dxa"/>
            <w:noWrap w:val="0"/>
            <w:vAlign w:val="center"/>
          </w:tcPr>
          <w:p w14:paraId="28AF4ED9">
            <w:pPr>
              <w:spacing w:line="260" w:lineRule="exact"/>
              <w:rPr>
                <w:rFonts w:hint="eastAsia"/>
                <w:b w:val="0"/>
                <w:bCs w:val="0"/>
                <w:color w:val="auto"/>
                <w:sz w:val="21"/>
                <w:szCs w:val="21"/>
              </w:rPr>
            </w:pPr>
            <w:r>
              <w:rPr>
                <w:rFonts w:hint="eastAsia"/>
                <w:b w:val="0"/>
                <w:bCs w:val="0"/>
                <w:color w:val="auto"/>
                <w:sz w:val="21"/>
                <w:szCs w:val="21"/>
              </w:rPr>
              <w:t>危险特性：</w:t>
            </w:r>
          </w:p>
        </w:tc>
        <w:tc>
          <w:tcPr>
            <w:tcW w:w="6868" w:type="dxa"/>
            <w:noWrap w:val="0"/>
            <w:vAlign w:val="center"/>
          </w:tcPr>
          <w:p w14:paraId="3D248417">
            <w:pPr>
              <w:spacing w:line="260" w:lineRule="exact"/>
              <w:rPr>
                <w:rFonts w:hint="eastAsia"/>
                <w:b w:val="0"/>
                <w:bCs w:val="0"/>
                <w:color w:val="auto"/>
                <w:sz w:val="21"/>
                <w:szCs w:val="21"/>
              </w:rPr>
            </w:pPr>
            <w:r>
              <w:rPr>
                <w:b w:val="0"/>
                <w:bCs w:val="0"/>
                <w:color w:val="auto"/>
                <w:sz w:val="21"/>
                <w:szCs w:val="21"/>
              </w:rPr>
              <w:t xml:space="preserve">接触酸或酸气能产生有毒气体。 </w:t>
            </w:r>
          </w:p>
        </w:tc>
      </w:tr>
      <w:tr w14:paraId="31CA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546" w:type="dxa"/>
            <w:vMerge w:val="continue"/>
            <w:noWrap w:val="0"/>
            <w:textDirection w:val="tbRlV"/>
            <w:vAlign w:val="center"/>
          </w:tcPr>
          <w:p w14:paraId="68348A38">
            <w:pPr>
              <w:spacing w:line="260" w:lineRule="exact"/>
              <w:ind w:left="113" w:right="113"/>
              <w:jc w:val="center"/>
              <w:rPr>
                <w:rFonts w:hint="eastAsia"/>
                <w:b w:val="0"/>
                <w:bCs w:val="0"/>
                <w:color w:val="auto"/>
                <w:sz w:val="21"/>
                <w:szCs w:val="21"/>
              </w:rPr>
            </w:pPr>
          </w:p>
        </w:tc>
        <w:tc>
          <w:tcPr>
            <w:tcW w:w="1821" w:type="dxa"/>
            <w:noWrap w:val="0"/>
            <w:vAlign w:val="center"/>
          </w:tcPr>
          <w:p w14:paraId="6A1BD5AF">
            <w:pPr>
              <w:spacing w:line="260" w:lineRule="exact"/>
              <w:rPr>
                <w:rFonts w:hint="eastAsia"/>
                <w:b w:val="0"/>
                <w:bCs w:val="0"/>
                <w:color w:val="auto"/>
                <w:sz w:val="21"/>
                <w:szCs w:val="21"/>
              </w:rPr>
            </w:pPr>
            <w:r>
              <w:rPr>
                <w:rFonts w:hint="eastAsia"/>
                <w:b w:val="0"/>
                <w:bCs w:val="0"/>
                <w:color w:val="auto"/>
                <w:sz w:val="21"/>
                <w:szCs w:val="21"/>
              </w:rPr>
              <w:t>燃烧(分解)产物：</w:t>
            </w:r>
          </w:p>
        </w:tc>
        <w:tc>
          <w:tcPr>
            <w:tcW w:w="6868" w:type="dxa"/>
            <w:noWrap w:val="0"/>
            <w:vAlign w:val="center"/>
          </w:tcPr>
          <w:p w14:paraId="28832953">
            <w:pPr>
              <w:spacing w:line="260" w:lineRule="exact"/>
              <w:rPr>
                <w:rFonts w:hint="eastAsia"/>
                <w:b w:val="0"/>
                <w:bCs w:val="0"/>
                <w:color w:val="auto"/>
                <w:sz w:val="21"/>
                <w:szCs w:val="21"/>
              </w:rPr>
            </w:pPr>
            <w:r>
              <w:rPr>
                <w:b w:val="0"/>
                <w:bCs w:val="0"/>
                <w:color w:val="auto"/>
                <w:sz w:val="21"/>
                <w:szCs w:val="21"/>
              </w:rPr>
              <w:t>氟化氢。</w:t>
            </w:r>
            <w:r>
              <w:rPr>
                <w:rFonts w:hint="eastAsia"/>
                <w:b w:val="0"/>
                <w:bCs w:val="0"/>
                <w:color w:val="auto"/>
                <w:sz w:val="21"/>
                <w:szCs w:val="21"/>
              </w:rPr>
              <w:t xml:space="preserve">           </w:t>
            </w:r>
            <w:r>
              <w:rPr>
                <w:b w:val="0"/>
                <w:bCs w:val="0"/>
                <w:color w:val="auto"/>
                <w:sz w:val="21"/>
                <w:szCs w:val="21"/>
              </w:rPr>
              <w:t xml:space="preserve">稳定性：稳定 </w:t>
            </w:r>
          </w:p>
        </w:tc>
      </w:tr>
      <w:tr w14:paraId="6EC6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46" w:type="dxa"/>
            <w:vMerge w:val="continue"/>
            <w:noWrap w:val="0"/>
            <w:textDirection w:val="tbRlV"/>
            <w:vAlign w:val="center"/>
          </w:tcPr>
          <w:p w14:paraId="671E8674">
            <w:pPr>
              <w:spacing w:line="260" w:lineRule="exact"/>
              <w:ind w:left="113" w:right="113"/>
              <w:jc w:val="center"/>
              <w:rPr>
                <w:rFonts w:hint="eastAsia"/>
                <w:b w:val="0"/>
                <w:bCs w:val="0"/>
                <w:color w:val="auto"/>
                <w:sz w:val="21"/>
                <w:szCs w:val="21"/>
              </w:rPr>
            </w:pPr>
          </w:p>
        </w:tc>
        <w:tc>
          <w:tcPr>
            <w:tcW w:w="1821" w:type="dxa"/>
            <w:noWrap w:val="0"/>
            <w:vAlign w:val="center"/>
          </w:tcPr>
          <w:p w14:paraId="0E217D07">
            <w:pPr>
              <w:spacing w:line="260" w:lineRule="exact"/>
              <w:rPr>
                <w:rFonts w:hint="eastAsia"/>
                <w:b w:val="0"/>
                <w:bCs w:val="0"/>
                <w:color w:val="auto"/>
                <w:sz w:val="21"/>
                <w:szCs w:val="21"/>
              </w:rPr>
            </w:pPr>
            <w:r>
              <w:rPr>
                <w:rFonts w:hint="eastAsia"/>
                <w:b w:val="0"/>
                <w:bCs w:val="0"/>
                <w:color w:val="auto"/>
                <w:sz w:val="21"/>
                <w:szCs w:val="21"/>
              </w:rPr>
              <w:t>聚合危害：</w:t>
            </w:r>
          </w:p>
        </w:tc>
        <w:tc>
          <w:tcPr>
            <w:tcW w:w="6868" w:type="dxa"/>
            <w:noWrap w:val="0"/>
            <w:vAlign w:val="center"/>
          </w:tcPr>
          <w:p w14:paraId="0575924C">
            <w:pPr>
              <w:spacing w:line="260" w:lineRule="exact"/>
              <w:rPr>
                <w:rFonts w:hint="eastAsia"/>
                <w:b w:val="0"/>
                <w:bCs w:val="0"/>
                <w:color w:val="auto"/>
                <w:sz w:val="21"/>
                <w:szCs w:val="21"/>
              </w:rPr>
            </w:pPr>
            <w:r>
              <w:rPr>
                <w:b w:val="0"/>
                <w:bCs w:val="0"/>
                <w:color w:val="auto"/>
                <w:sz w:val="21"/>
                <w:szCs w:val="21"/>
              </w:rPr>
              <w:t xml:space="preserve">不能出现 </w:t>
            </w:r>
            <w:r>
              <w:rPr>
                <w:rFonts w:hint="eastAsia"/>
                <w:b w:val="0"/>
                <w:bCs w:val="0"/>
                <w:color w:val="auto"/>
                <w:sz w:val="21"/>
                <w:szCs w:val="21"/>
              </w:rPr>
              <w:t xml:space="preserve">         </w:t>
            </w:r>
            <w:r>
              <w:rPr>
                <w:b w:val="0"/>
                <w:bCs w:val="0"/>
                <w:color w:val="auto"/>
                <w:sz w:val="21"/>
                <w:szCs w:val="21"/>
              </w:rPr>
              <w:t>禁忌物：强酸。</w:t>
            </w:r>
          </w:p>
        </w:tc>
      </w:tr>
      <w:tr w14:paraId="4713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546" w:type="dxa"/>
            <w:vMerge w:val="continue"/>
            <w:noWrap w:val="0"/>
            <w:textDirection w:val="tbRlV"/>
            <w:vAlign w:val="center"/>
          </w:tcPr>
          <w:p w14:paraId="0FCBF340">
            <w:pPr>
              <w:spacing w:line="260" w:lineRule="exact"/>
              <w:ind w:left="113" w:right="113"/>
              <w:jc w:val="center"/>
              <w:rPr>
                <w:rFonts w:hint="eastAsia"/>
                <w:b w:val="0"/>
                <w:bCs w:val="0"/>
                <w:color w:val="auto"/>
                <w:sz w:val="21"/>
                <w:szCs w:val="21"/>
              </w:rPr>
            </w:pPr>
          </w:p>
        </w:tc>
        <w:tc>
          <w:tcPr>
            <w:tcW w:w="1821" w:type="dxa"/>
            <w:noWrap w:val="0"/>
            <w:vAlign w:val="center"/>
          </w:tcPr>
          <w:p w14:paraId="34A2A7F0">
            <w:pPr>
              <w:spacing w:line="260" w:lineRule="exact"/>
              <w:rPr>
                <w:rFonts w:hint="eastAsia"/>
                <w:b w:val="0"/>
                <w:bCs w:val="0"/>
                <w:color w:val="auto"/>
                <w:sz w:val="21"/>
                <w:szCs w:val="21"/>
              </w:rPr>
            </w:pPr>
            <w:r>
              <w:rPr>
                <w:rFonts w:ascii="宋体" w:hAnsi="宋体"/>
                <w:b w:val="0"/>
                <w:bCs w:val="0"/>
                <w:color w:val="auto"/>
                <w:sz w:val="21"/>
                <w:szCs w:val="21"/>
              </w:rPr>
              <w:t>灭火方法：</w:t>
            </w:r>
          </w:p>
        </w:tc>
        <w:tc>
          <w:tcPr>
            <w:tcW w:w="6868" w:type="dxa"/>
            <w:noWrap w:val="0"/>
            <w:vAlign w:val="center"/>
          </w:tcPr>
          <w:p w14:paraId="0F689C8D">
            <w:pPr>
              <w:spacing w:line="260" w:lineRule="exact"/>
              <w:rPr>
                <w:rFonts w:ascii="宋体" w:hAnsi="宋体"/>
                <w:b w:val="0"/>
                <w:bCs w:val="0"/>
                <w:color w:val="auto"/>
                <w:sz w:val="21"/>
                <w:szCs w:val="21"/>
              </w:rPr>
            </w:pPr>
            <w:r>
              <w:rPr>
                <w:b w:val="0"/>
                <w:bCs w:val="0"/>
                <w:color w:val="auto"/>
                <w:sz w:val="21"/>
                <w:szCs w:val="21"/>
              </w:rPr>
              <w:t>干粉、砂土。</w:t>
            </w:r>
          </w:p>
        </w:tc>
      </w:tr>
      <w:tr w14:paraId="249B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546" w:type="dxa"/>
            <w:vMerge w:val="restart"/>
            <w:noWrap w:val="0"/>
            <w:textDirection w:val="tbRlV"/>
            <w:vAlign w:val="center"/>
          </w:tcPr>
          <w:p w14:paraId="4B673D07">
            <w:pPr>
              <w:spacing w:line="260" w:lineRule="exact"/>
              <w:ind w:left="113" w:right="113"/>
              <w:jc w:val="center"/>
              <w:rPr>
                <w:rFonts w:hint="eastAsia"/>
                <w:b w:val="0"/>
                <w:bCs w:val="0"/>
                <w:color w:val="auto"/>
                <w:sz w:val="21"/>
                <w:szCs w:val="21"/>
              </w:rPr>
            </w:pPr>
            <w:r>
              <w:rPr>
                <w:rFonts w:hint="eastAsia"/>
                <w:b w:val="0"/>
                <w:bCs w:val="0"/>
                <w:color w:val="auto"/>
                <w:sz w:val="21"/>
                <w:szCs w:val="21"/>
              </w:rPr>
              <w:t>包装与储运</w:t>
            </w:r>
          </w:p>
        </w:tc>
        <w:tc>
          <w:tcPr>
            <w:tcW w:w="1821" w:type="dxa"/>
            <w:noWrap w:val="0"/>
            <w:vAlign w:val="center"/>
          </w:tcPr>
          <w:p w14:paraId="00418F1C">
            <w:pPr>
              <w:spacing w:line="260" w:lineRule="exact"/>
              <w:rPr>
                <w:rFonts w:hint="eastAsia"/>
                <w:b w:val="0"/>
                <w:bCs w:val="0"/>
                <w:color w:val="auto"/>
                <w:sz w:val="21"/>
                <w:szCs w:val="21"/>
              </w:rPr>
            </w:pPr>
            <w:r>
              <w:rPr>
                <w:rFonts w:hint="eastAsia"/>
                <w:b w:val="0"/>
                <w:bCs w:val="0"/>
                <w:color w:val="auto"/>
                <w:sz w:val="21"/>
                <w:szCs w:val="21"/>
              </w:rPr>
              <w:t>危险性类别：</w:t>
            </w:r>
          </w:p>
        </w:tc>
        <w:tc>
          <w:tcPr>
            <w:tcW w:w="6868" w:type="dxa"/>
            <w:noWrap w:val="0"/>
            <w:vAlign w:val="center"/>
          </w:tcPr>
          <w:p w14:paraId="627262C1">
            <w:pPr>
              <w:spacing w:line="260" w:lineRule="exact"/>
              <w:rPr>
                <w:rFonts w:hint="eastAsia"/>
                <w:b w:val="0"/>
                <w:bCs w:val="0"/>
                <w:color w:val="auto"/>
                <w:sz w:val="21"/>
                <w:szCs w:val="21"/>
              </w:rPr>
            </w:pPr>
            <w:r>
              <w:rPr>
                <w:b w:val="0"/>
                <w:bCs w:val="0"/>
                <w:color w:val="auto"/>
                <w:sz w:val="21"/>
                <w:szCs w:val="21"/>
              </w:rPr>
              <w:t xml:space="preserve">第6．1类  毒害品 </w:t>
            </w:r>
          </w:p>
        </w:tc>
      </w:tr>
      <w:tr w14:paraId="5E6B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546" w:type="dxa"/>
            <w:vMerge w:val="continue"/>
            <w:noWrap w:val="0"/>
            <w:textDirection w:val="tbRlV"/>
            <w:vAlign w:val="center"/>
          </w:tcPr>
          <w:p w14:paraId="364BC1C8">
            <w:pPr>
              <w:spacing w:line="260" w:lineRule="exact"/>
              <w:ind w:left="113" w:right="113"/>
              <w:jc w:val="center"/>
              <w:rPr>
                <w:rFonts w:hint="eastAsia"/>
                <w:b w:val="0"/>
                <w:bCs w:val="0"/>
                <w:color w:val="auto"/>
                <w:sz w:val="21"/>
                <w:szCs w:val="21"/>
              </w:rPr>
            </w:pPr>
          </w:p>
        </w:tc>
        <w:tc>
          <w:tcPr>
            <w:tcW w:w="1821" w:type="dxa"/>
            <w:noWrap w:val="0"/>
            <w:vAlign w:val="center"/>
          </w:tcPr>
          <w:p w14:paraId="5237EAA1">
            <w:pPr>
              <w:spacing w:line="260" w:lineRule="exact"/>
              <w:rPr>
                <w:rFonts w:hint="eastAsia"/>
                <w:b w:val="0"/>
                <w:bCs w:val="0"/>
                <w:color w:val="auto"/>
                <w:sz w:val="21"/>
                <w:szCs w:val="21"/>
              </w:rPr>
            </w:pPr>
            <w:r>
              <w:rPr>
                <w:b w:val="0"/>
                <w:bCs w:val="0"/>
                <w:color w:val="auto"/>
                <w:sz w:val="21"/>
                <w:szCs w:val="21"/>
              </w:rPr>
              <w:t>危险货物包装标志：</w:t>
            </w:r>
          </w:p>
        </w:tc>
        <w:tc>
          <w:tcPr>
            <w:tcW w:w="6868" w:type="dxa"/>
            <w:noWrap w:val="0"/>
            <w:vAlign w:val="center"/>
          </w:tcPr>
          <w:p w14:paraId="64B1578E">
            <w:pPr>
              <w:spacing w:line="260" w:lineRule="exact"/>
              <w:rPr>
                <w:rFonts w:hint="eastAsia"/>
                <w:b w:val="0"/>
                <w:bCs w:val="0"/>
                <w:color w:val="auto"/>
                <w:sz w:val="21"/>
                <w:szCs w:val="21"/>
              </w:rPr>
            </w:pPr>
            <w:r>
              <w:rPr>
                <w:b w:val="0"/>
                <w:bCs w:val="0"/>
                <w:color w:val="auto"/>
                <w:sz w:val="21"/>
                <w:szCs w:val="21"/>
              </w:rPr>
              <w:t>1</w:t>
            </w:r>
            <w:r>
              <w:rPr>
                <w:rFonts w:hint="eastAsia"/>
                <w:b w:val="0"/>
                <w:bCs w:val="0"/>
                <w:color w:val="auto"/>
                <w:sz w:val="21"/>
                <w:szCs w:val="21"/>
              </w:rPr>
              <w:t>1</w:t>
            </w:r>
            <w:r>
              <w:rPr>
                <w:b w:val="0"/>
                <w:bCs w:val="0"/>
                <w:color w:val="auto"/>
                <w:sz w:val="21"/>
                <w:szCs w:val="21"/>
              </w:rPr>
              <w:t xml:space="preserve"> </w:t>
            </w:r>
            <w:r>
              <w:rPr>
                <w:rFonts w:hint="eastAsia"/>
                <w:b w:val="0"/>
                <w:bCs w:val="0"/>
                <w:color w:val="auto"/>
                <w:sz w:val="21"/>
                <w:szCs w:val="21"/>
              </w:rPr>
              <w:t xml:space="preserve">                      </w:t>
            </w:r>
            <w:r>
              <w:rPr>
                <w:b w:val="0"/>
                <w:bCs w:val="0"/>
                <w:color w:val="auto"/>
                <w:sz w:val="21"/>
                <w:szCs w:val="21"/>
              </w:rPr>
              <w:t>包装类别：Ⅲ</w:t>
            </w:r>
          </w:p>
        </w:tc>
      </w:tr>
      <w:tr w14:paraId="51D0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546" w:type="dxa"/>
            <w:vMerge w:val="continue"/>
            <w:noWrap w:val="0"/>
            <w:textDirection w:val="tbRlV"/>
            <w:vAlign w:val="center"/>
          </w:tcPr>
          <w:p w14:paraId="23ED9102">
            <w:pPr>
              <w:spacing w:line="260" w:lineRule="exact"/>
              <w:ind w:left="113" w:right="113"/>
              <w:jc w:val="center"/>
              <w:rPr>
                <w:rFonts w:hint="eastAsia"/>
                <w:b w:val="0"/>
                <w:bCs w:val="0"/>
                <w:color w:val="auto"/>
                <w:sz w:val="21"/>
                <w:szCs w:val="21"/>
              </w:rPr>
            </w:pPr>
          </w:p>
        </w:tc>
        <w:tc>
          <w:tcPr>
            <w:tcW w:w="1821" w:type="dxa"/>
            <w:noWrap w:val="0"/>
            <w:vAlign w:val="center"/>
          </w:tcPr>
          <w:p w14:paraId="6AB7FF18">
            <w:pPr>
              <w:spacing w:line="260" w:lineRule="exact"/>
              <w:rPr>
                <w:rFonts w:hint="eastAsia"/>
                <w:b w:val="0"/>
                <w:bCs w:val="0"/>
                <w:color w:val="auto"/>
                <w:sz w:val="21"/>
                <w:szCs w:val="21"/>
              </w:rPr>
            </w:pPr>
            <w:r>
              <w:rPr>
                <w:rFonts w:hint="eastAsia"/>
                <w:b w:val="0"/>
                <w:bCs w:val="0"/>
                <w:color w:val="auto"/>
                <w:sz w:val="21"/>
                <w:szCs w:val="21"/>
              </w:rPr>
              <w:t>储运注意事项：</w:t>
            </w:r>
          </w:p>
        </w:tc>
        <w:tc>
          <w:tcPr>
            <w:tcW w:w="6868" w:type="dxa"/>
            <w:noWrap w:val="0"/>
            <w:vAlign w:val="center"/>
          </w:tcPr>
          <w:p w14:paraId="44618F82">
            <w:pPr>
              <w:spacing w:line="260" w:lineRule="exact"/>
              <w:rPr>
                <w:rFonts w:hint="eastAsia"/>
                <w:b w:val="0"/>
                <w:bCs w:val="0"/>
                <w:color w:val="auto"/>
                <w:sz w:val="21"/>
                <w:szCs w:val="21"/>
              </w:rPr>
            </w:pPr>
            <w:r>
              <w:rPr>
                <w:b w:val="0"/>
                <w:bCs w:val="0"/>
                <w:color w:val="auto"/>
                <w:sz w:val="21"/>
                <w:szCs w:val="21"/>
              </w:rPr>
              <w:t>储存于阴凉、通风仓间内。远离火种、热源。防止阳光直射。保持容器密封。应与氧化剂、酸类、食用化工原料分开存放。搬运时要轻装轻卸，防止包装及容器损坏。分装和搬运作业要注意个人防护。雨天不宜运输。  </w:t>
            </w:r>
          </w:p>
        </w:tc>
      </w:tr>
      <w:tr w14:paraId="5320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 w:hRule="atLeast"/>
          <w:jc w:val="center"/>
        </w:trPr>
        <w:tc>
          <w:tcPr>
            <w:tcW w:w="546" w:type="dxa"/>
            <w:vMerge w:val="restart"/>
            <w:noWrap w:val="0"/>
            <w:textDirection w:val="tbRlV"/>
            <w:vAlign w:val="center"/>
          </w:tcPr>
          <w:p w14:paraId="19689841">
            <w:pPr>
              <w:spacing w:line="260" w:lineRule="exact"/>
              <w:ind w:left="113" w:right="113"/>
              <w:jc w:val="center"/>
              <w:rPr>
                <w:rFonts w:hint="eastAsia"/>
                <w:b w:val="0"/>
                <w:bCs w:val="0"/>
                <w:color w:val="auto"/>
                <w:sz w:val="21"/>
                <w:szCs w:val="21"/>
              </w:rPr>
            </w:pPr>
            <w:r>
              <w:rPr>
                <w:rFonts w:hint="eastAsia"/>
                <w:b w:val="0"/>
                <w:bCs w:val="0"/>
                <w:color w:val="auto"/>
                <w:sz w:val="21"/>
                <w:szCs w:val="21"/>
              </w:rPr>
              <w:t>毒性危害</w:t>
            </w:r>
          </w:p>
        </w:tc>
        <w:tc>
          <w:tcPr>
            <w:tcW w:w="1821" w:type="dxa"/>
            <w:noWrap w:val="0"/>
            <w:vAlign w:val="center"/>
          </w:tcPr>
          <w:p w14:paraId="004C61C4">
            <w:pPr>
              <w:spacing w:line="260" w:lineRule="exact"/>
              <w:rPr>
                <w:rFonts w:hint="eastAsia"/>
                <w:b w:val="0"/>
                <w:bCs w:val="0"/>
                <w:color w:val="auto"/>
                <w:sz w:val="21"/>
                <w:szCs w:val="21"/>
              </w:rPr>
            </w:pPr>
            <w:r>
              <w:rPr>
                <w:rFonts w:hint="eastAsia"/>
                <w:b w:val="0"/>
                <w:bCs w:val="0"/>
                <w:color w:val="auto"/>
                <w:sz w:val="21"/>
                <w:szCs w:val="21"/>
              </w:rPr>
              <w:t>接触限值：</w:t>
            </w:r>
          </w:p>
        </w:tc>
        <w:tc>
          <w:tcPr>
            <w:tcW w:w="6868" w:type="dxa"/>
            <w:noWrap w:val="0"/>
            <w:vAlign w:val="center"/>
          </w:tcPr>
          <w:p w14:paraId="55990249">
            <w:pPr>
              <w:spacing w:line="240" w:lineRule="exact"/>
              <w:rPr>
                <w:rFonts w:hint="eastAsia"/>
                <w:b w:val="0"/>
                <w:bCs w:val="0"/>
                <w:color w:val="auto"/>
                <w:sz w:val="21"/>
                <w:szCs w:val="21"/>
              </w:rPr>
            </w:pPr>
            <w:r>
              <w:rPr>
                <w:b w:val="0"/>
                <w:bCs w:val="0"/>
                <w:color w:val="auto"/>
                <w:sz w:val="21"/>
                <w:szCs w:val="21"/>
              </w:rPr>
              <w:t>中国MAC：lmg[F]</w:t>
            </w:r>
            <w:r>
              <w:rPr>
                <w:rFonts w:hint="eastAsia"/>
                <w:b w:val="0"/>
                <w:bCs w:val="0"/>
                <w:color w:val="auto"/>
                <w:sz w:val="21"/>
                <w:szCs w:val="21"/>
              </w:rPr>
              <w:t>/</w:t>
            </w:r>
            <w:r>
              <w:rPr>
                <w:b w:val="0"/>
                <w:bCs w:val="0"/>
                <w:color w:val="auto"/>
                <w:sz w:val="21"/>
                <w:szCs w:val="21"/>
              </w:rPr>
              <w:t>m</w:t>
            </w:r>
            <w:r>
              <w:rPr>
                <w:b w:val="0"/>
                <w:bCs w:val="0"/>
                <w:color w:val="auto"/>
                <w:sz w:val="21"/>
                <w:szCs w:val="21"/>
                <w:vertAlign w:val="superscript"/>
              </w:rPr>
              <w:t>3</w:t>
            </w:r>
            <w:r>
              <w:rPr>
                <w:rFonts w:hint="eastAsia"/>
                <w:b w:val="0"/>
                <w:bCs w:val="0"/>
                <w:color w:val="auto"/>
                <w:sz w:val="21"/>
                <w:szCs w:val="21"/>
              </w:rPr>
              <w:t>；</w:t>
            </w:r>
            <w:r>
              <w:rPr>
                <w:b w:val="0"/>
                <w:bCs w:val="0"/>
                <w:color w:val="auto"/>
                <w:sz w:val="21"/>
                <w:szCs w:val="21"/>
              </w:rPr>
              <w:t>苏联MAC：未制定标准</w:t>
            </w:r>
            <w:r>
              <w:rPr>
                <w:rFonts w:hint="eastAsia"/>
                <w:b w:val="0"/>
                <w:bCs w:val="0"/>
                <w:color w:val="auto"/>
                <w:sz w:val="21"/>
                <w:szCs w:val="21"/>
              </w:rPr>
              <w:t>；</w:t>
            </w:r>
          </w:p>
          <w:p w14:paraId="7C00D4C9">
            <w:pPr>
              <w:spacing w:line="240" w:lineRule="exact"/>
              <w:rPr>
                <w:rFonts w:hint="eastAsia"/>
                <w:b w:val="0"/>
                <w:bCs w:val="0"/>
                <w:color w:val="auto"/>
                <w:sz w:val="21"/>
                <w:szCs w:val="21"/>
              </w:rPr>
            </w:pPr>
            <w:r>
              <w:rPr>
                <w:b w:val="0"/>
                <w:bCs w:val="0"/>
                <w:color w:val="auto"/>
                <w:sz w:val="21"/>
                <w:szCs w:val="21"/>
              </w:rPr>
              <w:t>美国TWA：OSHA 2</w:t>
            </w:r>
            <w:r>
              <w:rPr>
                <w:rFonts w:hint="eastAsia"/>
                <w:b w:val="0"/>
                <w:bCs w:val="0"/>
                <w:color w:val="auto"/>
                <w:sz w:val="21"/>
                <w:szCs w:val="21"/>
              </w:rPr>
              <w:t>.</w:t>
            </w:r>
            <w:r>
              <w:rPr>
                <w:b w:val="0"/>
                <w:bCs w:val="0"/>
                <w:color w:val="auto"/>
                <w:sz w:val="21"/>
                <w:szCs w:val="21"/>
              </w:rPr>
              <w:t>5mg[F]</w:t>
            </w:r>
            <w:r>
              <w:rPr>
                <w:rFonts w:hint="eastAsia"/>
                <w:b w:val="0"/>
                <w:bCs w:val="0"/>
                <w:color w:val="auto"/>
                <w:sz w:val="21"/>
                <w:szCs w:val="21"/>
              </w:rPr>
              <w:t>/</w:t>
            </w:r>
            <w:r>
              <w:rPr>
                <w:b w:val="0"/>
                <w:bCs w:val="0"/>
                <w:color w:val="auto"/>
                <w:sz w:val="21"/>
                <w:szCs w:val="21"/>
              </w:rPr>
              <w:t>m</w:t>
            </w:r>
            <w:r>
              <w:rPr>
                <w:b w:val="0"/>
                <w:bCs w:val="0"/>
                <w:color w:val="auto"/>
                <w:sz w:val="21"/>
                <w:szCs w:val="21"/>
                <w:vertAlign w:val="superscript"/>
              </w:rPr>
              <w:t>3</w:t>
            </w:r>
            <w:r>
              <w:rPr>
                <w:b w:val="0"/>
                <w:bCs w:val="0"/>
                <w:color w:val="auto"/>
                <w:sz w:val="21"/>
                <w:szCs w:val="21"/>
              </w:rPr>
              <w:t>；ACGIH 2</w:t>
            </w:r>
            <w:r>
              <w:rPr>
                <w:rFonts w:hint="eastAsia"/>
                <w:b w:val="0"/>
                <w:bCs w:val="0"/>
                <w:color w:val="auto"/>
                <w:sz w:val="21"/>
                <w:szCs w:val="21"/>
              </w:rPr>
              <w:t>.</w:t>
            </w:r>
            <w:r>
              <w:rPr>
                <w:b w:val="0"/>
                <w:bCs w:val="0"/>
                <w:color w:val="auto"/>
                <w:sz w:val="21"/>
                <w:szCs w:val="21"/>
              </w:rPr>
              <w:t>5mg[F]</w:t>
            </w:r>
            <w:r>
              <w:rPr>
                <w:rFonts w:hint="eastAsia"/>
                <w:b w:val="0"/>
                <w:bCs w:val="0"/>
                <w:color w:val="auto"/>
                <w:sz w:val="21"/>
                <w:szCs w:val="21"/>
              </w:rPr>
              <w:t>/</w:t>
            </w:r>
            <w:r>
              <w:rPr>
                <w:b w:val="0"/>
                <w:bCs w:val="0"/>
                <w:color w:val="auto"/>
                <w:sz w:val="21"/>
                <w:szCs w:val="21"/>
              </w:rPr>
              <w:t>m</w:t>
            </w:r>
            <w:r>
              <w:rPr>
                <w:b w:val="0"/>
                <w:bCs w:val="0"/>
                <w:color w:val="auto"/>
                <w:sz w:val="21"/>
                <w:szCs w:val="21"/>
                <w:vertAlign w:val="superscript"/>
              </w:rPr>
              <w:t>3</w:t>
            </w:r>
            <w:r>
              <w:rPr>
                <w:rFonts w:hint="eastAsia"/>
                <w:b w:val="0"/>
                <w:bCs w:val="0"/>
                <w:color w:val="auto"/>
                <w:sz w:val="21"/>
                <w:szCs w:val="21"/>
              </w:rPr>
              <w:t>；</w:t>
            </w:r>
          </w:p>
          <w:p w14:paraId="7EB95758">
            <w:pPr>
              <w:spacing w:line="260" w:lineRule="exact"/>
              <w:rPr>
                <w:rFonts w:hint="eastAsia"/>
                <w:b w:val="0"/>
                <w:bCs w:val="0"/>
                <w:color w:val="auto"/>
                <w:sz w:val="21"/>
                <w:szCs w:val="21"/>
              </w:rPr>
            </w:pPr>
            <w:r>
              <w:rPr>
                <w:b w:val="0"/>
                <w:bCs w:val="0"/>
                <w:color w:val="auto"/>
                <w:sz w:val="21"/>
                <w:szCs w:val="21"/>
              </w:rPr>
              <w:t>美国STEL：未制定标准  </w:t>
            </w:r>
          </w:p>
        </w:tc>
      </w:tr>
      <w:tr w14:paraId="4F60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46" w:type="dxa"/>
            <w:vMerge w:val="continue"/>
            <w:noWrap w:val="0"/>
            <w:textDirection w:val="tbRlV"/>
            <w:vAlign w:val="center"/>
          </w:tcPr>
          <w:p w14:paraId="0B5F8EAF">
            <w:pPr>
              <w:spacing w:line="260" w:lineRule="exact"/>
              <w:ind w:left="113" w:right="113"/>
              <w:jc w:val="center"/>
              <w:rPr>
                <w:rFonts w:hint="eastAsia"/>
                <w:b w:val="0"/>
                <w:bCs w:val="0"/>
                <w:color w:val="auto"/>
                <w:sz w:val="21"/>
                <w:szCs w:val="21"/>
              </w:rPr>
            </w:pPr>
          </w:p>
        </w:tc>
        <w:tc>
          <w:tcPr>
            <w:tcW w:w="1821" w:type="dxa"/>
            <w:noWrap w:val="0"/>
            <w:vAlign w:val="center"/>
          </w:tcPr>
          <w:p w14:paraId="4DD623FD">
            <w:pPr>
              <w:spacing w:line="260" w:lineRule="exact"/>
              <w:rPr>
                <w:rFonts w:hint="eastAsia"/>
                <w:b w:val="0"/>
                <w:bCs w:val="0"/>
                <w:color w:val="auto"/>
                <w:sz w:val="21"/>
                <w:szCs w:val="21"/>
              </w:rPr>
            </w:pPr>
            <w:r>
              <w:rPr>
                <w:rFonts w:hint="eastAsia"/>
                <w:b w:val="0"/>
                <w:bCs w:val="0"/>
                <w:color w:val="auto"/>
                <w:sz w:val="21"/>
                <w:szCs w:val="21"/>
              </w:rPr>
              <w:t>侵入途径：</w:t>
            </w:r>
          </w:p>
        </w:tc>
        <w:tc>
          <w:tcPr>
            <w:tcW w:w="6868" w:type="dxa"/>
            <w:noWrap w:val="0"/>
            <w:vAlign w:val="center"/>
          </w:tcPr>
          <w:p w14:paraId="204952F2">
            <w:pPr>
              <w:spacing w:line="260" w:lineRule="exact"/>
              <w:rPr>
                <w:rFonts w:hint="eastAsia"/>
                <w:b w:val="0"/>
                <w:bCs w:val="0"/>
                <w:color w:val="auto"/>
                <w:sz w:val="21"/>
                <w:szCs w:val="21"/>
              </w:rPr>
            </w:pPr>
            <w:r>
              <w:rPr>
                <w:b w:val="0"/>
                <w:bCs w:val="0"/>
                <w:color w:val="auto"/>
                <w:sz w:val="21"/>
                <w:szCs w:val="21"/>
              </w:rPr>
              <w:t>吸入  食入</w:t>
            </w:r>
          </w:p>
        </w:tc>
      </w:tr>
      <w:tr w14:paraId="2A19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 w:hRule="atLeast"/>
          <w:jc w:val="center"/>
        </w:trPr>
        <w:tc>
          <w:tcPr>
            <w:tcW w:w="546" w:type="dxa"/>
            <w:vMerge w:val="continue"/>
            <w:noWrap w:val="0"/>
            <w:textDirection w:val="tbRlV"/>
            <w:vAlign w:val="center"/>
          </w:tcPr>
          <w:p w14:paraId="76087D28">
            <w:pPr>
              <w:spacing w:line="260" w:lineRule="exact"/>
              <w:ind w:left="113" w:right="113"/>
              <w:jc w:val="center"/>
              <w:rPr>
                <w:rFonts w:hint="eastAsia"/>
                <w:b w:val="0"/>
                <w:bCs w:val="0"/>
                <w:color w:val="auto"/>
                <w:sz w:val="21"/>
                <w:szCs w:val="21"/>
              </w:rPr>
            </w:pPr>
          </w:p>
        </w:tc>
        <w:tc>
          <w:tcPr>
            <w:tcW w:w="1821" w:type="dxa"/>
            <w:noWrap w:val="0"/>
            <w:vAlign w:val="center"/>
          </w:tcPr>
          <w:p w14:paraId="2C175510">
            <w:pPr>
              <w:spacing w:line="260" w:lineRule="exact"/>
              <w:rPr>
                <w:rFonts w:hint="eastAsia"/>
                <w:b w:val="0"/>
                <w:bCs w:val="0"/>
                <w:color w:val="auto"/>
                <w:sz w:val="21"/>
                <w:szCs w:val="21"/>
              </w:rPr>
            </w:pPr>
            <w:r>
              <w:rPr>
                <w:rFonts w:hint="eastAsia"/>
                <w:b w:val="0"/>
                <w:bCs w:val="0"/>
                <w:color w:val="auto"/>
                <w:sz w:val="21"/>
                <w:szCs w:val="21"/>
              </w:rPr>
              <w:t>毒性：</w:t>
            </w:r>
          </w:p>
        </w:tc>
        <w:tc>
          <w:tcPr>
            <w:tcW w:w="6868" w:type="dxa"/>
            <w:noWrap w:val="0"/>
            <w:vAlign w:val="center"/>
          </w:tcPr>
          <w:p w14:paraId="2D697EDB">
            <w:pPr>
              <w:spacing w:line="260" w:lineRule="exact"/>
              <w:rPr>
                <w:rFonts w:hint="eastAsia"/>
                <w:b w:val="0"/>
                <w:bCs w:val="0"/>
                <w:color w:val="auto"/>
                <w:sz w:val="21"/>
                <w:szCs w:val="21"/>
              </w:rPr>
            </w:pPr>
            <w:r>
              <w:rPr>
                <w:b w:val="0"/>
                <w:bCs w:val="0"/>
                <w:color w:val="auto"/>
                <w:sz w:val="21"/>
                <w:szCs w:val="21"/>
              </w:rPr>
              <w:t>LD</w:t>
            </w:r>
            <w:r>
              <w:rPr>
                <w:b w:val="0"/>
                <w:bCs w:val="0"/>
                <w:color w:val="auto"/>
                <w:sz w:val="21"/>
                <w:szCs w:val="21"/>
                <w:vertAlign w:val="subscript"/>
              </w:rPr>
              <w:t>50</w:t>
            </w:r>
            <w:r>
              <w:rPr>
                <w:b w:val="0"/>
                <w:bCs w:val="0"/>
                <w:color w:val="auto"/>
                <w:sz w:val="21"/>
                <w:szCs w:val="21"/>
              </w:rPr>
              <w:t>：245mg</w:t>
            </w:r>
            <w:r>
              <w:rPr>
                <w:rFonts w:hint="eastAsia"/>
                <w:b w:val="0"/>
                <w:bCs w:val="0"/>
                <w:color w:val="auto"/>
                <w:sz w:val="21"/>
                <w:szCs w:val="21"/>
              </w:rPr>
              <w:t>/</w:t>
            </w:r>
            <w:r>
              <w:rPr>
                <w:b w:val="0"/>
                <w:bCs w:val="0"/>
                <w:color w:val="auto"/>
                <w:sz w:val="21"/>
                <w:szCs w:val="21"/>
              </w:rPr>
              <w:t>kg(大鼠经口)</w:t>
            </w:r>
          </w:p>
        </w:tc>
      </w:tr>
      <w:tr w14:paraId="4839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46" w:type="dxa"/>
            <w:vMerge w:val="continue"/>
            <w:noWrap w:val="0"/>
            <w:textDirection w:val="tbRlV"/>
            <w:vAlign w:val="center"/>
          </w:tcPr>
          <w:p w14:paraId="652F064E">
            <w:pPr>
              <w:spacing w:line="260" w:lineRule="exact"/>
              <w:ind w:left="113" w:right="113"/>
              <w:jc w:val="center"/>
              <w:rPr>
                <w:rFonts w:hint="eastAsia"/>
                <w:b w:val="0"/>
                <w:bCs w:val="0"/>
                <w:color w:val="auto"/>
                <w:sz w:val="21"/>
                <w:szCs w:val="21"/>
              </w:rPr>
            </w:pPr>
          </w:p>
        </w:tc>
        <w:tc>
          <w:tcPr>
            <w:tcW w:w="1821" w:type="dxa"/>
            <w:noWrap w:val="0"/>
            <w:vAlign w:val="center"/>
          </w:tcPr>
          <w:p w14:paraId="12E7BBF9">
            <w:pPr>
              <w:spacing w:line="260" w:lineRule="exact"/>
              <w:rPr>
                <w:rFonts w:hint="eastAsia"/>
                <w:b w:val="0"/>
                <w:bCs w:val="0"/>
                <w:color w:val="auto"/>
                <w:sz w:val="21"/>
                <w:szCs w:val="21"/>
              </w:rPr>
            </w:pPr>
            <w:r>
              <w:rPr>
                <w:rFonts w:hint="eastAsia"/>
                <w:b w:val="0"/>
                <w:bCs w:val="0"/>
                <w:color w:val="auto"/>
                <w:sz w:val="21"/>
                <w:szCs w:val="21"/>
              </w:rPr>
              <w:t>健康危害：</w:t>
            </w:r>
          </w:p>
        </w:tc>
        <w:tc>
          <w:tcPr>
            <w:tcW w:w="6868" w:type="dxa"/>
            <w:noWrap w:val="0"/>
            <w:vAlign w:val="center"/>
          </w:tcPr>
          <w:p w14:paraId="654AD366">
            <w:pPr>
              <w:spacing w:line="260" w:lineRule="exact"/>
              <w:rPr>
                <w:rFonts w:hint="eastAsia"/>
                <w:b w:val="0"/>
                <w:bCs w:val="0"/>
                <w:color w:val="auto"/>
                <w:sz w:val="21"/>
                <w:szCs w:val="21"/>
              </w:rPr>
            </w:pPr>
            <w:r>
              <w:rPr>
                <w:b w:val="0"/>
                <w:bCs w:val="0"/>
                <w:color w:val="auto"/>
                <w:sz w:val="21"/>
                <w:szCs w:val="21"/>
              </w:rPr>
              <w:t>该物质对</w:t>
            </w:r>
            <w:r>
              <w:rPr>
                <w:rFonts w:hint="eastAsia"/>
                <w:b w:val="0"/>
                <w:bCs w:val="0"/>
                <w:color w:val="auto"/>
                <w:sz w:val="21"/>
                <w:szCs w:val="21"/>
                <w:lang w:eastAsia="zh-CN"/>
              </w:rPr>
              <w:t>黏膜</w:t>
            </w:r>
            <w:r>
              <w:rPr>
                <w:b w:val="0"/>
                <w:bCs w:val="0"/>
                <w:color w:val="auto"/>
                <w:sz w:val="21"/>
                <w:szCs w:val="21"/>
              </w:rPr>
              <w:t>、上呼吸道、眼睛、皮肤等组织有极强的破坏作用。吸入后可能因喉、支气管的炎症、水肿、痉挛，化学性肺炎、肺水肿而致死。中毒表现有烧灼感、咳嗽、喘息、喉炎、气短、头痛、恶心、呕吐。</w:t>
            </w:r>
          </w:p>
        </w:tc>
      </w:tr>
      <w:tr w14:paraId="6382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546" w:type="dxa"/>
            <w:vMerge w:val="restart"/>
            <w:noWrap w:val="0"/>
            <w:textDirection w:val="tbRlV"/>
            <w:vAlign w:val="center"/>
          </w:tcPr>
          <w:p w14:paraId="0EC8911F">
            <w:pPr>
              <w:spacing w:line="260" w:lineRule="exact"/>
              <w:ind w:left="113" w:right="113"/>
              <w:jc w:val="center"/>
              <w:rPr>
                <w:rFonts w:hint="eastAsia"/>
                <w:b w:val="0"/>
                <w:bCs w:val="0"/>
                <w:color w:val="auto"/>
                <w:sz w:val="21"/>
                <w:szCs w:val="21"/>
              </w:rPr>
            </w:pPr>
            <w:r>
              <w:rPr>
                <w:rFonts w:hint="eastAsia"/>
                <w:b w:val="0"/>
                <w:bCs w:val="0"/>
                <w:color w:val="auto"/>
                <w:sz w:val="21"/>
                <w:szCs w:val="21"/>
              </w:rPr>
              <w:t>急救</w:t>
            </w:r>
          </w:p>
        </w:tc>
        <w:tc>
          <w:tcPr>
            <w:tcW w:w="1821" w:type="dxa"/>
            <w:noWrap w:val="0"/>
            <w:vAlign w:val="center"/>
          </w:tcPr>
          <w:p w14:paraId="2CE807F1">
            <w:pPr>
              <w:spacing w:line="260" w:lineRule="exact"/>
              <w:rPr>
                <w:rFonts w:hint="eastAsia"/>
                <w:b w:val="0"/>
                <w:bCs w:val="0"/>
                <w:color w:val="auto"/>
                <w:sz w:val="21"/>
                <w:szCs w:val="21"/>
              </w:rPr>
            </w:pPr>
            <w:r>
              <w:rPr>
                <w:rFonts w:hint="eastAsia"/>
                <w:b w:val="0"/>
                <w:bCs w:val="0"/>
                <w:color w:val="auto"/>
                <w:sz w:val="21"/>
                <w:szCs w:val="21"/>
              </w:rPr>
              <w:t>皮肤接触：</w:t>
            </w:r>
          </w:p>
        </w:tc>
        <w:tc>
          <w:tcPr>
            <w:tcW w:w="6868" w:type="dxa"/>
            <w:noWrap w:val="0"/>
            <w:vAlign w:val="center"/>
          </w:tcPr>
          <w:p w14:paraId="1D5DEC70">
            <w:pPr>
              <w:spacing w:line="260" w:lineRule="exact"/>
              <w:rPr>
                <w:rFonts w:hint="eastAsia"/>
                <w:b w:val="0"/>
                <w:bCs w:val="0"/>
                <w:color w:val="auto"/>
                <w:sz w:val="21"/>
                <w:szCs w:val="21"/>
              </w:rPr>
            </w:pPr>
            <w:r>
              <w:rPr>
                <w:b w:val="0"/>
                <w:bCs w:val="0"/>
                <w:color w:val="auto"/>
                <w:sz w:val="21"/>
                <w:szCs w:val="21"/>
              </w:rPr>
              <w:t>脱去污染的衣着，立即用水冲洗至少15分钟。若有灼伤，按酸灼伤处理。</w:t>
            </w:r>
          </w:p>
        </w:tc>
      </w:tr>
      <w:tr w14:paraId="49FC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546" w:type="dxa"/>
            <w:vMerge w:val="continue"/>
            <w:noWrap w:val="0"/>
            <w:textDirection w:val="tbRlV"/>
            <w:vAlign w:val="center"/>
          </w:tcPr>
          <w:p w14:paraId="4D2257E5">
            <w:pPr>
              <w:spacing w:line="260" w:lineRule="exact"/>
              <w:ind w:left="113" w:right="113"/>
              <w:jc w:val="center"/>
              <w:rPr>
                <w:rFonts w:hint="eastAsia"/>
                <w:b w:val="0"/>
                <w:bCs w:val="0"/>
                <w:color w:val="auto"/>
                <w:sz w:val="21"/>
                <w:szCs w:val="21"/>
              </w:rPr>
            </w:pPr>
          </w:p>
        </w:tc>
        <w:tc>
          <w:tcPr>
            <w:tcW w:w="1821" w:type="dxa"/>
            <w:noWrap w:val="0"/>
            <w:vAlign w:val="center"/>
          </w:tcPr>
          <w:p w14:paraId="257DF3CE">
            <w:pPr>
              <w:spacing w:line="260" w:lineRule="exact"/>
              <w:rPr>
                <w:rFonts w:hint="eastAsia"/>
                <w:b w:val="0"/>
                <w:bCs w:val="0"/>
                <w:color w:val="auto"/>
                <w:sz w:val="21"/>
                <w:szCs w:val="21"/>
              </w:rPr>
            </w:pPr>
            <w:r>
              <w:rPr>
                <w:b w:val="0"/>
                <w:bCs w:val="0"/>
                <w:color w:val="auto"/>
                <w:sz w:val="21"/>
                <w:szCs w:val="21"/>
              </w:rPr>
              <w:t>眼睛接触：</w:t>
            </w:r>
          </w:p>
        </w:tc>
        <w:tc>
          <w:tcPr>
            <w:tcW w:w="6868" w:type="dxa"/>
            <w:noWrap w:val="0"/>
            <w:vAlign w:val="center"/>
          </w:tcPr>
          <w:p w14:paraId="5B9886D2">
            <w:pPr>
              <w:spacing w:line="260" w:lineRule="exact"/>
              <w:rPr>
                <w:rFonts w:hint="eastAsia"/>
                <w:b w:val="0"/>
                <w:bCs w:val="0"/>
                <w:color w:val="auto"/>
                <w:sz w:val="21"/>
                <w:szCs w:val="21"/>
              </w:rPr>
            </w:pPr>
            <w:r>
              <w:rPr>
                <w:b w:val="0"/>
                <w:bCs w:val="0"/>
                <w:color w:val="auto"/>
                <w:sz w:val="21"/>
                <w:szCs w:val="21"/>
              </w:rPr>
              <w:t>立即提起眼睑，用流动清水冲洗10分钟或用2%碳酸氢钠溶液冲洗。就医。</w:t>
            </w:r>
          </w:p>
        </w:tc>
      </w:tr>
      <w:tr w14:paraId="267B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546" w:type="dxa"/>
            <w:vMerge w:val="continue"/>
            <w:noWrap w:val="0"/>
            <w:textDirection w:val="tbRlV"/>
            <w:vAlign w:val="center"/>
          </w:tcPr>
          <w:p w14:paraId="39C25743">
            <w:pPr>
              <w:spacing w:line="260" w:lineRule="exact"/>
              <w:ind w:left="113" w:right="113"/>
              <w:jc w:val="center"/>
              <w:rPr>
                <w:rFonts w:hint="eastAsia"/>
                <w:b w:val="0"/>
                <w:bCs w:val="0"/>
                <w:color w:val="auto"/>
                <w:sz w:val="21"/>
                <w:szCs w:val="21"/>
              </w:rPr>
            </w:pPr>
          </w:p>
        </w:tc>
        <w:tc>
          <w:tcPr>
            <w:tcW w:w="1821" w:type="dxa"/>
            <w:noWrap w:val="0"/>
            <w:vAlign w:val="center"/>
          </w:tcPr>
          <w:p w14:paraId="5C5493F3">
            <w:pPr>
              <w:spacing w:line="260" w:lineRule="exact"/>
              <w:rPr>
                <w:rFonts w:hint="eastAsia"/>
                <w:b w:val="0"/>
                <w:bCs w:val="0"/>
                <w:color w:val="auto"/>
                <w:sz w:val="21"/>
                <w:szCs w:val="21"/>
              </w:rPr>
            </w:pPr>
            <w:r>
              <w:rPr>
                <w:rFonts w:hint="eastAsia"/>
                <w:b w:val="0"/>
                <w:bCs w:val="0"/>
                <w:color w:val="auto"/>
                <w:sz w:val="21"/>
                <w:szCs w:val="21"/>
              </w:rPr>
              <w:t>吸入：</w:t>
            </w:r>
          </w:p>
        </w:tc>
        <w:tc>
          <w:tcPr>
            <w:tcW w:w="6868" w:type="dxa"/>
            <w:noWrap w:val="0"/>
            <w:vAlign w:val="center"/>
          </w:tcPr>
          <w:p w14:paraId="16AB4CE7">
            <w:pPr>
              <w:spacing w:line="260" w:lineRule="exact"/>
              <w:rPr>
                <w:rFonts w:hint="eastAsia"/>
                <w:b w:val="0"/>
                <w:bCs w:val="0"/>
                <w:color w:val="auto"/>
                <w:sz w:val="21"/>
                <w:szCs w:val="21"/>
              </w:rPr>
            </w:pPr>
            <w:r>
              <w:rPr>
                <w:b w:val="0"/>
                <w:bCs w:val="0"/>
                <w:color w:val="auto"/>
                <w:sz w:val="21"/>
                <w:szCs w:val="21"/>
              </w:rPr>
              <w:t>迅速脱离现场至空气新鲜处。保持呼吸道通畅。呼吸困难时给输氧。呼吸停止时，立即进行人工呼吸。就医。</w:t>
            </w:r>
          </w:p>
        </w:tc>
      </w:tr>
      <w:tr w14:paraId="7A44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546" w:type="dxa"/>
            <w:vMerge w:val="continue"/>
            <w:noWrap w:val="0"/>
            <w:textDirection w:val="tbRlV"/>
            <w:vAlign w:val="center"/>
          </w:tcPr>
          <w:p w14:paraId="54763835">
            <w:pPr>
              <w:spacing w:line="260" w:lineRule="exact"/>
              <w:ind w:left="113" w:right="113"/>
              <w:jc w:val="center"/>
              <w:rPr>
                <w:rFonts w:hint="eastAsia"/>
                <w:b w:val="0"/>
                <w:bCs w:val="0"/>
                <w:color w:val="auto"/>
                <w:sz w:val="21"/>
                <w:szCs w:val="21"/>
              </w:rPr>
            </w:pPr>
          </w:p>
        </w:tc>
        <w:tc>
          <w:tcPr>
            <w:tcW w:w="1821" w:type="dxa"/>
            <w:noWrap w:val="0"/>
            <w:vAlign w:val="center"/>
          </w:tcPr>
          <w:p w14:paraId="7E39D938">
            <w:pPr>
              <w:spacing w:line="260" w:lineRule="exact"/>
              <w:rPr>
                <w:rFonts w:hint="eastAsia"/>
                <w:b w:val="0"/>
                <w:bCs w:val="0"/>
                <w:color w:val="auto"/>
                <w:sz w:val="21"/>
                <w:szCs w:val="21"/>
              </w:rPr>
            </w:pPr>
            <w:r>
              <w:rPr>
                <w:b w:val="0"/>
                <w:bCs w:val="0"/>
                <w:color w:val="auto"/>
                <w:sz w:val="21"/>
                <w:szCs w:val="21"/>
              </w:rPr>
              <w:t>食入：</w:t>
            </w:r>
          </w:p>
        </w:tc>
        <w:tc>
          <w:tcPr>
            <w:tcW w:w="6868" w:type="dxa"/>
            <w:noWrap w:val="0"/>
            <w:vAlign w:val="center"/>
          </w:tcPr>
          <w:p w14:paraId="56512807">
            <w:pPr>
              <w:spacing w:line="260" w:lineRule="exact"/>
              <w:rPr>
                <w:rFonts w:hint="eastAsia"/>
                <w:b w:val="0"/>
                <w:bCs w:val="0"/>
                <w:color w:val="auto"/>
                <w:sz w:val="21"/>
                <w:szCs w:val="21"/>
              </w:rPr>
            </w:pPr>
            <w:r>
              <w:rPr>
                <w:b w:val="0"/>
                <w:bCs w:val="0"/>
                <w:color w:val="auto"/>
                <w:sz w:val="21"/>
                <w:szCs w:val="21"/>
              </w:rPr>
              <w:t>患者清醒时立即漱口，给饮牛奶或蛋清。如发生呕吐，使其取侧卧位，防止呕吐物进入气管。就医。</w:t>
            </w:r>
          </w:p>
        </w:tc>
      </w:tr>
      <w:tr w14:paraId="4979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546" w:type="dxa"/>
            <w:vMerge w:val="restart"/>
            <w:noWrap w:val="0"/>
            <w:textDirection w:val="tbRlV"/>
            <w:vAlign w:val="center"/>
          </w:tcPr>
          <w:p w14:paraId="4D111973">
            <w:pPr>
              <w:spacing w:line="260" w:lineRule="exact"/>
              <w:ind w:left="113" w:right="113"/>
              <w:jc w:val="center"/>
              <w:rPr>
                <w:rFonts w:hint="eastAsia"/>
                <w:b w:val="0"/>
                <w:bCs w:val="0"/>
                <w:color w:val="auto"/>
                <w:sz w:val="21"/>
                <w:szCs w:val="21"/>
              </w:rPr>
            </w:pPr>
            <w:r>
              <w:rPr>
                <w:rFonts w:hint="eastAsia"/>
                <w:b w:val="0"/>
                <w:bCs w:val="0"/>
                <w:color w:val="auto"/>
                <w:sz w:val="21"/>
                <w:szCs w:val="21"/>
              </w:rPr>
              <w:t>防护措施</w:t>
            </w:r>
          </w:p>
        </w:tc>
        <w:tc>
          <w:tcPr>
            <w:tcW w:w="1821" w:type="dxa"/>
            <w:noWrap w:val="0"/>
            <w:vAlign w:val="center"/>
          </w:tcPr>
          <w:p w14:paraId="4BBF4097">
            <w:pPr>
              <w:spacing w:line="260" w:lineRule="exact"/>
              <w:rPr>
                <w:rFonts w:hint="eastAsia"/>
                <w:b w:val="0"/>
                <w:bCs w:val="0"/>
                <w:color w:val="auto"/>
                <w:sz w:val="21"/>
                <w:szCs w:val="21"/>
              </w:rPr>
            </w:pPr>
            <w:r>
              <w:rPr>
                <w:rFonts w:hint="eastAsia"/>
                <w:b w:val="0"/>
                <w:bCs w:val="0"/>
                <w:color w:val="auto"/>
                <w:sz w:val="21"/>
                <w:szCs w:val="21"/>
              </w:rPr>
              <w:t>工程控制：</w:t>
            </w:r>
          </w:p>
        </w:tc>
        <w:tc>
          <w:tcPr>
            <w:tcW w:w="6868" w:type="dxa"/>
            <w:noWrap w:val="0"/>
            <w:vAlign w:val="center"/>
          </w:tcPr>
          <w:p w14:paraId="750FF93B">
            <w:pPr>
              <w:spacing w:line="260" w:lineRule="exact"/>
              <w:rPr>
                <w:rFonts w:hint="eastAsia"/>
                <w:b w:val="0"/>
                <w:bCs w:val="0"/>
                <w:color w:val="auto"/>
                <w:sz w:val="21"/>
                <w:szCs w:val="21"/>
              </w:rPr>
            </w:pPr>
            <w:r>
              <w:rPr>
                <w:b w:val="0"/>
                <w:bCs w:val="0"/>
                <w:color w:val="auto"/>
                <w:sz w:val="21"/>
                <w:szCs w:val="21"/>
              </w:rPr>
              <w:t>密闭操作，局部排风。</w:t>
            </w:r>
          </w:p>
        </w:tc>
      </w:tr>
      <w:tr w14:paraId="2DA0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546" w:type="dxa"/>
            <w:vMerge w:val="continue"/>
            <w:noWrap w:val="0"/>
            <w:textDirection w:val="tbRlV"/>
            <w:vAlign w:val="center"/>
          </w:tcPr>
          <w:p w14:paraId="7DE7303C">
            <w:pPr>
              <w:spacing w:line="260" w:lineRule="exact"/>
              <w:ind w:left="113" w:right="113"/>
              <w:jc w:val="center"/>
              <w:rPr>
                <w:rFonts w:hint="eastAsia"/>
                <w:b w:val="0"/>
                <w:bCs w:val="0"/>
                <w:color w:val="auto"/>
                <w:sz w:val="21"/>
                <w:szCs w:val="21"/>
              </w:rPr>
            </w:pPr>
          </w:p>
        </w:tc>
        <w:tc>
          <w:tcPr>
            <w:tcW w:w="1821" w:type="dxa"/>
            <w:noWrap w:val="0"/>
            <w:vAlign w:val="center"/>
          </w:tcPr>
          <w:p w14:paraId="5C98F03D">
            <w:pPr>
              <w:spacing w:line="260" w:lineRule="exact"/>
              <w:rPr>
                <w:rFonts w:hint="eastAsia"/>
                <w:b w:val="0"/>
                <w:bCs w:val="0"/>
                <w:color w:val="auto"/>
                <w:sz w:val="21"/>
                <w:szCs w:val="21"/>
              </w:rPr>
            </w:pPr>
            <w:r>
              <w:rPr>
                <w:rFonts w:hint="eastAsia"/>
                <w:b w:val="0"/>
                <w:bCs w:val="0"/>
                <w:color w:val="auto"/>
                <w:sz w:val="21"/>
                <w:szCs w:val="21"/>
              </w:rPr>
              <w:t>呼吸系统防护：</w:t>
            </w:r>
          </w:p>
        </w:tc>
        <w:tc>
          <w:tcPr>
            <w:tcW w:w="6868" w:type="dxa"/>
            <w:noWrap w:val="0"/>
            <w:vAlign w:val="center"/>
          </w:tcPr>
          <w:p w14:paraId="7E41905A">
            <w:pPr>
              <w:spacing w:line="260" w:lineRule="exact"/>
              <w:rPr>
                <w:rFonts w:hint="eastAsia"/>
                <w:b w:val="0"/>
                <w:bCs w:val="0"/>
                <w:color w:val="auto"/>
                <w:sz w:val="21"/>
                <w:szCs w:val="21"/>
              </w:rPr>
            </w:pPr>
            <w:r>
              <w:rPr>
                <w:b w:val="0"/>
                <w:bCs w:val="0"/>
                <w:color w:val="auto"/>
                <w:sz w:val="21"/>
                <w:szCs w:val="21"/>
              </w:rPr>
              <w:t>空气中浓度超标时，应该</w:t>
            </w:r>
            <w:r>
              <w:rPr>
                <w:rFonts w:hint="eastAsia"/>
                <w:b w:val="0"/>
                <w:bCs w:val="0"/>
                <w:color w:val="auto"/>
                <w:sz w:val="21"/>
                <w:szCs w:val="21"/>
                <w:lang w:eastAsia="zh-CN"/>
              </w:rPr>
              <w:t>佩戴</w:t>
            </w:r>
            <w:r>
              <w:rPr>
                <w:b w:val="0"/>
                <w:bCs w:val="0"/>
                <w:color w:val="auto"/>
                <w:sz w:val="21"/>
                <w:szCs w:val="21"/>
              </w:rPr>
              <w:t>防毒口罩。，紧急事态抢救或逃生时，建议</w:t>
            </w:r>
            <w:r>
              <w:rPr>
                <w:rFonts w:hint="eastAsia"/>
                <w:b w:val="0"/>
                <w:bCs w:val="0"/>
                <w:color w:val="auto"/>
                <w:sz w:val="21"/>
                <w:szCs w:val="21"/>
                <w:lang w:eastAsia="zh-CN"/>
              </w:rPr>
              <w:t>佩戴</w:t>
            </w:r>
            <w:r>
              <w:rPr>
                <w:b w:val="0"/>
                <w:bCs w:val="0"/>
                <w:color w:val="auto"/>
                <w:sz w:val="21"/>
                <w:szCs w:val="21"/>
              </w:rPr>
              <w:t>自给式呼吸器。</w:t>
            </w:r>
          </w:p>
        </w:tc>
      </w:tr>
      <w:tr w14:paraId="159E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546" w:type="dxa"/>
            <w:vMerge w:val="continue"/>
            <w:noWrap w:val="0"/>
            <w:textDirection w:val="tbRlV"/>
            <w:vAlign w:val="center"/>
          </w:tcPr>
          <w:p w14:paraId="5553BECB">
            <w:pPr>
              <w:spacing w:line="260" w:lineRule="exact"/>
              <w:ind w:left="113" w:right="113"/>
              <w:jc w:val="center"/>
              <w:rPr>
                <w:rFonts w:hint="eastAsia"/>
                <w:b w:val="0"/>
                <w:bCs w:val="0"/>
                <w:color w:val="auto"/>
                <w:sz w:val="21"/>
                <w:szCs w:val="21"/>
              </w:rPr>
            </w:pPr>
          </w:p>
        </w:tc>
        <w:tc>
          <w:tcPr>
            <w:tcW w:w="1821" w:type="dxa"/>
            <w:noWrap w:val="0"/>
            <w:vAlign w:val="center"/>
          </w:tcPr>
          <w:p w14:paraId="45A1BA7A">
            <w:pPr>
              <w:spacing w:line="260" w:lineRule="exact"/>
              <w:rPr>
                <w:rFonts w:hint="eastAsia"/>
                <w:b w:val="0"/>
                <w:bCs w:val="0"/>
                <w:color w:val="auto"/>
                <w:sz w:val="21"/>
                <w:szCs w:val="21"/>
              </w:rPr>
            </w:pPr>
            <w:r>
              <w:rPr>
                <w:rFonts w:hint="eastAsia"/>
                <w:b w:val="0"/>
                <w:bCs w:val="0"/>
                <w:color w:val="auto"/>
                <w:sz w:val="21"/>
                <w:szCs w:val="21"/>
              </w:rPr>
              <w:t xml:space="preserve">眼睛防护： </w:t>
            </w:r>
          </w:p>
        </w:tc>
        <w:tc>
          <w:tcPr>
            <w:tcW w:w="6868" w:type="dxa"/>
            <w:noWrap w:val="0"/>
            <w:vAlign w:val="center"/>
          </w:tcPr>
          <w:p w14:paraId="01C6A4FE">
            <w:pPr>
              <w:spacing w:line="260" w:lineRule="exact"/>
              <w:rPr>
                <w:rFonts w:hint="eastAsia"/>
                <w:b w:val="0"/>
                <w:bCs w:val="0"/>
                <w:color w:val="auto"/>
                <w:sz w:val="21"/>
                <w:szCs w:val="21"/>
              </w:rPr>
            </w:pPr>
            <w:r>
              <w:rPr>
                <w:b w:val="0"/>
                <w:bCs w:val="0"/>
                <w:color w:val="auto"/>
                <w:sz w:val="21"/>
                <w:szCs w:val="21"/>
              </w:rPr>
              <w:t>戴化学安全防护眼镜。</w:t>
            </w:r>
          </w:p>
        </w:tc>
      </w:tr>
      <w:tr w14:paraId="1BE1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546" w:type="dxa"/>
            <w:vMerge w:val="continue"/>
            <w:noWrap w:val="0"/>
            <w:textDirection w:val="tbRlV"/>
            <w:vAlign w:val="center"/>
          </w:tcPr>
          <w:p w14:paraId="37B05D0D">
            <w:pPr>
              <w:spacing w:line="260" w:lineRule="exact"/>
              <w:ind w:left="113" w:right="113"/>
              <w:jc w:val="center"/>
              <w:rPr>
                <w:rFonts w:hint="eastAsia"/>
                <w:b w:val="0"/>
                <w:bCs w:val="0"/>
                <w:color w:val="auto"/>
                <w:sz w:val="21"/>
                <w:szCs w:val="21"/>
              </w:rPr>
            </w:pPr>
          </w:p>
        </w:tc>
        <w:tc>
          <w:tcPr>
            <w:tcW w:w="1821" w:type="dxa"/>
            <w:noWrap w:val="0"/>
            <w:vAlign w:val="center"/>
          </w:tcPr>
          <w:p w14:paraId="646ECF15">
            <w:pPr>
              <w:spacing w:line="260" w:lineRule="exact"/>
              <w:rPr>
                <w:rFonts w:hint="eastAsia"/>
                <w:b w:val="0"/>
                <w:bCs w:val="0"/>
                <w:color w:val="auto"/>
                <w:sz w:val="21"/>
                <w:szCs w:val="21"/>
              </w:rPr>
            </w:pPr>
            <w:r>
              <w:rPr>
                <w:rFonts w:hint="eastAsia"/>
                <w:b w:val="0"/>
                <w:bCs w:val="0"/>
                <w:color w:val="auto"/>
                <w:sz w:val="21"/>
                <w:szCs w:val="21"/>
              </w:rPr>
              <w:t>防护服：</w:t>
            </w:r>
          </w:p>
        </w:tc>
        <w:tc>
          <w:tcPr>
            <w:tcW w:w="6868" w:type="dxa"/>
            <w:noWrap w:val="0"/>
            <w:vAlign w:val="center"/>
          </w:tcPr>
          <w:p w14:paraId="61EA85A4">
            <w:pPr>
              <w:spacing w:line="260" w:lineRule="exact"/>
              <w:rPr>
                <w:rFonts w:hint="eastAsia"/>
                <w:b w:val="0"/>
                <w:bCs w:val="0"/>
                <w:color w:val="auto"/>
                <w:sz w:val="21"/>
                <w:szCs w:val="21"/>
              </w:rPr>
            </w:pPr>
            <w:r>
              <w:rPr>
                <w:b w:val="0"/>
                <w:bCs w:val="0"/>
                <w:color w:val="auto"/>
                <w:sz w:val="21"/>
                <w:szCs w:val="21"/>
              </w:rPr>
              <w:t>穿相应的防护服。</w:t>
            </w:r>
          </w:p>
        </w:tc>
      </w:tr>
      <w:tr w14:paraId="5149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546" w:type="dxa"/>
            <w:vMerge w:val="continue"/>
            <w:noWrap w:val="0"/>
            <w:textDirection w:val="tbRlV"/>
            <w:vAlign w:val="center"/>
          </w:tcPr>
          <w:p w14:paraId="4F89FCC0">
            <w:pPr>
              <w:spacing w:line="260" w:lineRule="exact"/>
              <w:ind w:left="113" w:right="113"/>
              <w:jc w:val="center"/>
              <w:rPr>
                <w:rFonts w:hint="eastAsia"/>
                <w:b w:val="0"/>
                <w:bCs w:val="0"/>
                <w:color w:val="auto"/>
                <w:sz w:val="21"/>
                <w:szCs w:val="21"/>
              </w:rPr>
            </w:pPr>
          </w:p>
        </w:tc>
        <w:tc>
          <w:tcPr>
            <w:tcW w:w="1821" w:type="dxa"/>
            <w:noWrap w:val="0"/>
            <w:vAlign w:val="center"/>
          </w:tcPr>
          <w:p w14:paraId="38A57BC5">
            <w:pPr>
              <w:spacing w:line="260" w:lineRule="exact"/>
              <w:rPr>
                <w:rFonts w:hint="eastAsia"/>
                <w:b w:val="0"/>
                <w:bCs w:val="0"/>
                <w:color w:val="auto"/>
                <w:sz w:val="21"/>
                <w:szCs w:val="21"/>
              </w:rPr>
            </w:pPr>
            <w:r>
              <w:rPr>
                <w:b w:val="0"/>
                <w:bCs w:val="0"/>
                <w:color w:val="auto"/>
                <w:sz w:val="21"/>
                <w:szCs w:val="21"/>
              </w:rPr>
              <w:t>手防护：</w:t>
            </w:r>
          </w:p>
        </w:tc>
        <w:tc>
          <w:tcPr>
            <w:tcW w:w="6868" w:type="dxa"/>
            <w:noWrap w:val="0"/>
            <w:vAlign w:val="center"/>
          </w:tcPr>
          <w:p w14:paraId="38BE279F">
            <w:pPr>
              <w:spacing w:line="260" w:lineRule="exact"/>
              <w:rPr>
                <w:rFonts w:hint="eastAsia"/>
                <w:b w:val="0"/>
                <w:bCs w:val="0"/>
                <w:color w:val="auto"/>
                <w:sz w:val="21"/>
                <w:szCs w:val="21"/>
              </w:rPr>
            </w:pPr>
            <w:r>
              <w:rPr>
                <w:b w:val="0"/>
                <w:bCs w:val="0"/>
                <w:color w:val="auto"/>
                <w:sz w:val="21"/>
                <w:szCs w:val="21"/>
              </w:rPr>
              <w:t>戴防化学品手套。</w:t>
            </w:r>
          </w:p>
        </w:tc>
      </w:tr>
      <w:tr w14:paraId="30A4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7" w:hRule="atLeast"/>
          <w:jc w:val="center"/>
        </w:trPr>
        <w:tc>
          <w:tcPr>
            <w:tcW w:w="2367" w:type="dxa"/>
            <w:gridSpan w:val="2"/>
            <w:noWrap w:val="0"/>
            <w:vAlign w:val="center"/>
          </w:tcPr>
          <w:p w14:paraId="14F05137">
            <w:pPr>
              <w:spacing w:line="260" w:lineRule="exact"/>
              <w:jc w:val="center"/>
              <w:rPr>
                <w:rFonts w:hint="eastAsia"/>
                <w:b w:val="0"/>
                <w:bCs w:val="0"/>
                <w:color w:val="auto"/>
                <w:sz w:val="21"/>
                <w:szCs w:val="21"/>
              </w:rPr>
            </w:pPr>
            <w:r>
              <w:rPr>
                <w:rFonts w:hint="eastAsia"/>
                <w:b w:val="0"/>
                <w:bCs w:val="0"/>
                <w:color w:val="auto"/>
                <w:sz w:val="21"/>
                <w:szCs w:val="21"/>
              </w:rPr>
              <w:t>泄漏处置：</w:t>
            </w:r>
          </w:p>
        </w:tc>
        <w:tc>
          <w:tcPr>
            <w:tcW w:w="6868" w:type="dxa"/>
            <w:noWrap w:val="0"/>
            <w:vAlign w:val="center"/>
          </w:tcPr>
          <w:p w14:paraId="64079C81">
            <w:pPr>
              <w:spacing w:line="260" w:lineRule="exact"/>
              <w:rPr>
                <w:rFonts w:hint="eastAsia"/>
                <w:b w:val="0"/>
                <w:bCs w:val="0"/>
                <w:color w:val="auto"/>
                <w:sz w:val="21"/>
                <w:szCs w:val="21"/>
              </w:rPr>
            </w:pPr>
            <w:r>
              <w:rPr>
                <w:b w:val="0"/>
                <w:bCs w:val="0"/>
                <w:color w:val="auto"/>
                <w:sz w:val="21"/>
                <w:szCs w:val="21"/>
              </w:rPr>
              <w:t>隔离泄漏污染区，周围设警告标志，建议应急处理人员戴好防毒面具，穿化学防护服。不要直接接触泄漏物，避免扬尘，用清洁的铲子收集于干燥净洁有盖的容器中，运至废物处理场所。也可以用大量水冲洗，经稀释的洗水放入废水系统。如大量泄漏，收集回收或无害处理后废弃。</w:t>
            </w:r>
          </w:p>
        </w:tc>
      </w:tr>
      <w:tr w14:paraId="582F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2367" w:type="dxa"/>
            <w:gridSpan w:val="2"/>
            <w:noWrap w:val="0"/>
            <w:vAlign w:val="center"/>
          </w:tcPr>
          <w:p w14:paraId="3F21949C">
            <w:pPr>
              <w:spacing w:line="260" w:lineRule="exact"/>
              <w:jc w:val="center"/>
              <w:rPr>
                <w:rFonts w:hint="eastAsia"/>
                <w:b w:val="0"/>
                <w:bCs w:val="0"/>
                <w:color w:val="auto"/>
                <w:sz w:val="21"/>
                <w:szCs w:val="21"/>
              </w:rPr>
            </w:pPr>
            <w:r>
              <w:rPr>
                <w:rFonts w:hint="eastAsia"/>
                <w:b w:val="0"/>
                <w:bCs w:val="0"/>
                <w:color w:val="auto"/>
                <w:sz w:val="21"/>
                <w:szCs w:val="21"/>
              </w:rPr>
              <w:t>其他：</w:t>
            </w:r>
          </w:p>
        </w:tc>
        <w:tc>
          <w:tcPr>
            <w:tcW w:w="6868" w:type="dxa"/>
            <w:noWrap w:val="0"/>
            <w:vAlign w:val="center"/>
          </w:tcPr>
          <w:p w14:paraId="4AD03AD2">
            <w:pPr>
              <w:spacing w:line="260" w:lineRule="exact"/>
              <w:rPr>
                <w:rFonts w:hint="eastAsia"/>
                <w:b w:val="0"/>
                <w:bCs w:val="0"/>
                <w:color w:val="auto"/>
                <w:sz w:val="21"/>
                <w:szCs w:val="21"/>
              </w:rPr>
            </w:pPr>
            <w:r>
              <w:rPr>
                <w:b w:val="0"/>
                <w:bCs w:val="0"/>
                <w:color w:val="auto"/>
                <w:sz w:val="21"/>
                <w:szCs w:val="21"/>
              </w:rPr>
              <w:t>工作现场禁止吸烟、进食和饮水。工作后，淋浴更衣。工作服不要带到非作业场所，单独存放被毒物污染的衣服，洗后再用。保持良好的卫生习惯。</w:t>
            </w:r>
          </w:p>
        </w:tc>
      </w:tr>
    </w:tbl>
    <w:p w14:paraId="3B426CEB">
      <w:pPr>
        <w:pStyle w:val="4"/>
        <w:numPr>
          <w:ilvl w:val="3"/>
          <w:numId w:val="10"/>
        </w:numPr>
        <w:tabs>
          <w:tab w:val="left" w:pos="1358"/>
          <w:tab w:val="left" w:pos="2153"/>
        </w:tabs>
        <w:ind w:left="1358"/>
        <w:outlineLvl w:val="4"/>
        <w:rPr>
          <w:color w:val="auto"/>
        </w:rPr>
      </w:pPr>
      <w:r>
        <w:rPr>
          <w:rFonts w:hint="eastAsia" w:ascii="Times New Roman" w:hAnsi="Times New Roman" w:cs="Times New Roman"/>
          <w:color w:val="auto"/>
          <w:lang w:val="en-US" w:eastAsia="zh-CN"/>
        </w:rPr>
        <w:t>氟化锌</w:t>
      </w:r>
      <w:r>
        <w:rPr>
          <w:rFonts w:hint="default" w:ascii="Times New Roman" w:hAnsi="Times New Roman" w:eastAsia="宋体" w:cs="Times New Roman"/>
          <w:color w:val="auto"/>
          <w:lang w:val="zh-CN" w:eastAsia="zh-CN"/>
        </w:rPr>
        <w:t>安全技术说明书</w:t>
      </w:r>
    </w:p>
    <w:tbl>
      <w:tblPr>
        <w:tblStyle w:val="19"/>
        <w:tblW w:w="9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1821"/>
        <w:gridCol w:w="6894"/>
      </w:tblGrid>
      <w:tr w14:paraId="0191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546" w:type="dxa"/>
            <w:vMerge w:val="restart"/>
            <w:noWrap w:val="0"/>
            <w:textDirection w:val="tbRlV"/>
            <w:vAlign w:val="center"/>
          </w:tcPr>
          <w:p w14:paraId="68A0EC34">
            <w:pPr>
              <w:spacing w:line="260" w:lineRule="exact"/>
              <w:ind w:left="113" w:right="113"/>
              <w:jc w:val="center"/>
              <w:rPr>
                <w:rFonts w:hint="eastAsia"/>
                <w:b w:val="0"/>
                <w:bCs w:val="0"/>
                <w:color w:val="auto"/>
                <w:sz w:val="21"/>
                <w:szCs w:val="21"/>
              </w:rPr>
            </w:pPr>
            <w:r>
              <w:rPr>
                <w:rFonts w:hint="eastAsia"/>
                <w:b w:val="0"/>
                <w:bCs w:val="0"/>
                <w:color w:val="auto"/>
                <w:sz w:val="21"/>
                <w:szCs w:val="21"/>
              </w:rPr>
              <w:t>标识</w:t>
            </w:r>
          </w:p>
        </w:tc>
        <w:tc>
          <w:tcPr>
            <w:tcW w:w="1821" w:type="dxa"/>
            <w:noWrap w:val="0"/>
            <w:vAlign w:val="center"/>
          </w:tcPr>
          <w:p w14:paraId="164265E7">
            <w:pPr>
              <w:spacing w:line="260" w:lineRule="exact"/>
              <w:rPr>
                <w:rFonts w:hint="eastAsia"/>
                <w:b w:val="0"/>
                <w:bCs w:val="0"/>
                <w:color w:val="auto"/>
                <w:sz w:val="21"/>
                <w:szCs w:val="21"/>
              </w:rPr>
            </w:pPr>
            <w:r>
              <w:rPr>
                <w:rFonts w:hint="eastAsia"/>
                <w:b w:val="0"/>
                <w:bCs w:val="0"/>
                <w:color w:val="auto"/>
                <w:sz w:val="21"/>
                <w:szCs w:val="21"/>
              </w:rPr>
              <w:t>中文名：</w:t>
            </w:r>
          </w:p>
        </w:tc>
        <w:tc>
          <w:tcPr>
            <w:tcW w:w="6894" w:type="dxa"/>
            <w:noWrap w:val="0"/>
            <w:vAlign w:val="center"/>
          </w:tcPr>
          <w:p w14:paraId="41688278">
            <w:pPr>
              <w:pStyle w:val="29"/>
              <w:spacing w:line="260" w:lineRule="exact"/>
              <w:rPr>
                <w:rFonts w:hint="eastAsia"/>
                <w:b w:val="0"/>
                <w:bCs w:val="0"/>
                <w:color w:val="auto"/>
                <w:sz w:val="21"/>
                <w:szCs w:val="21"/>
              </w:rPr>
            </w:pPr>
            <w:r>
              <w:rPr>
                <w:b w:val="0"/>
                <w:bCs w:val="0"/>
                <w:color w:val="auto"/>
                <w:sz w:val="21"/>
                <w:szCs w:val="21"/>
              </w:rPr>
              <w:t xml:space="preserve">氟化锌 </w:t>
            </w:r>
            <w:r>
              <w:rPr>
                <w:rFonts w:hint="eastAsia"/>
                <w:b w:val="0"/>
                <w:bCs w:val="0"/>
                <w:color w:val="auto"/>
                <w:sz w:val="21"/>
                <w:szCs w:val="21"/>
              </w:rPr>
              <w:t xml:space="preserve">                   </w:t>
            </w:r>
            <w:r>
              <w:rPr>
                <w:b w:val="0"/>
                <w:bCs w:val="0"/>
                <w:color w:val="auto"/>
                <w:sz w:val="21"/>
                <w:szCs w:val="21"/>
              </w:rPr>
              <w:t>英文名：Zinc fluoride</w:t>
            </w:r>
          </w:p>
        </w:tc>
      </w:tr>
      <w:tr w14:paraId="4B35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546" w:type="dxa"/>
            <w:vMerge w:val="continue"/>
            <w:noWrap w:val="0"/>
            <w:textDirection w:val="tbRlV"/>
            <w:vAlign w:val="center"/>
          </w:tcPr>
          <w:p w14:paraId="6DAD0C68">
            <w:pPr>
              <w:spacing w:line="260" w:lineRule="exact"/>
              <w:ind w:left="113" w:right="113"/>
              <w:jc w:val="center"/>
              <w:rPr>
                <w:rFonts w:hint="eastAsia"/>
                <w:b w:val="0"/>
                <w:bCs w:val="0"/>
                <w:color w:val="auto"/>
                <w:sz w:val="21"/>
                <w:szCs w:val="21"/>
              </w:rPr>
            </w:pPr>
          </w:p>
        </w:tc>
        <w:tc>
          <w:tcPr>
            <w:tcW w:w="1821" w:type="dxa"/>
            <w:noWrap w:val="0"/>
            <w:vAlign w:val="center"/>
          </w:tcPr>
          <w:p w14:paraId="455A200D">
            <w:pPr>
              <w:spacing w:line="260" w:lineRule="exact"/>
              <w:rPr>
                <w:rFonts w:hint="eastAsia"/>
                <w:b w:val="0"/>
                <w:bCs w:val="0"/>
                <w:color w:val="auto"/>
                <w:sz w:val="21"/>
                <w:szCs w:val="21"/>
              </w:rPr>
            </w:pPr>
            <w:r>
              <w:rPr>
                <w:rFonts w:hint="eastAsia"/>
                <w:b w:val="0"/>
                <w:bCs w:val="0"/>
                <w:color w:val="auto"/>
                <w:sz w:val="21"/>
                <w:szCs w:val="21"/>
              </w:rPr>
              <w:t>分子式：</w:t>
            </w:r>
          </w:p>
        </w:tc>
        <w:tc>
          <w:tcPr>
            <w:tcW w:w="6894" w:type="dxa"/>
            <w:noWrap w:val="0"/>
            <w:vAlign w:val="center"/>
          </w:tcPr>
          <w:p w14:paraId="71D353B8">
            <w:pPr>
              <w:spacing w:line="260" w:lineRule="exact"/>
              <w:rPr>
                <w:rFonts w:hint="eastAsia"/>
                <w:b w:val="0"/>
                <w:bCs w:val="0"/>
                <w:color w:val="auto"/>
                <w:sz w:val="21"/>
                <w:szCs w:val="21"/>
              </w:rPr>
            </w:pPr>
            <w:r>
              <w:rPr>
                <w:b w:val="0"/>
                <w:bCs w:val="0"/>
                <w:color w:val="auto"/>
                <w:sz w:val="21"/>
                <w:szCs w:val="21"/>
              </w:rPr>
              <w:t>ZnF</w:t>
            </w:r>
            <w:r>
              <w:rPr>
                <w:b w:val="0"/>
                <w:bCs w:val="0"/>
                <w:color w:val="auto"/>
                <w:sz w:val="21"/>
                <w:szCs w:val="21"/>
                <w:vertAlign w:val="subscript"/>
              </w:rPr>
              <w:t>2</w:t>
            </w:r>
            <w:r>
              <w:rPr>
                <w:b w:val="0"/>
                <w:bCs w:val="0"/>
                <w:color w:val="auto"/>
                <w:sz w:val="21"/>
                <w:szCs w:val="21"/>
              </w:rPr>
              <w:t xml:space="preserve"> </w:t>
            </w:r>
            <w:r>
              <w:rPr>
                <w:rFonts w:hint="eastAsia"/>
                <w:b w:val="0"/>
                <w:bCs w:val="0"/>
                <w:color w:val="auto"/>
                <w:sz w:val="21"/>
                <w:szCs w:val="21"/>
              </w:rPr>
              <w:t xml:space="preserve">                    </w:t>
            </w:r>
            <w:r>
              <w:rPr>
                <w:b w:val="0"/>
                <w:bCs w:val="0"/>
                <w:color w:val="auto"/>
                <w:sz w:val="21"/>
                <w:szCs w:val="21"/>
              </w:rPr>
              <w:t>分子量：103.39</w:t>
            </w:r>
          </w:p>
        </w:tc>
      </w:tr>
      <w:tr w14:paraId="0209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546" w:type="dxa"/>
            <w:vMerge w:val="continue"/>
            <w:noWrap w:val="0"/>
            <w:textDirection w:val="tbRlV"/>
            <w:vAlign w:val="center"/>
          </w:tcPr>
          <w:p w14:paraId="5074F3EF">
            <w:pPr>
              <w:spacing w:line="260" w:lineRule="exact"/>
              <w:ind w:left="113" w:right="113"/>
              <w:jc w:val="center"/>
              <w:rPr>
                <w:rFonts w:hint="eastAsia"/>
                <w:b w:val="0"/>
                <w:bCs w:val="0"/>
                <w:color w:val="auto"/>
                <w:sz w:val="21"/>
                <w:szCs w:val="21"/>
              </w:rPr>
            </w:pPr>
          </w:p>
        </w:tc>
        <w:tc>
          <w:tcPr>
            <w:tcW w:w="1821" w:type="dxa"/>
            <w:noWrap w:val="0"/>
            <w:vAlign w:val="center"/>
          </w:tcPr>
          <w:p w14:paraId="4674038A">
            <w:pPr>
              <w:spacing w:line="260" w:lineRule="exact"/>
              <w:rPr>
                <w:rFonts w:hint="eastAsia"/>
                <w:b w:val="0"/>
                <w:bCs w:val="0"/>
                <w:color w:val="auto"/>
                <w:sz w:val="21"/>
                <w:szCs w:val="21"/>
              </w:rPr>
            </w:pPr>
            <w:r>
              <w:rPr>
                <w:rFonts w:hint="eastAsia"/>
                <w:b w:val="0"/>
                <w:bCs w:val="0"/>
                <w:color w:val="auto"/>
                <w:sz w:val="21"/>
                <w:szCs w:val="21"/>
              </w:rPr>
              <w:t>CAS号：</w:t>
            </w:r>
          </w:p>
        </w:tc>
        <w:tc>
          <w:tcPr>
            <w:tcW w:w="6894" w:type="dxa"/>
            <w:noWrap w:val="0"/>
            <w:vAlign w:val="center"/>
          </w:tcPr>
          <w:p w14:paraId="24C21538">
            <w:pPr>
              <w:spacing w:line="260" w:lineRule="exact"/>
              <w:rPr>
                <w:rFonts w:hint="eastAsia"/>
                <w:b w:val="0"/>
                <w:bCs w:val="0"/>
                <w:color w:val="auto"/>
                <w:sz w:val="21"/>
                <w:szCs w:val="21"/>
              </w:rPr>
            </w:pPr>
            <w:r>
              <w:rPr>
                <w:b w:val="0"/>
                <w:bCs w:val="0"/>
                <w:color w:val="auto"/>
                <w:sz w:val="21"/>
                <w:szCs w:val="21"/>
              </w:rPr>
              <w:t xml:space="preserve">7783-49-5 </w:t>
            </w:r>
            <w:r>
              <w:rPr>
                <w:rFonts w:hint="eastAsia"/>
                <w:b w:val="0"/>
                <w:bCs w:val="0"/>
                <w:color w:val="auto"/>
                <w:sz w:val="21"/>
                <w:szCs w:val="21"/>
              </w:rPr>
              <w:t xml:space="preserve">                </w:t>
            </w:r>
            <w:r>
              <w:rPr>
                <w:b w:val="0"/>
                <w:bCs w:val="0"/>
                <w:color w:val="auto"/>
                <w:sz w:val="21"/>
                <w:szCs w:val="21"/>
              </w:rPr>
              <w:t xml:space="preserve"> RTECS号：ZH3500000</w:t>
            </w:r>
          </w:p>
        </w:tc>
      </w:tr>
      <w:tr w14:paraId="3CFA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46" w:type="dxa"/>
            <w:vMerge w:val="continue"/>
            <w:noWrap w:val="0"/>
            <w:textDirection w:val="tbRlV"/>
            <w:vAlign w:val="center"/>
          </w:tcPr>
          <w:p w14:paraId="0756C893">
            <w:pPr>
              <w:spacing w:line="260" w:lineRule="exact"/>
              <w:ind w:left="113" w:right="113"/>
              <w:jc w:val="center"/>
              <w:rPr>
                <w:rFonts w:hint="eastAsia"/>
                <w:b w:val="0"/>
                <w:bCs w:val="0"/>
                <w:color w:val="auto"/>
                <w:sz w:val="21"/>
                <w:szCs w:val="21"/>
              </w:rPr>
            </w:pPr>
          </w:p>
        </w:tc>
        <w:tc>
          <w:tcPr>
            <w:tcW w:w="1821" w:type="dxa"/>
            <w:noWrap w:val="0"/>
            <w:vAlign w:val="center"/>
          </w:tcPr>
          <w:p w14:paraId="39A18756">
            <w:pPr>
              <w:spacing w:line="260" w:lineRule="exact"/>
              <w:rPr>
                <w:rFonts w:hint="eastAsia"/>
                <w:b w:val="0"/>
                <w:bCs w:val="0"/>
                <w:color w:val="auto"/>
                <w:sz w:val="21"/>
                <w:szCs w:val="21"/>
              </w:rPr>
            </w:pPr>
            <w:r>
              <w:rPr>
                <w:b w:val="0"/>
                <w:bCs w:val="0"/>
                <w:color w:val="auto"/>
                <w:sz w:val="21"/>
                <w:szCs w:val="21"/>
              </w:rPr>
              <w:t>危险货物编号：</w:t>
            </w:r>
          </w:p>
        </w:tc>
        <w:tc>
          <w:tcPr>
            <w:tcW w:w="6894" w:type="dxa"/>
            <w:noWrap w:val="0"/>
            <w:vAlign w:val="center"/>
          </w:tcPr>
          <w:p w14:paraId="0FFCC3C2">
            <w:pPr>
              <w:spacing w:line="260" w:lineRule="exact"/>
              <w:rPr>
                <w:rFonts w:hint="eastAsia"/>
                <w:b w:val="0"/>
                <w:bCs w:val="0"/>
                <w:color w:val="auto"/>
                <w:sz w:val="21"/>
                <w:szCs w:val="21"/>
              </w:rPr>
            </w:pPr>
            <w:r>
              <w:rPr>
                <w:b w:val="0"/>
                <w:bCs w:val="0"/>
                <w:color w:val="auto"/>
                <w:sz w:val="21"/>
                <w:szCs w:val="21"/>
              </w:rPr>
              <w:t>61513</w:t>
            </w:r>
          </w:p>
        </w:tc>
      </w:tr>
      <w:tr w14:paraId="2A97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546" w:type="dxa"/>
            <w:vMerge w:val="restart"/>
            <w:noWrap w:val="0"/>
            <w:textDirection w:val="tbRlV"/>
            <w:vAlign w:val="center"/>
          </w:tcPr>
          <w:p w14:paraId="3BF96269">
            <w:pPr>
              <w:spacing w:line="260" w:lineRule="exact"/>
              <w:ind w:left="113" w:right="113"/>
              <w:jc w:val="center"/>
              <w:rPr>
                <w:rFonts w:hint="eastAsia"/>
                <w:b w:val="0"/>
                <w:bCs w:val="0"/>
                <w:color w:val="auto"/>
                <w:sz w:val="21"/>
                <w:szCs w:val="21"/>
              </w:rPr>
            </w:pPr>
            <w:r>
              <w:rPr>
                <w:rFonts w:hint="eastAsia"/>
                <w:b w:val="0"/>
                <w:bCs w:val="0"/>
                <w:color w:val="auto"/>
                <w:sz w:val="21"/>
                <w:szCs w:val="21"/>
              </w:rPr>
              <w:t>理化性质</w:t>
            </w:r>
          </w:p>
        </w:tc>
        <w:tc>
          <w:tcPr>
            <w:tcW w:w="1821" w:type="dxa"/>
            <w:noWrap w:val="0"/>
            <w:vAlign w:val="center"/>
          </w:tcPr>
          <w:p w14:paraId="655A5216">
            <w:pPr>
              <w:spacing w:line="260" w:lineRule="exact"/>
              <w:rPr>
                <w:rFonts w:hint="eastAsia"/>
                <w:b w:val="0"/>
                <w:bCs w:val="0"/>
                <w:color w:val="auto"/>
                <w:sz w:val="21"/>
                <w:szCs w:val="21"/>
              </w:rPr>
            </w:pPr>
            <w:r>
              <w:rPr>
                <w:rFonts w:hint="eastAsia"/>
                <w:b w:val="0"/>
                <w:bCs w:val="0"/>
                <w:color w:val="auto"/>
                <w:sz w:val="21"/>
                <w:szCs w:val="21"/>
              </w:rPr>
              <w:t>外观与性状：</w:t>
            </w:r>
          </w:p>
        </w:tc>
        <w:tc>
          <w:tcPr>
            <w:tcW w:w="6894" w:type="dxa"/>
            <w:noWrap w:val="0"/>
            <w:vAlign w:val="center"/>
          </w:tcPr>
          <w:p w14:paraId="1E181EC3">
            <w:pPr>
              <w:spacing w:line="260" w:lineRule="exact"/>
              <w:rPr>
                <w:rFonts w:hint="eastAsia"/>
                <w:b w:val="0"/>
                <w:bCs w:val="0"/>
                <w:color w:val="auto"/>
                <w:sz w:val="21"/>
                <w:szCs w:val="21"/>
              </w:rPr>
            </w:pPr>
            <w:r>
              <w:rPr>
                <w:b w:val="0"/>
                <w:bCs w:val="0"/>
                <w:color w:val="auto"/>
                <w:sz w:val="21"/>
                <w:szCs w:val="21"/>
              </w:rPr>
              <w:t>白色结晶粉末。</w:t>
            </w:r>
          </w:p>
        </w:tc>
      </w:tr>
      <w:tr w14:paraId="1D03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546" w:type="dxa"/>
            <w:vMerge w:val="continue"/>
            <w:noWrap w:val="0"/>
            <w:textDirection w:val="tbRlV"/>
            <w:vAlign w:val="center"/>
          </w:tcPr>
          <w:p w14:paraId="4124C209">
            <w:pPr>
              <w:spacing w:line="260" w:lineRule="exact"/>
              <w:ind w:left="113" w:right="113"/>
              <w:jc w:val="center"/>
              <w:rPr>
                <w:rFonts w:hint="eastAsia"/>
                <w:b w:val="0"/>
                <w:bCs w:val="0"/>
                <w:color w:val="auto"/>
                <w:sz w:val="21"/>
                <w:szCs w:val="21"/>
              </w:rPr>
            </w:pPr>
          </w:p>
        </w:tc>
        <w:tc>
          <w:tcPr>
            <w:tcW w:w="1821" w:type="dxa"/>
            <w:noWrap w:val="0"/>
            <w:vAlign w:val="center"/>
          </w:tcPr>
          <w:p w14:paraId="55BBC2EB">
            <w:pPr>
              <w:spacing w:line="260" w:lineRule="exact"/>
              <w:rPr>
                <w:rFonts w:hint="eastAsia"/>
                <w:b w:val="0"/>
                <w:bCs w:val="0"/>
                <w:color w:val="auto"/>
                <w:sz w:val="21"/>
                <w:szCs w:val="21"/>
              </w:rPr>
            </w:pPr>
            <w:r>
              <w:rPr>
                <w:rFonts w:hint="eastAsia"/>
                <w:b w:val="0"/>
                <w:bCs w:val="0"/>
                <w:color w:val="auto"/>
                <w:sz w:val="21"/>
                <w:szCs w:val="21"/>
              </w:rPr>
              <w:t>主要用途：</w:t>
            </w:r>
          </w:p>
        </w:tc>
        <w:tc>
          <w:tcPr>
            <w:tcW w:w="6894" w:type="dxa"/>
            <w:noWrap w:val="0"/>
            <w:vAlign w:val="center"/>
          </w:tcPr>
          <w:p w14:paraId="38F0A7C6">
            <w:pPr>
              <w:spacing w:line="260" w:lineRule="exact"/>
              <w:rPr>
                <w:rFonts w:hint="eastAsia"/>
                <w:b w:val="0"/>
                <w:bCs w:val="0"/>
                <w:color w:val="auto"/>
                <w:sz w:val="21"/>
                <w:szCs w:val="21"/>
              </w:rPr>
            </w:pPr>
            <w:r>
              <w:rPr>
                <w:b w:val="0"/>
                <w:bCs w:val="0"/>
                <w:color w:val="auto"/>
                <w:sz w:val="21"/>
                <w:szCs w:val="21"/>
              </w:rPr>
              <w:t>用作分析试剂。</w:t>
            </w:r>
          </w:p>
        </w:tc>
      </w:tr>
      <w:tr w14:paraId="0812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546" w:type="dxa"/>
            <w:vMerge w:val="continue"/>
            <w:noWrap w:val="0"/>
            <w:textDirection w:val="tbRlV"/>
            <w:vAlign w:val="center"/>
          </w:tcPr>
          <w:p w14:paraId="2FEA42B9">
            <w:pPr>
              <w:spacing w:line="260" w:lineRule="exact"/>
              <w:ind w:left="113" w:right="113"/>
              <w:jc w:val="center"/>
              <w:rPr>
                <w:rFonts w:hint="eastAsia"/>
                <w:b w:val="0"/>
                <w:bCs w:val="0"/>
                <w:color w:val="auto"/>
                <w:sz w:val="21"/>
                <w:szCs w:val="21"/>
              </w:rPr>
            </w:pPr>
          </w:p>
        </w:tc>
        <w:tc>
          <w:tcPr>
            <w:tcW w:w="1821" w:type="dxa"/>
            <w:noWrap w:val="0"/>
            <w:vAlign w:val="center"/>
          </w:tcPr>
          <w:p w14:paraId="51EB14C8">
            <w:pPr>
              <w:spacing w:line="260" w:lineRule="exact"/>
              <w:rPr>
                <w:rFonts w:hint="eastAsia"/>
                <w:b w:val="0"/>
                <w:bCs w:val="0"/>
                <w:color w:val="auto"/>
                <w:sz w:val="21"/>
                <w:szCs w:val="21"/>
              </w:rPr>
            </w:pPr>
            <w:r>
              <w:rPr>
                <w:rFonts w:hint="eastAsia"/>
                <w:b w:val="0"/>
                <w:bCs w:val="0"/>
                <w:color w:val="auto"/>
                <w:sz w:val="21"/>
                <w:szCs w:val="21"/>
              </w:rPr>
              <w:t>熔点(℃)：</w:t>
            </w:r>
          </w:p>
        </w:tc>
        <w:tc>
          <w:tcPr>
            <w:tcW w:w="6894" w:type="dxa"/>
            <w:noWrap w:val="0"/>
            <w:vAlign w:val="center"/>
          </w:tcPr>
          <w:p w14:paraId="069A655B">
            <w:pPr>
              <w:spacing w:line="260" w:lineRule="exact"/>
              <w:rPr>
                <w:rFonts w:hint="eastAsia"/>
                <w:b w:val="0"/>
                <w:bCs w:val="0"/>
                <w:color w:val="auto"/>
                <w:sz w:val="21"/>
                <w:szCs w:val="21"/>
              </w:rPr>
            </w:pPr>
            <w:r>
              <w:rPr>
                <w:b w:val="0"/>
                <w:bCs w:val="0"/>
                <w:color w:val="auto"/>
                <w:sz w:val="21"/>
                <w:szCs w:val="21"/>
              </w:rPr>
              <w:t>872</w:t>
            </w:r>
            <w:r>
              <w:rPr>
                <w:rFonts w:hint="eastAsia"/>
                <w:b w:val="0"/>
                <w:bCs w:val="0"/>
                <w:color w:val="auto"/>
                <w:sz w:val="21"/>
                <w:szCs w:val="21"/>
              </w:rPr>
              <w:t xml:space="preserve">                      </w:t>
            </w:r>
            <w:r>
              <w:rPr>
                <w:b w:val="0"/>
                <w:bCs w:val="0"/>
                <w:color w:val="auto"/>
                <w:sz w:val="21"/>
                <w:szCs w:val="21"/>
              </w:rPr>
              <w:t>沸点：1497</w:t>
            </w:r>
          </w:p>
        </w:tc>
      </w:tr>
      <w:tr w14:paraId="23E0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46" w:type="dxa"/>
            <w:vMerge w:val="continue"/>
            <w:noWrap w:val="0"/>
            <w:textDirection w:val="tbRlV"/>
            <w:vAlign w:val="center"/>
          </w:tcPr>
          <w:p w14:paraId="5AFE2552">
            <w:pPr>
              <w:spacing w:line="260" w:lineRule="exact"/>
              <w:ind w:left="113" w:right="113"/>
              <w:jc w:val="center"/>
              <w:rPr>
                <w:rFonts w:hint="eastAsia"/>
                <w:b w:val="0"/>
                <w:bCs w:val="0"/>
                <w:color w:val="auto"/>
                <w:sz w:val="21"/>
                <w:szCs w:val="21"/>
              </w:rPr>
            </w:pPr>
          </w:p>
        </w:tc>
        <w:tc>
          <w:tcPr>
            <w:tcW w:w="1821" w:type="dxa"/>
            <w:noWrap w:val="0"/>
            <w:vAlign w:val="center"/>
          </w:tcPr>
          <w:p w14:paraId="235634EF">
            <w:pPr>
              <w:spacing w:line="260" w:lineRule="exact"/>
              <w:rPr>
                <w:rFonts w:hint="eastAsia"/>
                <w:b w:val="0"/>
                <w:bCs w:val="0"/>
                <w:color w:val="auto"/>
                <w:sz w:val="21"/>
                <w:szCs w:val="21"/>
              </w:rPr>
            </w:pPr>
            <w:r>
              <w:rPr>
                <w:rFonts w:ascii="宋体" w:hAnsi="宋体"/>
                <w:b w:val="0"/>
                <w:bCs w:val="0"/>
                <w:color w:val="auto"/>
                <w:sz w:val="21"/>
                <w:szCs w:val="21"/>
              </w:rPr>
              <w:t>相对密度(水=1)：</w:t>
            </w:r>
          </w:p>
        </w:tc>
        <w:tc>
          <w:tcPr>
            <w:tcW w:w="6894" w:type="dxa"/>
            <w:noWrap w:val="0"/>
            <w:vAlign w:val="center"/>
          </w:tcPr>
          <w:p w14:paraId="327A3F38">
            <w:pPr>
              <w:spacing w:line="260" w:lineRule="exact"/>
              <w:rPr>
                <w:rFonts w:hint="eastAsia"/>
                <w:b w:val="0"/>
                <w:bCs w:val="0"/>
                <w:color w:val="auto"/>
                <w:sz w:val="21"/>
                <w:szCs w:val="21"/>
              </w:rPr>
            </w:pPr>
            <w:r>
              <w:rPr>
                <w:b w:val="0"/>
                <w:bCs w:val="0"/>
                <w:color w:val="auto"/>
                <w:sz w:val="21"/>
                <w:szCs w:val="21"/>
              </w:rPr>
              <w:t>4</w:t>
            </w:r>
            <w:r>
              <w:rPr>
                <w:rFonts w:hint="eastAsia"/>
                <w:b w:val="0"/>
                <w:bCs w:val="0"/>
                <w:color w:val="auto"/>
                <w:sz w:val="21"/>
                <w:szCs w:val="21"/>
              </w:rPr>
              <w:t>.</w:t>
            </w:r>
            <w:r>
              <w:rPr>
                <w:b w:val="0"/>
                <w:bCs w:val="0"/>
                <w:color w:val="auto"/>
                <w:sz w:val="21"/>
                <w:szCs w:val="21"/>
              </w:rPr>
              <w:t xml:space="preserve">84 </w:t>
            </w:r>
            <w:r>
              <w:rPr>
                <w:rFonts w:hint="eastAsia"/>
                <w:b w:val="0"/>
                <w:bCs w:val="0"/>
                <w:color w:val="auto"/>
                <w:sz w:val="21"/>
                <w:szCs w:val="21"/>
              </w:rPr>
              <w:t xml:space="preserve">                   </w:t>
            </w:r>
            <w:r>
              <w:rPr>
                <w:b w:val="0"/>
                <w:bCs w:val="0"/>
                <w:color w:val="auto"/>
                <w:sz w:val="21"/>
                <w:szCs w:val="21"/>
              </w:rPr>
              <w:t>相对密度(空气=1): 无资料</w:t>
            </w:r>
          </w:p>
        </w:tc>
      </w:tr>
      <w:tr w14:paraId="790F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546" w:type="dxa"/>
            <w:vMerge w:val="continue"/>
            <w:noWrap w:val="0"/>
            <w:textDirection w:val="tbRlV"/>
            <w:vAlign w:val="center"/>
          </w:tcPr>
          <w:p w14:paraId="5BA43F8C">
            <w:pPr>
              <w:spacing w:line="260" w:lineRule="exact"/>
              <w:ind w:left="113" w:right="113"/>
              <w:jc w:val="center"/>
              <w:rPr>
                <w:rFonts w:hint="eastAsia"/>
                <w:b w:val="0"/>
                <w:bCs w:val="0"/>
                <w:color w:val="auto"/>
                <w:sz w:val="21"/>
                <w:szCs w:val="21"/>
              </w:rPr>
            </w:pPr>
          </w:p>
        </w:tc>
        <w:tc>
          <w:tcPr>
            <w:tcW w:w="1821" w:type="dxa"/>
            <w:noWrap w:val="0"/>
            <w:vAlign w:val="center"/>
          </w:tcPr>
          <w:p w14:paraId="5A87CF4D">
            <w:pPr>
              <w:spacing w:line="260" w:lineRule="exact"/>
              <w:rPr>
                <w:rFonts w:ascii="宋体" w:hAnsi="宋体"/>
                <w:b w:val="0"/>
                <w:bCs w:val="0"/>
                <w:color w:val="auto"/>
                <w:sz w:val="21"/>
                <w:szCs w:val="21"/>
              </w:rPr>
            </w:pPr>
            <w:r>
              <w:rPr>
                <w:b w:val="0"/>
                <w:bCs w:val="0"/>
                <w:color w:val="auto"/>
                <w:sz w:val="21"/>
                <w:szCs w:val="21"/>
              </w:rPr>
              <w:t>饱和蒸汽压(kPa)：</w:t>
            </w:r>
          </w:p>
        </w:tc>
        <w:tc>
          <w:tcPr>
            <w:tcW w:w="6894" w:type="dxa"/>
            <w:noWrap w:val="0"/>
            <w:vAlign w:val="center"/>
          </w:tcPr>
          <w:p w14:paraId="26F5F99F">
            <w:pPr>
              <w:spacing w:line="260" w:lineRule="exact"/>
              <w:rPr>
                <w:b w:val="0"/>
                <w:bCs w:val="0"/>
                <w:color w:val="auto"/>
                <w:sz w:val="21"/>
                <w:szCs w:val="21"/>
              </w:rPr>
            </w:pPr>
            <w:r>
              <w:rPr>
                <w:b w:val="0"/>
                <w:bCs w:val="0"/>
                <w:color w:val="auto"/>
                <w:sz w:val="21"/>
                <w:szCs w:val="21"/>
              </w:rPr>
              <w:t>0</w:t>
            </w:r>
            <w:r>
              <w:rPr>
                <w:rFonts w:hint="eastAsia"/>
                <w:b w:val="0"/>
                <w:bCs w:val="0"/>
                <w:color w:val="auto"/>
                <w:sz w:val="21"/>
                <w:szCs w:val="21"/>
              </w:rPr>
              <w:t>.</w:t>
            </w:r>
            <w:r>
              <w:rPr>
                <w:b w:val="0"/>
                <w:bCs w:val="0"/>
                <w:color w:val="auto"/>
                <w:sz w:val="21"/>
                <w:szCs w:val="21"/>
              </w:rPr>
              <w:t>13</w:t>
            </w:r>
            <w:r>
              <w:rPr>
                <w:rFonts w:hint="eastAsia"/>
                <w:b w:val="0"/>
                <w:bCs w:val="0"/>
                <w:color w:val="auto"/>
                <w:sz w:val="21"/>
                <w:szCs w:val="21"/>
              </w:rPr>
              <w:t>/</w:t>
            </w:r>
            <w:r>
              <w:rPr>
                <w:b w:val="0"/>
                <w:bCs w:val="0"/>
                <w:color w:val="auto"/>
                <w:sz w:val="21"/>
                <w:szCs w:val="21"/>
              </w:rPr>
              <w:t>970℃</w:t>
            </w:r>
          </w:p>
        </w:tc>
      </w:tr>
      <w:tr w14:paraId="41AA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546" w:type="dxa"/>
            <w:vMerge w:val="continue"/>
            <w:noWrap w:val="0"/>
            <w:textDirection w:val="tbRlV"/>
            <w:vAlign w:val="center"/>
          </w:tcPr>
          <w:p w14:paraId="163A5478">
            <w:pPr>
              <w:spacing w:line="260" w:lineRule="exact"/>
              <w:ind w:left="113" w:right="113"/>
              <w:jc w:val="center"/>
              <w:rPr>
                <w:rFonts w:hint="eastAsia"/>
                <w:b w:val="0"/>
                <w:bCs w:val="0"/>
                <w:color w:val="auto"/>
                <w:sz w:val="21"/>
                <w:szCs w:val="21"/>
              </w:rPr>
            </w:pPr>
          </w:p>
        </w:tc>
        <w:tc>
          <w:tcPr>
            <w:tcW w:w="1821" w:type="dxa"/>
            <w:noWrap w:val="0"/>
            <w:vAlign w:val="center"/>
          </w:tcPr>
          <w:p w14:paraId="22F64BDB">
            <w:pPr>
              <w:spacing w:line="260" w:lineRule="exact"/>
              <w:rPr>
                <w:rFonts w:hint="eastAsia"/>
                <w:b w:val="0"/>
                <w:bCs w:val="0"/>
                <w:color w:val="auto"/>
                <w:sz w:val="21"/>
                <w:szCs w:val="21"/>
              </w:rPr>
            </w:pPr>
            <w:r>
              <w:rPr>
                <w:rFonts w:ascii="宋体" w:hAnsi="宋体"/>
                <w:b w:val="0"/>
                <w:bCs w:val="0"/>
                <w:color w:val="auto"/>
                <w:sz w:val="21"/>
                <w:szCs w:val="21"/>
              </w:rPr>
              <w:t>溶解性：</w:t>
            </w:r>
          </w:p>
        </w:tc>
        <w:tc>
          <w:tcPr>
            <w:tcW w:w="6894" w:type="dxa"/>
            <w:noWrap w:val="0"/>
            <w:vAlign w:val="center"/>
          </w:tcPr>
          <w:p w14:paraId="58E109CD">
            <w:pPr>
              <w:spacing w:line="260" w:lineRule="exact"/>
              <w:rPr>
                <w:rFonts w:hint="eastAsia"/>
                <w:b w:val="0"/>
                <w:bCs w:val="0"/>
                <w:color w:val="auto"/>
                <w:sz w:val="21"/>
                <w:szCs w:val="21"/>
              </w:rPr>
            </w:pPr>
            <w:r>
              <w:rPr>
                <w:b w:val="0"/>
                <w:bCs w:val="0"/>
                <w:color w:val="auto"/>
                <w:sz w:val="21"/>
                <w:szCs w:val="21"/>
              </w:rPr>
              <w:t>微溶于冷水，溶于热水、热酸，不溶于醇。</w:t>
            </w:r>
          </w:p>
        </w:tc>
      </w:tr>
      <w:tr w14:paraId="6530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546" w:type="dxa"/>
            <w:vMerge w:val="continue"/>
            <w:noWrap w:val="0"/>
            <w:textDirection w:val="tbRlV"/>
            <w:vAlign w:val="center"/>
          </w:tcPr>
          <w:p w14:paraId="0D1DE88C">
            <w:pPr>
              <w:spacing w:line="260" w:lineRule="exact"/>
              <w:ind w:left="113" w:right="113"/>
              <w:jc w:val="center"/>
              <w:rPr>
                <w:rFonts w:hint="eastAsia"/>
                <w:b w:val="0"/>
                <w:bCs w:val="0"/>
                <w:color w:val="auto"/>
                <w:sz w:val="21"/>
                <w:szCs w:val="21"/>
              </w:rPr>
            </w:pPr>
          </w:p>
        </w:tc>
        <w:tc>
          <w:tcPr>
            <w:tcW w:w="1821" w:type="dxa"/>
            <w:noWrap w:val="0"/>
            <w:vAlign w:val="center"/>
          </w:tcPr>
          <w:p w14:paraId="56F955A5">
            <w:pPr>
              <w:spacing w:line="260" w:lineRule="exact"/>
              <w:rPr>
                <w:rFonts w:ascii="宋体" w:hAnsi="宋体"/>
                <w:b w:val="0"/>
                <w:bCs w:val="0"/>
                <w:color w:val="auto"/>
                <w:sz w:val="21"/>
                <w:szCs w:val="21"/>
              </w:rPr>
            </w:pPr>
            <w:r>
              <w:rPr>
                <w:b w:val="0"/>
                <w:bCs w:val="0"/>
                <w:color w:val="auto"/>
                <w:sz w:val="21"/>
                <w:szCs w:val="21"/>
              </w:rPr>
              <w:t>燃烧热(kj/mol)：</w:t>
            </w:r>
          </w:p>
        </w:tc>
        <w:tc>
          <w:tcPr>
            <w:tcW w:w="6894" w:type="dxa"/>
            <w:noWrap w:val="0"/>
            <w:vAlign w:val="center"/>
          </w:tcPr>
          <w:p w14:paraId="27EB1922">
            <w:pPr>
              <w:spacing w:line="260" w:lineRule="exact"/>
              <w:rPr>
                <w:rFonts w:hint="eastAsia"/>
                <w:b w:val="0"/>
                <w:bCs w:val="0"/>
                <w:color w:val="auto"/>
                <w:sz w:val="21"/>
                <w:szCs w:val="21"/>
              </w:rPr>
            </w:pPr>
            <w:r>
              <w:rPr>
                <w:b w:val="0"/>
                <w:bCs w:val="0"/>
                <w:color w:val="auto"/>
                <w:sz w:val="21"/>
                <w:szCs w:val="21"/>
              </w:rPr>
              <w:t xml:space="preserve">无意义 </w:t>
            </w:r>
          </w:p>
        </w:tc>
      </w:tr>
      <w:tr w14:paraId="35F4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46" w:type="dxa"/>
            <w:vMerge w:val="restart"/>
            <w:noWrap w:val="0"/>
            <w:textDirection w:val="tbRlV"/>
            <w:vAlign w:val="center"/>
          </w:tcPr>
          <w:p w14:paraId="7482A9BF">
            <w:pPr>
              <w:spacing w:line="260" w:lineRule="exact"/>
              <w:ind w:left="113" w:right="113"/>
              <w:jc w:val="center"/>
              <w:rPr>
                <w:rFonts w:hint="eastAsia"/>
                <w:b w:val="0"/>
                <w:bCs w:val="0"/>
                <w:color w:val="auto"/>
                <w:sz w:val="21"/>
                <w:szCs w:val="21"/>
              </w:rPr>
            </w:pPr>
            <w:r>
              <w:rPr>
                <w:rFonts w:hint="eastAsia"/>
                <w:b w:val="0"/>
                <w:bCs w:val="0"/>
                <w:color w:val="auto"/>
                <w:sz w:val="21"/>
                <w:szCs w:val="21"/>
              </w:rPr>
              <w:t>燃烧爆炸危险性</w:t>
            </w:r>
          </w:p>
        </w:tc>
        <w:tc>
          <w:tcPr>
            <w:tcW w:w="1821" w:type="dxa"/>
            <w:noWrap w:val="0"/>
            <w:vAlign w:val="center"/>
          </w:tcPr>
          <w:p w14:paraId="7D536DF9">
            <w:pPr>
              <w:spacing w:line="260" w:lineRule="exact"/>
              <w:rPr>
                <w:rFonts w:hint="eastAsia"/>
                <w:b w:val="0"/>
                <w:bCs w:val="0"/>
                <w:color w:val="auto"/>
                <w:sz w:val="21"/>
                <w:szCs w:val="21"/>
              </w:rPr>
            </w:pPr>
            <w:r>
              <w:rPr>
                <w:rFonts w:hint="eastAsia"/>
                <w:b w:val="0"/>
                <w:bCs w:val="0"/>
                <w:color w:val="auto"/>
                <w:sz w:val="21"/>
                <w:szCs w:val="21"/>
              </w:rPr>
              <w:t>燃烧性：</w:t>
            </w:r>
          </w:p>
        </w:tc>
        <w:tc>
          <w:tcPr>
            <w:tcW w:w="6894" w:type="dxa"/>
            <w:noWrap w:val="0"/>
            <w:vAlign w:val="center"/>
          </w:tcPr>
          <w:p w14:paraId="05586133">
            <w:pPr>
              <w:spacing w:line="260" w:lineRule="exact"/>
              <w:rPr>
                <w:rFonts w:hint="eastAsia"/>
                <w:b w:val="0"/>
                <w:bCs w:val="0"/>
                <w:color w:val="auto"/>
                <w:sz w:val="21"/>
                <w:szCs w:val="21"/>
              </w:rPr>
            </w:pPr>
            <w:r>
              <w:rPr>
                <w:b w:val="0"/>
                <w:bCs w:val="0"/>
                <w:color w:val="auto"/>
                <w:sz w:val="21"/>
                <w:szCs w:val="21"/>
              </w:rPr>
              <w:t xml:space="preserve">不燃 </w:t>
            </w:r>
          </w:p>
        </w:tc>
      </w:tr>
      <w:tr w14:paraId="6BD5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546" w:type="dxa"/>
            <w:vMerge w:val="continue"/>
            <w:noWrap w:val="0"/>
            <w:textDirection w:val="tbRlV"/>
            <w:vAlign w:val="center"/>
          </w:tcPr>
          <w:p w14:paraId="7103DABF">
            <w:pPr>
              <w:spacing w:line="260" w:lineRule="exact"/>
              <w:ind w:left="113" w:right="113"/>
              <w:jc w:val="center"/>
              <w:rPr>
                <w:rFonts w:hint="eastAsia"/>
                <w:b w:val="0"/>
                <w:bCs w:val="0"/>
                <w:color w:val="auto"/>
                <w:sz w:val="21"/>
                <w:szCs w:val="21"/>
              </w:rPr>
            </w:pPr>
          </w:p>
        </w:tc>
        <w:tc>
          <w:tcPr>
            <w:tcW w:w="1821" w:type="dxa"/>
            <w:noWrap w:val="0"/>
            <w:vAlign w:val="center"/>
          </w:tcPr>
          <w:p w14:paraId="41D6BA3D">
            <w:pPr>
              <w:spacing w:line="260" w:lineRule="exact"/>
              <w:rPr>
                <w:rFonts w:hint="eastAsia"/>
                <w:b w:val="0"/>
                <w:bCs w:val="0"/>
                <w:color w:val="auto"/>
                <w:sz w:val="21"/>
                <w:szCs w:val="21"/>
              </w:rPr>
            </w:pPr>
            <w:r>
              <w:rPr>
                <w:b w:val="0"/>
                <w:bCs w:val="0"/>
                <w:color w:val="auto"/>
                <w:sz w:val="21"/>
                <w:szCs w:val="21"/>
              </w:rPr>
              <w:t>闪点(℃)：</w:t>
            </w:r>
          </w:p>
        </w:tc>
        <w:tc>
          <w:tcPr>
            <w:tcW w:w="6894" w:type="dxa"/>
            <w:noWrap w:val="0"/>
            <w:vAlign w:val="center"/>
          </w:tcPr>
          <w:p w14:paraId="5805D5E1">
            <w:pPr>
              <w:spacing w:line="260" w:lineRule="exact"/>
              <w:rPr>
                <w:b w:val="0"/>
                <w:bCs w:val="0"/>
                <w:color w:val="auto"/>
                <w:sz w:val="21"/>
                <w:szCs w:val="21"/>
              </w:rPr>
            </w:pPr>
            <w:r>
              <w:rPr>
                <w:b w:val="0"/>
                <w:bCs w:val="0"/>
                <w:color w:val="auto"/>
                <w:sz w:val="21"/>
                <w:szCs w:val="21"/>
              </w:rPr>
              <w:t xml:space="preserve">无意义 </w:t>
            </w:r>
            <w:r>
              <w:rPr>
                <w:rFonts w:hint="eastAsia"/>
                <w:b w:val="0"/>
                <w:bCs w:val="0"/>
                <w:color w:val="auto"/>
                <w:sz w:val="21"/>
                <w:szCs w:val="21"/>
              </w:rPr>
              <w:t xml:space="preserve">              </w:t>
            </w:r>
            <w:r>
              <w:rPr>
                <w:b w:val="0"/>
                <w:bCs w:val="0"/>
                <w:color w:val="auto"/>
                <w:sz w:val="21"/>
                <w:szCs w:val="21"/>
              </w:rPr>
              <w:t>自燃温度(℃)：无意义</w:t>
            </w:r>
          </w:p>
        </w:tc>
      </w:tr>
      <w:tr w14:paraId="4251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546" w:type="dxa"/>
            <w:vMerge w:val="continue"/>
            <w:noWrap w:val="0"/>
            <w:textDirection w:val="tbRlV"/>
            <w:vAlign w:val="center"/>
          </w:tcPr>
          <w:p w14:paraId="5EB35CE0">
            <w:pPr>
              <w:spacing w:line="260" w:lineRule="exact"/>
              <w:ind w:left="113" w:right="113"/>
              <w:jc w:val="center"/>
              <w:rPr>
                <w:rFonts w:hint="eastAsia"/>
                <w:b w:val="0"/>
                <w:bCs w:val="0"/>
                <w:color w:val="auto"/>
                <w:sz w:val="21"/>
                <w:szCs w:val="21"/>
              </w:rPr>
            </w:pPr>
          </w:p>
        </w:tc>
        <w:tc>
          <w:tcPr>
            <w:tcW w:w="1821" w:type="dxa"/>
            <w:noWrap w:val="0"/>
            <w:vAlign w:val="center"/>
          </w:tcPr>
          <w:p w14:paraId="4E856182">
            <w:pPr>
              <w:spacing w:line="260" w:lineRule="exact"/>
              <w:rPr>
                <w:b w:val="0"/>
                <w:bCs w:val="0"/>
                <w:color w:val="auto"/>
                <w:sz w:val="21"/>
                <w:szCs w:val="21"/>
              </w:rPr>
            </w:pPr>
            <w:r>
              <w:rPr>
                <w:b w:val="0"/>
                <w:bCs w:val="0"/>
                <w:color w:val="auto"/>
                <w:sz w:val="21"/>
                <w:szCs w:val="21"/>
              </w:rPr>
              <w:t>爆炸下限(V%)：</w:t>
            </w:r>
          </w:p>
        </w:tc>
        <w:tc>
          <w:tcPr>
            <w:tcW w:w="6894" w:type="dxa"/>
            <w:noWrap w:val="0"/>
            <w:vAlign w:val="center"/>
          </w:tcPr>
          <w:p w14:paraId="2B5AAAA0">
            <w:pPr>
              <w:spacing w:line="260" w:lineRule="exact"/>
              <w:rPr>
                <w:b w:val="0"/>
                <w:bCs w:val="0"/>
                <w:color w:val="auto"/>
                <w:sz w:val="21"/>
                <w:szCs w:val="21"/>
              </w:rPr>
            </w:pPr>
            <w:r>
              <w:rPr>
                <w:b w:val="0"/>
                <w:bCs w:val="0"/>
                <w:color w:val="auto"/>
                <w:sz w:val="21"/>
                <w:szCs w:val="21"/>
              </w:rPr>
              <w:t xml:space="preserve">无意义 </w:t>
            </w:r>
            <w:r>
              <w:rPr>
                <w:rFonts w:hint="eastAsia"/>
                <w:b w:val="0"/>
                <w:bCs w:val="0"/>
                <w:color w:val="auto"/>
                <w:sz w:val="21"/>
                <w:szCs w:val="21"/>
              </w:rPr>
              <w:t xml:space="preserve">            </w:t>
            </w:r>
            <w:r>
              <w:rPr>
                <w:b w:val="0"/>
                <w:bCs w:val="0"/>
                <w:color w:val="auto"/>
                <w:sz w:val="21"/>
                <w:szCs w:val="21"/>
              </w:rPr>
              <w:t xml:space="preserve">爆炸上限(V%)：无意义 </w:t>
            </w:r>
          </w:p>
        </w:tc>
      </w:tr>
      <w:tr w14:paraId="6FB0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46" w:type="dxa"/>
            <w:vMerge w:val="continue"/>
            <w:noWrap w:val="0"/>
            <w:textDirection w:val="tbRlV"/>
            <w:vAlign w:val="center"/>
          </w:tcPr>
          <w:p w14:paraId="79EAE752">
            <w:pPr>
              <w:spacing w:line="260" w:lineRule="exact"/>
              <w:ind w:left="113" w:right="113"/>
              <w:jc w:val="center"/>
              <w:rPr>
                <w:rFonts w:hint="eastAsia"/>
                <w:b w:val="0"/>
                <w:bCs w:val="0"/>
                <w:color w:val="auto"/>
                <w:sz w:val="21"/>
                <w:szCs w:val="21"/>
              </w:rPr>
            </w:pPr>
          </w:p>
        </w:tc>
        <w:tc>
          <w:tcPr>
            <w:tcW w:w="1821" w:type="dxa"/>
            <w:noWrap w:val="0"/>
            <w:vAlign w:val="center"/>
          </w:tcPr>
          <w:p w14:paraId="13FB47F7">
            <w:pPr>
              <w:spacing w:line="260" w:lineRule="exact"/>
              <w:rPr>
                <w:rFonts w:hint="eastAsia"/>
                <w:b w:val="0"/>
                <w:bCs w:val="0"/>
                <w:color w:val="auto"/>
                <w:sz w:val="21"/>
                <w:szCs w:val="21"/>
              </w:rPr>
            </w:pPr>
            <w:r>
              <w:rPr>
                <w:rFonts w:hint="eastAsia"/>
                <w:b w:val="0"/>
                <w:bCs w:val="0"/>
                <w:color w:val="auto"/>
                <w:sz w:val="21"/>
                <w:szCs w:val="21"/>
              </w:rPr>
              <w:t>危险特性：</w:t>
            </w:r>
          </w:p>
        </w:tc>
        <w:tc>
          <w:tcPr>
            <w:tcW w:w="6894" w:type="dxa"/>
            <w:noWrap w:val="0"/>
            <w:vAlign w:val="center"/>
          </w:tcPr>
          <w:p w14:paraId="5AA431A5">
            <w:pPr>
              <w:spacing w:line="260" w:lineRule="exact"/>
              <w:rPr>
                <w:rFonts w:hint="eastAsia"/>
                <w:b w:val="0"/>
                <w:bCs w:val="0"/>
                <w:color w:val="auto"/>
                <w:sz w:val="21"/>
                <w:szCs w:val="21"/>
              </w:rPr>
            </w:pPr>
            <w:r>
              <w:rPr>
                <w:b w:val="0"/>
                <w:bCs w:val="0"/>
                <w:color w:val="auto"/>
                <w:sz w:val="21"/>
                <w:szCs w:val="21"/>
              </w:rPr>
              <w:t xml:space="preserve">未有特殊的燃烧爆炸特性。 </w:t>
            </w:r>
          </w:p>
        </w:tc>
      </w:tr>
      <w:tr w14:paraId="52C1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546" w:type="dxa"/>
            <w:vMerge w:val="continue"/>
            <w:noWrap w:val="0"/>
            <w:textDirection w:val="tbRlV"/>
            <w:vAlign w:val="center"/>
          </w:tcPr>
          <w:p w14:paraId="42D2263F">
            <w:pPr>
              <w:spacing w:line="260" w:lineRule="exact"/>
              <w:ind w:left="113" w:right="113"/>
              <w:jc w:val="center"/>
              <w:rPr>
                <w:rFonts w:hint="eastAsia"/>
                <w:b w:val="0"/>
                <w:bCs w:val="0"/>
                <w:color w:val="auto"/>
                <w:sz w:val="21"/>
                <w:szCs w:val="21"/>
              </w:rPr>
            </w:pPr>
          </w:p>
        </w:tc>
        <w:tc>
          <w:tcPr>
            <w:tcW w:w="1821" w:type="dxa"/>
            <w:noWrap w:val="0"/>
            <w:vAlign w:val="center"/>
          </w:tcPr>
          <w:p w14:paraId="7AF90B85">
            <w:pPr>
              <w:spacing w:line="260" w:lineRule="exact"/>
              <w:rPr>
                <w:rFonts w:hint="eastAsia"/>
                <w:b w:val="0"/>
                <w:bCs w:val="0"/>
                <w:color w:val="auto"/>
                <w:sz w:val="21"/>
                <w:szCs w:val="21"/>
              </w:rPr>
            </w:pPr>
            <w:r>
              <w:rPr>
                <w:rFonts w:hint="eastAsia"/>
                <w:b w:val="0"/>
                <w:bCs w:val="0"/>
                <w:color w:val="auto"/>
                <w:sz w:val="21"/>
                <w:szCs w:val="21"/>
              </w:rPr>
              <w:t>燃烧(分解)产物：</w:t>
            </w:r>
          </w:p>
        </w:tc>
        <w:tc>
          <w:tcPr>
            <w:tcW w:w="6894" w:type="dxa"/>
            <w:noWrap w:val="0"/>
            <w:vAlign w:val="center"/>
          </w:tcPr>
          <w:p w14:paraId="321D8107">
            <w:pPr>
              <w:spacing w:line="260" w:lineRule="exact"/>
              <w:rPr>
                <w:rFonts w:hint="eastAsia"/>
                <w:b w:val="0"/>
                <w:bCs w:val="0"/>
                <w:color w:val="auto"/>
                <w:sz w:val="21"/>
                <w:szCs w:val="21"/>
              </w:rPr>
            </w:pPr>
            <w:r>
              <w:rPr>
                <w:b w:val="0"/>
                <w:bCs w:val="0"/>
                <w:color w:val="auto"/>
                <w:sz w:val="21"/>
                <w:szCs w:val="21"/>
              </w:rPr>
              <w:t xml:space="preserve">氟化氢。 </w:t>
            </w:r>
            <w:r>
              <w:rPr>
                <w:rFonts w:hint="eastAsia"/>
                <w:b w:val="0"/>
                <w:bCs w:val="0"/>
                <w:color w:val="auto"/>
                <w:sz w:val="21"/>
                <w:szCs w:val="21"/>
              </w:rPr>
              <w:t xml:space="preserve">             </w:t>
            </w:r>
            <w:r>
              <w:rPr>
                <w:b w:val="0"/>
                <w:bCs w:val="0"/>
                <w:color w:val="auto"/>
                <w:sz w:val="21"/>
                <w:szCs w:val="21"/>
              </w:rPr>
              <w:t> 稳定性稳定：</w:t>
            </w:r>
          </w:p>
        </w:tc>
      </w:tr>
      <w:tr w14:paraId="4805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546" w:type="dxa"/>
            <w:vMerge w:val="continue"/>
            <w:noWrap w:val="0"/>
            <w:textDirection w:val="tbRlV"/>
            <w:vAlign w:val="center"/>
          </w:tcPr>
          <w:p w14:paraId="5E324CCB">
            <w:pPr>
              <w:spacing w:line="260" w:lineRule="exact"/>
              <w:ind w:left="113" w:right="113"/>
              <w:jc w:val="center"/>
              <w:rPr>
                <w:rFonts w:hint="eastAsia"/>
                <w:b w:val="0"/>
                <w:bCs w:val="0"/>
                <w:color w:val="auto"/>
                <w:sz w:val="21"/>
                <w:szCs w:val="21"/>
              </w:rPr>
            </w:pPr>
          </w:p>
        </w:tc>
        <w:tc>
          <w:tcPr>
            <w:tcW w:w="1821" w:type="dxa"/>
            <w:noWrap w:val="0"/>
            <w:vAlign w:val="center"/>
          </w:tcPr>
          <w:p w14:paraId="22F15B69">
            <w:pPr>
              <w:spacing w:line="260" w:lineRule="exact"/>
              <w:rPr>
                <w:rFonts w:hint="eastAsia"/>
                <w:b w:val="0"/>
                <w:bCs w:val="0"/>
                <w:color w:val="auto"/>
                <w:sz w:val="21"/>
                <w:szCs w:val="21"/>
              </w:rPr>
            </w:pPr>
            <w:r>
              <w:rPr>
                <w:rFonts w:hint="eastAsia"/>
                <w:b w:val="0"/>
                <w:bCs w:val="0"/>
                <w:color w:val="auto"/>
                <w:sz w:val="21"/>
                <w:szCs w:val="21"/>
              </w:rPr>
              <w:t>聚合危害：</w:t>
            </w:r>
          </w:p>
        </w:tc>
        <w:tc>
          <w:tcPr>
            <w:tcW w:w="6894" w:type="dxa"/>
            <w:noWrap w:val="0"/>
            <w:vAlign w:val="center"/>
          </w:tcPr>
          <w:p w14:paraId="33C0DABD">
            <w:pPr>
              <w:spacing w:line="260" w:lineRule="exact"/>
              <w:rPr>
                <w:rFonts w:hint="eastAsia"/>
                <w:b w:val="0"/>
                <w:bCs w:val="0"/>
                <w:color w:val="auto"/>
                <w:sz w:val="21"/>
                <w:szCs w:val="21"/>
              </w:rPr>
            </w:pPr>
            <w:r>
              <w:rPr>
                <w:b w:val="0"/>
                <w:bCs w:val="0"/>
                <w:color w:val="auto"/>
                <w:sz w:val="21"/>
                <w:szCs w:val="21"/>
              </w:rPr>
              <w:t xml:space="preserve">不能出现 </w:t>
            </w:r>
            <w:r>
              <w:rPr>
                <w:rFonts w:hint="eastAsia"/>
                <w:b w:val="0"/>
                <w:bCs w:val="0"/>
                <w:color w:val="auto"/>
                <w:sz w:val="21"/>
                <w:szCs w:val="21"/>
              </w:rPr>
              <w:t xml:space="preserve">            </w:t>
            </w:r>
            <w:r>
              <w:rPr>
                <w:b w:val="0"/>
                <w:bCs w:val="0"/>
                <w:color w:val="auto"/>
                <w:sz w:val="21"/>
                <w:szCs w:val="21"/>
              </w:rPr>
              <w:t xml:space="preserve">禁忌物：强氧化剂。 </w:t>
            </w:r>
          </w:p>
        </w:tc>
      </w:tr>
      <w:tr w14:paraId="41B0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46" w:type="dxa"/>
            <w:vMerge w:val="continue"/>
            <w:noWrap w:val="0"/>
            <w:textDirection w:val="tbRlV"/>
            <w:vAlign w:val="center"/>
          </w:tcPr>
          <w:p w14:paraId="4072DB7B">
            <w:pPr>
              <w:spacing w:line="260" w:lineRule="exact"/>
              <w:ind w:left="113" w:right="113"/>
              <w:jc w:val="center"/>
              <w:rPr>
                <w:rFonts w:hint="eastAsia"/>
                <w:b w:val="0"/>
                <w:bCs w:val="0"/>
                <w:color w:val="auto"/>
                <w:sz w:val="21"/>
                <w:szCs w:val="21"/>
              </w:rPr>
            </w:pPr>
          </w:p>
        </w:tc>
        <w:tc>
          <w:tcPr>
            <w:tcW w:w="1821" w:type="dxa"/>
            <w:noWrap w:val="0"/>
            <w:vAlign w:val="center"/>
          </w:tcPr>
          <w:p w14:paraId="2F8D3BAE">
            <w:pPr>
              <w:spacing w:line="260" w:lineRule="exact"/>
              <w:rPr>
                <w:rFonts w:hint="eastAsia"/>
                <w:b w:val="0"/>
                <w:bCs w:val="0"/>
                <w:color w:val="auto"/>
                <w:sz w:val="21"/>
                <w:szCs w:val="21"/>
              </w:rPr>
            </w:pPr>
            <w:r>
              <w:rPr>
                <w:rFonts w:ascii="宋体" w:hAnsi="宋体"/>
                <w:b w:val="0"/>
                <w:bCs w:val="0"/>
                <w:color w:val="auto"/>
                <w:sz w:val="21"/>
                <w:szCs w:val="21"/>
              </w:rPr>
              <w:t>灭火方法：</w:t>
            </w:r>
          </w:p>
        </w:tc>
        <w:tc>
          <w:tcPr>
            <w:tcW w:w="6894" w:type="dxa"/>
            <w:noWrap w:val="0"/>
            <w:vAlign w:val="center"/>
          </w:tcPr>
          <w:p w14:paraId="45F17B63">
            <w:pPr>
              <w:spacing w:line="260" w:lineRule="exact"/>
              <w:rPr>
                <w:rFonts w:hint="eastAsia"/>
                <w:b w:val="0"/>
                <w:bCs w:val="0"/>
                <w:color w:val="auto"/>
                <w:sz w:val="21"/>
                <w:szCs w:val="21"/>
              </w:rPr>
            </w:pPr>
            <w:r>
              <w:rPr>
                <w:b w:val="0"/>
                <w:bCs w:val="0"/>
                <w:color w:val="auto"/>
                <w:sz w:val="21"/>
                <w:szCs w:val="21"/>
              </w:rPr>
              <w:t>不燃。火场周围可用的灭火介质。</w:t>
            </w:r>
          </w:p>
        </w:tc>
      </w:tr>
      <w:tr w14:paraId="7D0A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546" w:type="dxa"/>
            <w:vMerge w:val="restart"/>
            <w:noWrap w:val="0"/>
            <w:textDirection w:val="tbRlV"/>
            <w:vAlign w:val="center"/>
          </w:tcPr>
          <w:p w14:paraId="22C04492">
            <w:pPr>
              <w:spacing w:line="260" w:lineRule="exact"/>
              <w:ind w:left="113" w:right="113"/>
              <w:jc w:val="center"/>
              <w:rPr>
                <w:rFonts w:hint="eastAsia"/>
                <w:b w:val="0"/>
                <w:bCs w:val="0"/>
                <w:color w:val="auto"/>
                <w:sz w:val="21"/>
                <w:szCs w:val="21"/>
              </w:rPr>
            </w:pPr>
            <w:r>
              <w:rPr>
                <w:rFonts w:hint="eastAsia"/>
                <w:b w:val="0"/>
                <w:bCs w:val="0"/>
                <w:color w:val="auto"/>
                <w:sz w:val="21"/>
                <w:szCs w:val="21"/>
              </w:rPr>
              <w:t>包装与储运</w:t>
            </w:r>
          </w:p>
        </w:tc>
        <w:tc>
          <w:tcPr>
            <w:tcW w:w="1821" w:type="dxa"/>
            <w:noWrap w:val="0"/>
            <w:vAlign w:val="center"/>
          </w:tcPr>
          <w:p w14:paraId="10AF5F10">
            <w:pPr>
              <w:spacing w:line="260" w:lineRule="exact"/>
              <w:rPr>
                <w:rFonts w:hint="eastAsia"/>
                <w:b w:val="0"/>
                <w:bCs w:val="0"/>
                <w:color w:val="auto"/>
                <w:sz w:val="21"/>
                <w:szCs w:val="21"/>
              </w:rPr>
            </w:pPr>
            <w:r>
              <w:rPr>
                <w:rFonts w:hint="eastAsia"/>
                <w:b w:val="0"/>
                <w:bCs w:val="0"/>
                <w:color w:val="auto"/>
                <w:sz w:val="21"/>
                <w:szCs w:val="21"/>
              </w:rPr>
              <w:t>危险性类别：</w:t>
            </w:r>
          </w:p>
        </w:tc>
        <w:tc>
          <w:tcPr>
            <w:tcW w:w="6894" w:type="dxa"/>
            <w:noWrap w:val="0"/>
            <w:vAlign w:val="center"/>
          </w:tcPr>
          <w:p w14:paraId="059BAEAC">
            <w:pPr>
              <w:spacing w:line="260" w:lineRule="exact"/>
              <w:rPr>
                <w:rFonts w:hint="eastAsia"/>
                <w:b w:val="0"/>
                <w:bCs w:val="0"/>
                <w:color w:val="auto"/>
                <w:sz w:val="21"/>
                <w:szCs w:val="21"/>
              </w:rPr>
            </w:pPr>
            <w:r>
              <w:rPr>
                <w:b w:val="0"/>
                <w:bCs w:val="0"/>
                <w:color w:val="auto"/>
                <w:sz w:val="21"/>
                <w:szCs w:val="21"/>
              </w:rPr>
              <w:t>第6．1类</w:t>
            </w:r>
            <w:r>
              <w:rPr>
                <w:rFonts w:hint="eastAsia"/>
                <w:b w:val="0"/>
                <w:bCs w:val="0"/>
                <w:color w:val="auto"/>
                <w:sz w:val="21"/>
                <w:szCs w:val="21"/>
                <w:lang w:val="en-US" w:eastAsia="zh-CN"/>
              </w:rPr>
              <w:t xml:space="preserve">  </w:t>
            </w:r>
            <w:r>
              <w:rPr>
                <w:b w:val="0"/>
                <w:bCs w:val="0"/>
                <w:color w:val="auto"/>
                <w:sz w:val="21"/>
                <w:szCs w:val="21"/>
              </w:rPr>
              <w:t>毒害品</w:t>
            </w:r>
          </w:p>
        </w:tc>
      </w:tr>
      <w:tr w14:paraId="05A0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546" w:type="dxa"/>
            <w:vMerge w:val="continue"/>
            <w:noWrap w:val="0"/>
            <w:textDirection w:val="tbRlV"/>
            <w:vAlign w:val="center"/>
          </w:tcPr>
          <w:p w14:paraId="22CEB497">
            <w:pPr>
              <w:spacing w:line="260" w:lineRule="exact"/>
              <w:ind w:left="113" w:right="113"/>
              <w:jc w:val="center"/>
              <w:rPr>
                <w:rFonts w:hint="eastAsia"/>
                <w:b w:val="0"/>
                <w:bCs w:val="0"/>
                <w:color w:val="auto"/>
                <w:sz w:val="21"/>
                <w:szCs w:val="21"/>
              </w:rPr>
            </w:pPr>
          </w:p>
        </w:tc>
        <w:tc>
          <w:tcPr>
            <w:tcW w:w="1821" w:type="dxa"/>
            <w:noWrap w:val="0"/>
            <w:vAlign w:val="center"/>
          </w:tcPr>
          <w:p w14:paraId="2D8FA608">
            <w:pPr>
              <w:spacing w:line="260" w:lineRule="exact"/>
              <w:rPr>
                <w:rFonts w:hint="eastAsia"/>
                <w:b w:val="0"/>
                <w:bCs w:val="0"/>
                <w:color w:val="auto"/>
                <w:sz w:val="21"/>
                <w:szCs w:val="21"/>
              </w:rPr>
            </w:pPr>
            <w:r>
              <w:rPr>
                <w:b w:val="0"/>
                <w:bCs w:val="0"/>
                <w:color w:val="auto"/>
                <w:sz w:val="21"/>
                <w:szCs w:val="21"/>
              </w:rPr>
              <w:t>危险货物包装标志：</w:t>
            </w:r>
          </w:p>
        </w:tc>
        <w:tc>
          <w:tcPr>
            <w:tcW w:w="6894" w:type="dxa"/>
            <w:noWrap w:val="0"/>
            <w:vAlign w:val="center"/>
          </w:tcPr>
          <w:p w14:paraId="200D2A0B">
            <w:pPr>
              <w:spacing w:line="260" w:lineRule="exact"/>
              <w:rPr>
                <w:rFonts w:hint="eastAsia"/>
                <w:b w:val="0"/>
                <w:bCs w:val="0"/>
                <w:color w:val="auto"/>
                <w:sz w:val="21"/>
                <w:szCs w:val="21"/>
              </w:rPr>
            </w:pPr>
            <w:r>
              <w:rPr>
                <w:rFonts w:hint="eastAsia"/>
                <w:b w:val="0"/>
                <w:bCs w:val="0"/>
                <w:color w:val="auto"/>
                <w:sz w:val="21"/>
                <w:szCs w:val="21"/>
              </w:rPr>
              <w:t>11</w:t>
            </w:r>
            <w:r>
              <w:rPr>
                <w:b w:val="0"/>
                <w:bCs w:val="0"/>
                <w:color w:val="auto"/>
                <w:sz w:val="21"/>
                <w:szCs w:val="21"/>
              </w:rPr>
              <w:t xml:space="preserve"> </w:t>
            </w:r>
            <w:r>
              <w:rPr>
                <w:rFonts w:hint="eastAsia"/>
                <w:b w:val="0"/>
                <w:bCs w:val="0"/>
                <w:color w:val="auto"/>
                <w:sz w:val="21"/>
                <w:szCs w:val="21"/>
              </w:rPr>
              <w:t xml:space="preserve">                </w:t>
            </w:r>
            <w:r>
              <w:rPr>
                <w:b w:val="0"/>
                <w:bCs w:val="0"/>
                <w:color w:val="auto"/>
                <w:sz w:val="21"/>
                <w:szCs w:val="21"/>
              </w:rPr>
              <w:t>包装类别：Ⅲ</w:t>
            </w:r>
          </w:p>
        </w:tc>
      </w:tr>
      <w:tr w14:paraId="071F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546" w:type="dxa"/>
            <w:vMerge w:val="continue"/>
            <w:noWrap w:val="0"/>
            <w:textDirection w:val="tbRlV"/>
            <w:vAlign w:val="center"/>
          </w:tcPr>
          <w:p w14:paraId="0AC175B8">
            <w:pPr>
              <w:spacing w:line="260" w:lineRule="exact"/>
              <w:ind w:left="113" w:right="113"/>
              <w:jc w:val="center"/>
              <w:rPr>
                <w:rFonts w:hint="eastAsia"/>
                <w:b w:val="0"/>
                <w:bCs w:val="0"/>
                <w:color w:val="auto"/>
                <w:sz w:val="21"/>
                <w:szCs w:val="21"/>
              </w:rPr>
            </w:pPr>
          </w:p>
        </w:tc>
        <w:tc>
          <w:tcPr>
            <w:tcW w:w="1821" w:type="dxa"/>
            <w:noWrap w:val="0"/>
            <w:vAlign w:val="center"/>
          </w:tcPr>
          <w:p w14:paraId="7A451DC4">
            <w:pPr>
              <w:spacing w:line="260" w:lineRule="exact"/>
              <w:rPr>
                <w:rFonts w:hint="eastAsia"/>
                <w:b w:val="0"/>
                <w:bCs w:val="0"/>
                <w:color w:val="auto"/>
                <w:sz w:val="21"/>
                <w:szCs w:val="21"/>
              </w:rPr>
            </w:pPr>
            <w:r>
              <w:rPr>
                <w:rFonts w:hint="eastAsia"/>
                <w:b w:val="0"/>
                <w:bCs w:val="0"/>
                <w:color w:val="auto"/>
                <w:sz w:val="21"/>
                <w:szCs w:val="21"/>
              </w:rPr>
              <w:t>储运注意事项：</w:t>
            </w:r>
          </w:p>
        </w:tc>
        <w:tc>
          <w:tcPr>
            <w:tcW w:w="6894" w:type="dxa"/>
            <w:noWrap w:val="0"/>
            <w:vAlign w:val="center"/>
          </w:tcPr>
          <w:p w14:paraId="3EA8C74E">
            <w:pPr>
              <w:spacing w:line="260" w:lineRule="exact"/>
              <w:rPr>
                <w:rFonts w:hint="eastAsia"/>
                <w:b w:val="0"/>
                <w:bCs w:val="0"/>
                <w:color w:val="auto"/>
                <w:sz w:val="21"/>
                <w:szCs w:val="21"/>
              </w:rPr>
            </w:pPr>
            <w:r>
              <w:rPr>
                <w:b w:val="0"/>
                <w:bCs w:val="0"/>
                <w:color w:val="auto"/>
                <w:sz w:val="21"/>
                <w:szCs w:val="21"/>
              </w:rPr>
              <w:t>储存于阴凉、通风仓间内。保持容器密封。应与氧化剂、酸类、食用化工原料分开存放。不可混储混运。搬运时要轻装轻卸，防止包装及容器损坏。分装和搬运作业要注意个人防护。</w:t>
            </w:r>
          </w:p>
        </w:tc>
      </w:tr>
      <w:tr w14:paraId="2F86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0" w:hRule="atLeast"/>
          <w:jc w:val="center"/>
        </w:trPr>
        <w:tc>
          <w:tcPr>
            <w:tcW w:w="546" w:type="dxa"/>
            <w:vMerge w:val="restart"/>
            <w:noWrap w:val="0"/>
            <w:textDirection w:val="tbRlV"/>
            <w:vAlign w:val="center"/>
          </w:tcPr>
          <w:p w14:paraId="76F4D4CD">
            <w:pPr>
              <w:spacing w:line="260" w:lineRule="exact"/>
              <w:ind w:left="113" w:right="113"/>
              <w:jc w:val="center"/>
              <w:rPr>
                <w:rFonts w:hint="eastAsia"/>
                <w:b w:val="0"/>
                <w:bCs w:val="0"/>
                <w:color w:val="auto"/>
                <w:sz w:val="21"/>
                <w:szCs w:val="21"/>
              </w:rPr>
            </w:pPr>
            <w:r>
              <w:rPr>
                <w:rFonts w:hint="eastAsia"/>
                <w:b w:val="0"/>
                <w:bCs w:val="0"/>
                <w:color w:val="auto"/>
                <w:sz w:val="21"/>
                <w:szCs w:val="21"/>
              </w:rPr>
              <w:t>毒性危害</w:t>
            </w:r>
          </w:p>
        </w:tc>
        <w:tc>
          <w:tcPr>
            <w:tcW w:w="1821" w:type="dxa"/>
            <w:noWrap w:val="0"/>
            <w:vAlign w:val="center"/>
          </w:tcPr>
          <w:p w14:paraId="35B8A878">
            <w:pPr>
              <w:spacing w:line="260" w:lineRule="exact"/>
              <w:rPr>
                <w:rFonts w:hint="eastAsia"/>
                <w:b w:val="0"/>
                <w:bCs w:val="0"/>
                <w:color w:val="auto"/>
                <w:sz w:val="21"/>
                <w:szCs w:val="21"/>
              </w:rPr>
            </w:pPr>
            <w:r>
              <w:rPr>
                <w:rFonts w:hint="eastAsia"/>
                <w:b w:val="0"/>
                <w:bCs w:val="0"/>
                <w:color w:val="auto"/>
                <w:sz w:val="21"/>
                <w:szCs w:val="21"/>
              </w:rPr>
              <w:t>接触限值：</w:t>
            </w:r>
          </w:p>
        </w:tc>
        <w:tc>
          <w:tcPr>
            <w:tcW w:w="6894" w:type="dxa"/>
            <w:noWrap w:val="0"/>
            <w:vAlign w:val="center"/>
          </w:tcPr>
          <w:p w14:paraId="768ACDBA">
            <w:pPr>
              <w:spacing w:line="240" w:lineRule="exact"/>
              <w:rPr>
                <w:rFonts w:hint="eastAsia"/>
                <w:b w:val="0"/>
                <w:bCs w:val="0"/>
                <w:color w:val="auto"/>
                <w:sz w:val="21"/>
                <w:szCs w:val="21"/>
              </w:rPr>
            </w:pPr>
            <w:r>
              <w:rPr>
                <w:b w:val="0"/>
                <w:bCs w:val="0"/>
                <w:color w:val="auto"/>
                <w:sz w:val="21"/>
                <w:szCs w:val="21"/>
              </w:rPr>
              <w:t>中国MAC：lmg[F]</w:t>
            </w:r>
            <w:r>
              <w:rPr>
                <w:rFonts w:hint="eastAsia"/>
                <w:b w:val="0"/>
                <w:bCs w:val="0"/>
                <w:color w:val="auto"/>
                <w:sz w:val="21"/>
                <w:szCs w:val="21"/>
              </w:rPr>
              <w:t>/</w:t>
            </w:r>
            <w:r>
              <w:rPr>
                <w:b w:val="0"/>
                <w:bCs w:val="0"/>
                <w:color w:val="auto"/>
                <w:sz w:val="21"/>
                <w:szCs w:val="21"/>
              </w:rPr>
              <w:t>m</w:t>
            </w:r>
            <w:r>
              <w:rPr>
                <w:b w:val="0"/>
                <w:bCs w:val="0"/>
                <w:color w:val="auto"/>
                <w:sz w:val="21"/>
                <w:szCs w:val="21"/>
                <w:vertAlign w:val="superscript"/>
              </w:rPr>
              <w:t>3</w:t>
            </w:r>
            <w:r>
              <w:rPr>
                <w:rFonts w:hint="eastAsia"/>
                <w:b w:val="0"/>
                <w:bCs w:val="0"/>
                <w:color w:val="auto"/>
                <w:sz w:val="21"/>
                <w:szCs w:val="21"/>
              </w:rPr>
              <w:t>；</w:t>
            </w:r>
            <w:r>
              <w:rPr>
                <w:b w:val="0"/>
                <w:bCs w:val="0"/>
                <w:color w:val="auto"/>
                <w:sz w:val="21"/>
                <w:szCs w:val="21"/>
              </w:rPr>
              <w:t>苏联MAC：未制定标准</w:t>
            </w:r>
            <w:r>
              <w:rPr>
                <w:rFonts w:hint="eastAsia"/>
                <w:b w:val="0"/>
                <w:bCs w:val="0"/>
                <w:color w:val="auto"/>
                <w:sz w:val="21"/>
                <w:szCs w:val="21"/>
              </w:rPr>
              <w:t>；</w:t>
            </w:r>
          </w:p>
          <w:p w14:paraId="2CEF35C9">
            <w:pPr>
              <w:spacing w:line="240" w:lineRule="exact"/>
              <w:rPr>
                <w:rFonts w:hint="eastAsia"/>
                <w:b w:val="0"/>
                <w:bCs w:val="0"/>
                <w:color w:val="auto"/>
                <w:sz w:val="21"/>
                <w:szCs w:val="21"/>
              </w:rPr>
            </w:pPr>
            <w:r>
              <w:rPr>
                <w:b w:val="0"/>
                <w:bCs w:val="0"/>
                <w:color w:val="auto"/>
                <w:sz w:val="21"/>
                <w:szCs w:val="21"/>
              </w:rPr>
              <w:t>美国TWA：OSHA 2</w:t>
            </w:r>
            <w:r>
              <w:rPr>
                <w:rFonts w:hint="eastAsia"/>
                <w:b w:val="0"/>
                <w:bCs w:val="0"/>
                <w:color w:val="auto"/>
                <w:sz w:val="21"/>
                <w:szCs w:val="21"/>
              </w:rPr>
              <w:t>.</w:t>
            </w:r>
            <w:r>
              <w:rPr>
                <w:b w:val="0"/>
                <w:bCs w:val="0"/>
                <w:color w:val="auto"/>
                <w:sz w:val="21"/>
                <w:szCs w:val="21"/>
              </w:rPr>
              <w:t>5mg[P]</w:t>
            </w:r>
            <w:r>
              <w:rPr>
                <w:rFonts w:hint="eastAsia"/>
                <w:b w:val="0"/>
                <w:bCs w:val="0"/>
                <w:color w:val="auto"/>
                <w:sz w:val="21"/>
                <w:szCs w:val="21"/>
              </w:rPr>
              <w:t>/</w:t>
            </w:r>
            <w:r>
              <w:rPr>
                <w:b w:val="0"/>
                <w:bCs w:val="0"/>
                <w:color w:val="auto"/>
                <w:sz w:val="21"/>
                <w:szCs w:val="21"/>
              </w:rPr>
              <w:t>m</w:t>
            </w:r>
            <w:r>
              <w:rPr>
                <w:b w:val="0"/>
                <w:bCs w:val="0"/>
                <w:color w:val="auto"/>
                <w:sz w:val="21"/>
                <w:szCs w:val="21"/>
                <w:vertAlign w:val="superscript"/>
              </w:rPr>
              <w:t>3</w:t>
            </w:r>
            <w:r>
              <w:rPr>
                <w:b w:val="0"/>
                <w:bCs w:val="0"/>
                <w:color w:val="auto"/>
                <w:sz w:val="21"/>
                <w:szCs w:val="21"/>
              </w:rPr>
              <w:t>；ACGIH 2</w:t>
            </w:r>
            <w:r>
              <w:rPr>
                <w:rFonts w:hint="eastAsia"/>
                <w:b w:val="0"/>
                <w:bCs w:val="0"/>
                <w:color w:val="auto"/>
                <w:sz w:val="21"/>
                <w:szCs w:val="21"/>
              </w:rPr>
              <w:t>.</w:t>
            </w:r>
            <w:r>
              <w:rPr>
                <w:b w:val="0"/>
                <w:bCs w:val="0"/>
                <w:color w:val="auto"/>
                <w:sz w:val="21"/>
                <w:szCs w:val="21"/>
              </w:rPr>
              <w:t>5mg[F]</w:t>
            </w:r>
            <w:r>
              <w:rPr>
                <w:rFonts w:hint="eastAsia"/>
                <w:b w:val="0"/>
                <w:bCs w:val="0"/>
                <w:color w:val="auto"/>
                <w:sz w:val="21"/>
                <w:szCs w:val="21"/>
              </w:rPr>
              <w:t>/</w:t>
            </w:r>
            <w:r>
              <w:rPr>
                <w:b w:val="0"/>
                <w:bCs w:val="0"/>
                <w:color w:val="auto"/>
                <w:sz w:val="21"/>
                <w:szCs w:val="21"/>
              </w:rPr>
              <w:t>m</w:t>
            </w:r>
            <w:r>
              <w:rPr>
                <w:b w:val="0"/>
                <w:bCs w:val="0"/>
                <w:color w:val="auto"/>
                <w:sz w:val="21"/>
                <w:szCs w:val="21"/>
                <w:vertAlign w:val="superscript"/>
              </w:rPr>
              <w:t>3</w:t>
            </w:r>
            <w:r>
              <w:rPr>
                <w:rFonts w:hint="eastAsia"/>
                <w:b w:val="0"/>
                <w:bCs w:val="0"/>
                <w:color w:val="auto"/>
                <w:sz w:val="21"/>
                <w:szCs w:val="21"/>
              </w:rPr>
              <w:t>；</w:t>
            </w:r>
          </w:p>
          <w:p w14:paraId="4CB7344E">
            <w:pPr>
              <w:spacing w:line="260" w:lineRule="exact"/>
              <w:rPr>
                <w:rFonts w:hint="eastAsia"/>
                <w:b w:val="0"/>
                <w:bCs w:val="0"/>
                <w:color w:val="auto"/>
                <w:sz w:val="21"/>
                <w:szCs w:val="21"/>
              </w:rPr>
            </w:pPr>
            <w:r>
              <w:rPr>
                <w:b w:val="0"/>
                <w:bCs w:val="0"/>
                <w:color w:val="auto"/>
                <w:sz w:val="21"/>
                <w:szCs w:val="21"/>
              </w:rPr>
              <w:t>美国STEL：未制定标准  </w:t>
            </w:r>
          </w:p>
        </w:tc>
      </w:tr>
      <w:tr w14:paraId="2C96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546" w:type="dxa"/>
            <w:vMerge w:val="continue"/>
            <w:noWrap w:val="0"/>
            <w:textDirection w:val="tbRlV"/>
            <w:vAlign w:val="center"/>
          </w:tcPr>
          <w:p w14:paraId="42CA9979">
            <w:pPr>
              <w:spacing w:line="260" w:lineRule="exact"/>
              <w:ind w:left="113" w:right="113"/>
              <w:jc w:val="center"/>
              <w:rPr>
                <w:rFonts w:hint="eastAsia"/>
                <w:b w:val="0"/>
                <w:bCs w:val="0"/>
                <w:color w:val="auto"/>
                <w:sz w:val="21"/>
                <w:szCs w:val="21"/>
              </w:rPr>
            </w:pPr>
          </w:p>
        </w:tc>
        <w:tc>
          <w:tcPr>
            <w:tcW w:w="1821" w:type="dxa"/>
            <w:noWrap w:val="0"/>
            <w:vAlign w:val="center"/>
          </w:tcPr>
          <w:p w14:paraId="487DC1E9">
            <w:pPr>
              <w:spacing w:line="260" w:lineRule="exact"/>
              <w:rPr>
                <w:rFonts w:hint="eastAsia"/>
                <w:b w:val="0"/>
                <w:bCs w:val="0"/>
                <w:color w:val="auto"/>
                <w:sz w:val="21"/>
                <w:szCs w:val="21"/>
              </w:rPr>
            </w:pPr>
            <w:r>
              <w:rPr>
                <w:rFonts w:hint="eastAsia"/>
                <w:b w:val="0"/>
                <w:bCs w:val="0"/>
                <w:color w:val="auto"/>
                <w:sz w:val="21"/>
                <w:szCs w:val="21"/>
              </w:rPr>
              <w:t>侵入途径：</w:t>
            </w:r>
          </w:p>
        </w:tc>
        <w:tc>
          <w:tcPr>
            <w:tcW w:w="6894" w:type="dxa"/>
            <w:noWrap w:val="0"/>
            <w:vAlign w:val="center"/>
          </w:tcPr>
          <w:p w14:paraId="77D75B02">
            <w:pPr>
              <w:spacing w:line="260" w:lineRule="exact"/>
              <w:rPr>
                <w:rFonts w:hint="eastAsia"/>
                <w:b w:val="0"/>
                <w:bCs w:val="0"/>
                <w:color w:val="auto"/>
                <w:sz w:val="21"/>
                <w:szCs w:val="21"/>
              </w:rPr>
            </w:pPr>
            <w:r>
              <w:rPr>
                <w:b w:val="0"/>
                <w:bCs w:val="0"/>
                <w:color w:val="auto"/>
                <w:sz w:val="21"/>
                <w:szCs w:val="21"/>
              </w:rPr>
              <w:t>吸入</w:t>
            </w:r>
            <w:r>
              <w:rPr>
                <w:rFonts w:hint="eastAsia"/>
                <w:b w:val="0"/>
                <w:bCs w:val="0"/>
                <w:color w:val="auto"/>
                <w:sz w:val="21"/>
                <w:szCs w:val="21"/>
                <w:lang w:val="en-US" w:eastAsia="zh-CN"/>
              </w:rPr>
              <w:t xml:space="preserve">  </w:t>
            </w:r>
            <w:r>
              <w:rPr>
                <w:b w:val="0"/>
                <w:bCs w:val="0"/>
                <w:color w:val="auto"/>
                <w:sz w:val="21"/>
                <w:szCs w:val="21"/>
              </w:rPr>
              <w:t>食入</w:t>
            </w:r>
          </w:p>
        </w:tc>
      </w:tr>
      <w:tr w14:paraId="751F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 w:hRule="atLeast"/>
          <w:jc w:val="center"/>
        </w:trPr>
        <w:tc>
          <w:tcPr>
            <w:tcW w:w="546" w:type="dxa"/>
            <w:vMerge w:val="continue"/>
            <w:noWrap w:val="0"/>
            <w:textDirection w:val="tbRlV"/>
            <w:vAlign w:val="center"/>
          </w:tcPr>
          <w:p w14:paraId="2D2E3CAA">
            <w:pPr>
              <w:spacing w:line="260" w:lineRule="exact"/>
              <w:ind w:left="113" w:right="113"/>
              <w:jc w:val="center"/>
              <w:rPr>
                <w:rFonts w:hint="eastAsia"/>
                <w:b w:val="0"/>
                <w:bCs w:val="0"/>
                <w:color w:val="auto"/>
                <w:sz w:val="21"/>
                <w:szCs w:val="21"/>
              </w:rPr>
            </w:pPr>
          </w:p>
        </w:tc>
        <w:tc>
          <w:tcPr>
            <w:tcW w:w="1821" w:type="dxa"/>
            <w:noWrap w:val="0"/>
            <w:vAlign w:val="center"/>
          </w:tcPr>
          <w:p w14:paraId="585D0AE4">
            <w:pPr>
              <w:spacing w:line="260" w:lineRule="exact"/>
              <w:rPr>
                <w:rFonts w:hint="eastAsia"/>
                <w:b w:val="0"/>
                <w:bCs w:val="0"/>
                <w:color w:val="auto"/>
                <w:sz w:val="21"/>
                <w:szCs w:val="21"/>
              </w:rPr>
            </w:pPr>
            <w:r>
              <w:rPr>
                <w:rFonts w:hint="eastAsia"/>
                <w:b w:val="0"/>
                <w:bCs w:val="0"/>
                <w:color w:val="auto"/>
                <w:sz w:val="21"/>
                <w:szCs w:val="21"/>
              </w:rPr>
              <w:t>毒性：</w:t>
            </w:r>
          </w:p>
        </w:tc>
        <w:tc>
          <w:tcPr>
            <w:tcW w:w="6894" w:type="dxa"/>
            <w:noWrap w:val="0"/>
            <w:vAlign w:val="center"/>
          </w:tcPr>
          <w:p w14:paraId="58CF476E">
            <w:pPr>
              <w:spacing w:line="260" w:lineRule="exact"/>
              <w:rPr>
                <w:rFonts w:hint="eastAsia"/>
                <w:b w:val="0"/>
                <w:bCs w:val="0"/>
                <w:color w:val="auto"/>
                <w:sz w:val="21"/>
                <w:szCs w:val="21"/>
              </w:rPr>
            </w:pPr>
          </w:p>
        </w:tc>
      </w:tr>
      <w:tr w14:paraId="0D87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546" w:type="dxa"/>
            <w:vMerge w:val="continue"/>
            <w:noWrap w:val="0"/>
            <w:textDirection w:val="tbRlV"/>
            <w:vAlign w:val="center"/>
          </w:tcPr>
          <w:p w14:paraId="69AB1D0A">
            <w:pPr>
              <w:spacing w:line="260" w:lineRule="exact"/>
              <w:ind w:left="113" w:right="113"/>
              <w:jc w:val="center"/>
              <w:rPr>
                <w:rFonts w:hint="eastAsia"/>
                <w:b w:val="0"/>
                <w:bCs w:val="0"/>
                <w:color w:val="auto"/>
                <w:sz w:val="21"/>
                <w:szCs w:val="21"/>
              </w:rPr>
            </w:pPr>
          </w:p>
        </w:tc>
        <w:tc>
          <w:tcPr>
            <w:tcW w:w="1821" w:type="dxa"/>
            <w:noWrap w:val="0"/>
            <w:vAlign w:val="center"/>
          </w:tcPr>
          <w:p w14:paraId="21EC0818">
            <w:pPr>
              <w:spacing w:line="260" w:lineRule="exact"/>
              <w:rPr>
                <w:rFonts w:hint="eastAsia"/>
                <w:b w:val="0"/>
                <w:bCs w:val="0"/>
                <w:color w:val="auto"/>
                <w:sz w:val="21"/>
                <w:szCs w:val="21"/>
              </w:rPr>
            </w:pPr>
            <w:r>
              <w:rPr>
                <w:rFonts w:hint="eastAsia"/>
                <w:b w:val="0"/>
                <w:bCs w:val="0"/>
                <w:color w:val="auto"/>
                <w:sz w:val="21"/>
                <w:szCs w:val="21"/>
              </w:rPr>
              <w:t>健康危害：</w:t>
            </w:r>
          </w:p>
        </w:tc>
        <w:tc>
          <w:tcPr>
            <w:tcW w:w="6894" w:type="dxa"/>
            <w:noWrap w:val="0"/>
            <w:vAlign w:val="center"/>
          </w:tcPr>
          <w:p w14:paraId="4172A7AD">
            <w:pPr>
              <w:spacing w:line="260" w:lineRule="exact"/>
              <w:rPr>
                <w:rFonts w:hint="eastAsia"/>
                <w:b w:val="0"/>
                <w:bCs w:val="0"/>
                <w:color w:val="auto"/>
                <w:sz w:val="21"/>
                <w:szCs w:val="21"/>
              </w:rPr>
            </w:pPr>
            <w:r>
              <w:rPr>
                <w:b w:val="0"/>
                <w:bCs w:val="0"/>
                <w:color w:val="auto"/>
                <w:sz w:val="21"/>
                <w:szCs w:val="21"/>
              </w:rPr>
              <w:t>氟化锌对眼睛和皮肤有刺激作用。吸入、摄入或经皮肤吸收后可能致死。中毒表现有唾液分泌过多、恶心、呕吐、腹痛、发热，引起血钙偏低、氟骨症等。</w:t>
            </w:r>
          </w:p>
        </w:tc>
      </w:tr>
      <w:tr w14:paraId="462D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46" w:type="dxa"/>
            <w:vMerge w:val="restart"/>
            <w:noWrap w:val="0"/>
            <w:textDirection w:val="tbRlV"/>
            <w:vAlign w:val="center"/>
          </w:tcPr>
          <w:p w14:paraId="45A9691C">
            <w:pPr>
              <w:spacing w:line="260" w:lineRule="exact"/>
              <w:ind w:left="113" w:right="113"/>
              <w:jc w:val="center"/>
              <w:rPr>
                <w:rFonts w:hint="eastAsia"/>
                <w:b w:val="0"/>
                <w:bCs w:val="0"/>
                <w:color w:val="auto"/>
                <w:sz w:val="21"/>
                <w:szCs w:val="21"/>
              </w:rPr>
            </w:pPr>
            <w:r>
              <w:rPr>
                <w:rFonts w:hint="eastAsia"/>
                <w:b w:val="0"/>
                <w:bCs w:val="0"/>
                <w:color w:val="auto"/>
                <w:sz w:val="21"/>
                <w:szCs w:val="21"/>
              </w:rPr>
              <w:t>急救</w:t>
            </w:r>
          </w:p>
        </w:tc>
        <w:tc>
          <w:tcPr>
            <w:tcW w:w="1821" w:type="dxa"/>
            <w:noWrap w:val="0"/>
            <w:vAlign w:val="center"/>
          </w:tcPr>
          <w:p w14:paraId="780CAB64">
            <w:pPr>
              <w:spacing w:line="260" w:lineRule="exact"/>
              <w:rPr>
                <w:rFonts w:hint="eastAsia"/>
                <w:b w:val="0"/>
                <w:bCs w:val="0"/>
                <w:color w:val="auto"/>
                <w:sz w:val="21"/>
                <w:szCs w:val="21"/>
              </w:rPr>
            </w:pPr>
            <w:r>
              <w:rPr>
                <w:rFonts w:hint="eastAsia"/>
                <w:b w:val="0"/>
                <w:bCs w:val="0"/>
                <w:color w:val="auto"/>
                <w:sz w:val="21"/>
                <w:szCs w:val="21"/>
              </w:rPr>
              <w:t>皮肤接触：</w:t>
            </w:r>
          </w:p>
        </w:tc>
        <w:tc>
          <w:tcPr>
            <w:tcW w:w="6894" w:type="dxa"/>
            <w:noWrap w:val="0"/>
            <w:vAlign w:val="center"/>
          </w:tcPr>
          <w:p w14:paraId="1CAB1984">
            <w:pPr>
              <w:spacing w:line="260" w:lineRule="exact"/>
              <w:rPr>
                <w:rFonts w:hint="eastAsia"/>
                <w:b w:val="0"/>
                <w:bCs w:val="0"/>
                <w:color w:val="auto"/>
                <w:sz w:val="21"/>
                <w:szCs w:val="21"/>
              </w:rPr>
            </w:pPr>
            <w:r>
              <w:rPr>
                <w:b w:val="0"/>
                <w:bCs w:val="0"/>
                <w:color w:val="auto"/>
                <w:sz w:val="21"/>
                <w:szCs w:val="21"/>
              </w:rPr>
              <w:t>脱去污染的衣着，立即用水冲洗至少15分钟。</w:t>
            </w:r>
          </w:p>
        </w:tc>
      </w:tr>
      <w:tr w14:paraId="14EA8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46" w:type="dxa"/>
            <w:vMerge w:val="continue"/>
            <w:noWrap w:val="0"/>
            <w:textDirection w:val="tbRlV"/>
            <w:vAlign w:val="center"/>
          </w:tcPr>
          <w:p w14:paraId="65754CEE">
            <w:pPr>
              <w:spacing w:line="260" w:lineRule="exact"/>
              <w:ind w:left="113" w:right="113"/>
              <w:jc w:val="center"/>
              <w:rPr>
                <w:rFonts w:hint="eastAsia"/>
                <w:b w:val="0"/>
                <w:bCs w:val="0"/>
                <w:color w:val="auto"/>
                <w:sz w:val="21"/>
                <w:szCs w:val="21"/>
              </w:rPr>
            </w:pPr>
          </w:p>
        </w:tc>
        <w:tc>
          <w:tcPr>
            <w:tcW w:w="1821" w:type="dxa"/>
            <w:noWrap w:val="0"/>
            <w:vAlign w:val="center"/>
          </w:tcPr>
          <w:p w14:paraId="62C3CBE7">
            <w:pPr>
              <w:spacing w:line="260" w:lineRule="exact"/>
              <w:rPr>
                <w:rFonts w:hint="eastAsia"/>
                <w:b w:val="0"/>
                <w:bCs w:val="0"/>
                <w:color w:val="auto"/>
                <w:sz w:val="21"/>
                <w:szCs w:val="21"/>
              </w:rPr>
            </w:pPr>
            <w:r>
              <w:rPr>
                <w:b w:val="0"/>
                <w:bCs w:val="0"/>
                <w:color w:val="auto"/>
                <w:sz w:val="21"/>
                <w:szCs w:val="21"/>
              </w:rPr>
              <w:t>眼睛接触：</w:t>
            </w:r>
          </w:p>
        </w:tc>
        <w:tc>
          <w:tcPr>
            <w:tcW w:w="6894" w:type="dxa"/>
            <w:noWrap w:val="0"/>
            <w:vAlign w:val="center"/>
          </w:tcPr>
          <w:p w14:paraId="1A3BCDDC">
            <w:pPr>
              <w:spacing w:line="260" w:lineRule="exact"/>
              <w:rPr>
                <w:rFonts w:hint="eastAsia"/>
                <w:b w:val="0"/>
                <w:bCs w:val="0"/>
                <w:color w:val="auto"/>
                <w:sz w:val="21"/>
                <w:szCs w:val="21"/>
              </w:rPr>
            </w:pPr>
            <w:r>
              <w:rPr>
                <w:b w:val="0"/>
                <w:bCs w:val="0"/>
                <w:color w:val="auto"/>
                <w:sz w:val="21"/>
                <w:szCs w:val="21"/>
              </w:rPr>
              <w:t>立即提起眼睑，用流动清水冲洗l0分钟或用2%碳酸氢钠溶液冲洗。</w:t>
            </w:r>
          </w:p>
        </w:tc>
      </w:tr>
      <w:tr w14:paraId="26CE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546" w:type="dxa"/>
            <w:vMerge w:val="continue"/>
            <w:noWrap w:val="0"/>
            <w:textDirection w:val="tbRlV"/>
            <w:vAlign w:val="center"/>
          </w:tcPr>
          <w:p w14:paraId="404F4945">
            <w:pPr>
              <w:spacing w:line="260" w:lineRule="exact"/>
              <w:ind w:left="113" w:right="113"/>
              <w:jc w:val="center"/>
              <w:rPr>
                <w:rFonts w:hint="eastAsia"/>
                <w:b w:val="0"/>
                <w:bCs w:val="0"/>
                <w:color w:val="auto"/>
                <w:sz w:val="21"/>
                <w:szCs w:val="21"/>
              </w:rPr>
            </w:pPr>
          </w:p>
        </w:tc>
        <w:tc>
          <w:tcPr>
            <w:tcW w:w="1821" w:type="dxa"/>
            <w:noWrap w:val="0"/>
            <w:vAlign w:val="center"/>
          </w:tcPr>
          <w:p w14:paraId="02FE527B">
            <w:pPr>
              <w:spacing w:line="260" w:lineRule="exact"/>
              <w:rPr>
                <w:rFonts w:hint="eastAsia"/>
                <w:b w:val="0"/>
                <w:bCs w:val="0"/>
                <w:color w:val="auto"/>
                <w:sz w:val="21"/>
                <w:szCs w:val="21"/>
              </w:rPr>
            </w:pPr>
            <w:r>
              <w:rPr>
                <w:rFonts w:hint="eastAsia"/>
                <w:b w:val="0"/>
                <w:bCs w:val="0"/>
                <w:color w:val="auto"/>
                <w:sz w:val="21"/>
                <w:szCs w:val="21"/>
              </w:rPr>
              <w:t>吸入：</w:t>
            </w:r>
          </w:p>
        </w:tc>
        <w:tc>
          <w:tcPr>
            <w:tcW w:w="6894" w:type="dxa"/>
            <w:noWrap w:val="0"/>
            <w:vAlign w:val="center"/>
          </w:tcPr>
          <w:p w14:paraId="0DA25EDF">
            <w:pPr>
              <w:spacing w:line="260" w:lineRule="exact"/>
              <w:rPr>
                <w:rFonts w:hint="eastAsia"/>
                <w:b w:val="0"/>
                <w:bCs w:val="0"/>
                <w:color w:val="auto"/>
                <w:sz w:val="21"/>
                <w:szCs w:val="21"/>
              </w:rPr>
            </w:pPr>
            <w:r>
              <w:rPr>
                <w:b w:val="0"/>
                <w:bCs w:val="0"/>
                <w:color w:val="auto"/>
                <w:sz w:val="21"/>
                <w:szCs w:val="21"/>
              </w:rPr>
              <w:t>迅速脱离现场至空气新鲜处。保持呼吸道通畅。呼吸困难时给输氧。呼吸停止时，立即进行人工呼吸。就医。</w:t>
            </w:r>
          </w:p>
        </w:tc>
      </w:tr>
      <w:tr w14:paraId="76EE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46" w:type="dxa"/>
            <w:vMerge w:val="continue"/>
            <w:noWrap w:val="0"/>
            <w:textDirection w:val="tbRlV"/>
            <w:vAlign w:val="center"/>
          </w:tcPr>
          <w:p w14:paraId="419C159C">
            <w:pPr>
              <w:spacing w:line="260" w:lineRule="exact"/>
              <w:ind w:left="113" w:right="113"/>
              <w:jc w:val="center"/>
              <w:rPr>
                <w:rFonts w:hint="eastAsia"/>
                <w:b w:val="0"/>
                <w:bCs w:val="0"/>
                <w:color w:val="auto"/>
                <w:sz w:val="21"/>
                <w:szCs w:val="21"/>
              </w:rPr>
            </w:pPr>
          </w:p>
        </w:tc>
        <w:tc>
          <w:tcPr>
            <w:tcW w:w="1821" w:type="dxa"/>
            <w:noWrap w:val="0"/>
            <w:vAlign w:val="center"/>
          </w:tcPr>
          <w:p w14:paraId="02FA5901">
            <w:pPr>
              <w:spacing w:line="260" w:lineRule="exact"/>
              <w:rPr>
                <w:rFonts w:hint="eastAsia"/>
                <w:b w:val="0"/>
                <w:bCs w:val="0"/>
                <w:color w:val="auto"/>
                <w:sz w:val="21"/>
                <w:szCs w:val="21"/>
              </w:rPr>
            </w:pPr>
            <w:r>
              <w:rPr>
                <w:b w:val="0"/>
                <w:bCs w:val="0"/>
                <w:color w:val="auto"/>
                <w:sz w:val="21"/>
                <w:szCs w:val="21"/>
              </w:rPr>
              <w:t>食入：</w:t>
            </w:r>
          </w:p>
        </w:tc>
        <w:tc>
          <w:tcPr>
            <w:tcW w:w="6894" w:type="dxa"/>
            <w:noWrap w:val="0"/>
            <w:vAlign w:val="center"/>
          </w:tcPr>
          <w:p w14:paraId="46A85CB7">
            <w:pPr>
              <w:spacing w:line="260" w:lineRule="exact"/>
              <w:rPr>
                <w:rFonts w:hint="eastAsia"/>
                <w:b w:val="0"/>
                <w:bCs w:val="0"/>
                <w:color w:val="auto"/>
                <w:sz w:val="21"/>
                <w:szCs w:val="21"/>
              </w:rPr>
            </w:pPr>
            <w:r>
              <w:rPr>
                <w:b w:val="0"/>
                <w:bCs w:val="0"/>
                <w:color w:val="auto"/>
                <w:sz w:val="21"/>
                <w:szCs w:val="21"/>
              </w:rPr>
              <w:t>误服者立即洗胃。就医。</w:t>
            </w:r>
          </w:p>
        </w:tc>
      </w:tr>
      <w:tr w14:paraId="3E39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546" w:type="dxa"/>
            <w:vMerge w:val="restart"/>
            <w:noWrap w:val="0"/>
            <w:textDirection w:val="tbRlV"/>
            <w:vAlign w:val="center"/>
          </w:tcPr>
          <w:p w14:paraId="66DA5735">
            <w:pPr>
              <w:spacing w:line="260" w:lineRule="exact"/>
              <w:ind w:left="113" w:right="113"/>
              <w:jc w:val="center"/>
              <w:rPr>
                <w:rFonts w:hint="eastAsia"/>
                <w:b w:val="0"/>
                <w:bCs w:val="0"/>
                <w:color w:val="auto"/>
                <w:sz w:val="21"/>
                <w:szCs w:val="21"/>
              </w:rPr>
            </w:pPr>
            <w:r>
              <w:rPr>
                <w:rFonts w:hint="eastAsia"/>
                <w:b w:val="0"/>
                <w:bCs w:val="0"/>
                <w:color w:val="auto"/>
                <w:sz w:val="21"/>
                <w:szCs w:val="21"/>
              </w:rPr>
              <w:t>防护措施</w:t>
            </w:r>
          </w:p>
        </w:tc>
        <w:tc>
          <w:tcPr>
            <w:tcW w:w="1821" w:type="dxa"/>
            <w:noWrap w:val="0"/>
            <w:vAlign w:val="center"/>
          </w:tcPr>
          <w:p w14:paraId="31789EDE">
            <w:pPr>
              <w:spacing w:line="260" w:lineRule="exact"/>
              <w:rPr>
                <w:rFonts w:hint="eastAsia"/>
                <w:b w:val="0"/>
                <w:bCs w:val="0"/>
                <w:color w:val="auto"/>
                <w:sz w:val="21"/>
                <w:szCs w:val="21"/>
              </w:rPr>
            </w:pPr>
            <w:r>
              <w:rPr>
                <w:rFonts w:hint="eastAsia"/>
                <w:b w:val="0"/>
                <w:bCs w:val="0"/>
                <w:color w:val="auto"/>
                <w:sz w:val="21"/>
                <w:szCs w:val="21"/>
              </w:rPr>
              <w:t>工程控制：</w:t>
            </w:r>
          </w:p>
        </w:tc>
        <w:tc>
          <w:tcPr>
            <w:tcW w:w="6894" w:type="dxa"/>
            <w:noWrap w:val="0"/>
            <w:vAlign w:val="center"/>
          </w:tcPr>
          <w:p w14:paraId="3605BB8B">
            <w:pPr>
              <w:spacing w:line="260" w:lineRule="exact"/>
              <w:rPr>
                <w:rFonts w:hint="eastAsia"/>
                <w:b w:val="0"/>
                <w:bCs w:val="0"/>
                <w:color w:val="auto"/>
                <w:sz w:val="21"/>
                <w:szCs w:val="21"/>
              </w:rPr>
            </w:pPr>
            <w:r>
              <w:rPr>
                <w:b w:val="0"/>
                <w:bCs w:val="0"/>
                <w:color w:val="auto"/>
                <w:sz w:val="21"/>
                <w:szCs w:val="21"/>
              </w:rPr>
              <w:t>密闭操作，局部排风。</w:t>
            </w:r>
          </w:p>
        </w:tc>
      </w:tr>
      <w:tr w14:paraId="49A2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46" w:type="dxa"/>
            <w:vMerge w:val="continue"/>
            <w:noWrap w:val="0"/>
            <w:textDirection w:val="tbRlV"/>
            <w:vAlign w:val="center"/>
          </w:tcPr>
          <w:p w14:paraId="60F109E3">
            <w:pPr>
              <w:spacing w:line="260" w:lineRule="exact"/>
              <w:ind w:left="113" w:right="113"/>
              <w:jc w:val="center"/>
              <w:rPr>
                <w:rFonts w:hint="eastAsia"/>
                <w:b w:val="0"/>
                <w:bCs w:val="0"/>
                <w:color w:val="auto"/>
                <w:sz w:val="21"/>
                <w:szCs w:val="21"/>
              </w:rPr>
            </w:pPr>
          </w:p>
        </w:tc>
        <w:tc>
          <w:tcPr>
            <w:tcW w:w="1821" w:type="dxa"/>
            <w:noWrap w:val="0"/>
            <w:vAlign w:val="center"/>
          </w:tcPr>
          <w:p w14:paraId="48FD2421">
            <w:pPr>
              <w:spacing w:line="260" w:lineRule="exact"/>
              <w:rPr>
                <w:rFonts w:hint="eastAsia"/>
                <w:b w:val="0"/>
                <w:bCs w:val="0"/>
                <w:color w:val="auto"/>
                <w:sz w:val="21"/>
                <w:szCs w:val="21"/>
              </w:rPr>
            </w:pPr>
            <w:r>
              <w:rPr>
                <w:rFonts w:hint="eastAsia"/>
                <w:b w:val="0"/>
                <w:bCs w:val="0"/>
                <w:color w:val="auto"/>
                <w:sz w:val="21"/>
                <w:szCs w:val="21"/>
              </w:rPr>
              <w:t>呼吸系统防护：</w:t>
            </w:r>
          </w:p>
        </w:tc>
        <w:tc>
          <w:tcPr>
            <w:tcW w:w="6894" w:type="dxa"/>
            <w:noWrap w:val="0"/>
            <w:vAlign w:val="center"/>
          </w:tcPr>
          <w:p w14:paraId="3E991935">
            <w:pPr>
              <w:spacing w:line="260" w:lineRule="exact"/>
              <w:rPr>
                <w:rFonts w:hint="eastAsia"/>
                <w:b w:val="0"/>
                <w:bCs w:val="0"/>
                <w:color w:val="auto"/>
                <w:sz w:val="21"/>
                <w:szCs w:val="21"/>
              </w:rPr>
            </w:pPr>
            <w:r>
              <w:rPr>
                <w:b w:val="0"/>
                <w:bCs w:val="0"/>
                <w:color w:val="auto"/>
                <w:sz w:val="21"/>
                <w:szCs w:val="21"/>
              </w:rPr>
              <w:t>空气中浓度超标时，应该</w:t>
            </w:r>
            <w:r>
              <w:rPr>
                <w:rFonts w:hint="eastAsia"/>
                <w:b w:val="0"/>
                <w:bCs w:val="0"/>
                <w:color w:val="auto"/>
                <w:sz w:val="21"/>
                <w:szCs w:val="21"/>
                <w:lang w:eastAsia="zh-CN"/>
              </w:rPr>
              <w:t>佩戴</w:t>
            </w:r>
            <w:r>
              <w:rPr>
                <w:b w:val="0"/>
                <w:bCs w:val="0"/>
                <w:color w:val="auto"/>
                <w:sz w:val="21"/>
                <w:szCs w:val="21"/>
              </w:rPr>
              <w:t>防毒口罩。紧急事态抢救或逃生时，建议</w:t>
            </w:r>
            <w:r>
              <w:rPr>
                <w:rFonts w:hint="eastAsia"/>
                <w:b w:val="0"/>
                <w:bCs w:val="0"/>
                <w:color w:val="auto"/>
                <w:sz w:val="21"/>
                <w:szCs w:val="21"/>
                <w:lang w:eastAsia="zh-CN"/>
              </w:rPr>
              <w:t>佩戴</w:t>
            </w:r>
            <w:r>
              <w:rPr>
                <w:b w:val="0"/>
                <w:bCs w:val="0"/>
                <w:color w:val="auto"/>
                <w:sz w:val="21"/>
                <w:szCs w:val="21"/>
              </w:rPr>
              <w:t>自给式呼吸器。</w:t>
            </w:r>
          </w:p>
        </w:tc>
      </w:tr>
      <w:tr w14:paraId="78EC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546" w:type="dxa"/>
            <w:vMerge w:val="continue"/>
            <w:noWrap w:val="0"/>
            <w:textDirection w:val="tbRlV"/>
            <w:vAlign w:val="center"/>
          </w:tcPr>
          <w:p w14:paraId="50B4FA16">
            <w:pPr>
              <w:spacing w:line="260" w:lineRule="exact"/>
              <w:ind w:left="113" w:right="113"/>
              <w:jc w:val="center"/>
              <w:rPr>
                <w:rFonts w:hint="eastAsia"/>
                <w:b w:val="0"/>
                <w:bCs w:val="0"/>
                <w:color w:val="auto"/>
                <w:sz w:val="21"/>
                <w:szCs w:val="21"/>
              </w:rPr>
            </w:pPr>
          </w:p>
        </w:tc>
        <w:tc>
          <w:tcPr>
            <w:tcW w:w="1821" w:type="dxa"/>
            <w:noWrap w:val="0"/>
            <w:vAlign w:val="center"/>
          </w:tcPr>
          <w:p w14:paraId="1046525B">
            <w:pPr>
              <w:spacing w:line="260" w:lineRule="exact"/>
              <w:rPr>
                <w:rFonts w:hint="eastAsia"/>
                <w:b w:val="0"/>
                <w:bCs w:val="0"/>
                <w:color w:val="auto"/>
                <w:sz w:val="21"/>
                <w:szCs w:val="21"/>
              </w:rPr>
            </w:pPr>
            <w:r>
              <w:rPr>
                <w:rFonts w:hint="eastAsia"/>
                <w:b w:val="0"/>
                <w:bCs w:val="0"/>
                <w:color w:val="auto"/>
                <w:sz w:val="21"/>
                <w:szCs w:val="21"/>
              </w:rPr>
              <w:t xml:space="preserve">眼睛防护： </w:t>
            </w:r>
          </w:p>
        </w:tc>
        <w:tc>
          <w:tcPr>
            <w:tcW w:w="6894" w:type="dxa"/>
            <w:noWrap w:val="0"/>
            <w:vAlign w:val="center"/>
          </w:tcPr>
          <w:p w14:paraId="5247BEB9">
            <w:pPr>
              <w:spacing w:line="260" w:lineRule="exact"/>
              <w:rPr>
                <w:rFonts w:hint="eastAsia"/>
                <w:b w:val="0"/>
                <w:bCs w:val="0"/>
                <w:color w:val="auto"/>
                <w:sz w:val="21"/>
                <w:szCs w:val="21"/>
              </w:rPr>
            </w:pPr>
            <w:r>
              <w:rPr>
                <w:b w:val="0"/>
                <w:bCs w:val="0"/>
                <w:color w:val="auto"/>
                <w:sz w:val="21"/>
                <w:szCs w:val="21"/>
              </w:rPr>
              <w:t>戴化学安全防护眼镜。</w:t>
            </w:r>
          </w:p>
        </w:tc>
      </w:tr>
      <w:tr w14:paraId="0267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546" w:type="dxa"/>
            <w:vMerge w:val="continue"/>
            <w:noWrap w:val="0"/>
            <w:textDirection w:val="tbRlV"/>
            <w:vAlign w:val="center"/>
          </w:tcPr>
          <w:p w14:paraId="2671FC13">
            <w:pPr>
              <w:spacing w:line="260" w:lineRule="exact"/>
              <w:ind w:left="113" w:right="113"/>
              <w:jc w:val="center"/>
              <w:rPr>
                <w:rFonts w:hint="eastAsia"/>
                <w:b w:val="0"/>
                <w:bCs w:val="0"/>
                <w:color w:val="auto"/>
                <w:sz w:val="21"/>
                <w:szCs w:val="21"/>
              </w:rPr>
            </w:pPr>
          </w:p>
        </w:tc>
        <w:tc>
          <w:tcPr>
            <w:tcW w:w="1821" w:type="dxa"/>
            <w:noWrap w:val="0"/>
            <w:vAlign w:val="center"/>
          </w:tcPr>
          <w:p w14:paraId="4424345F">
            <w:pPr>
              <w:spacing w:line="260" w:lineRule="exact"/>
              <w:rPr>
                <w:rFonts w:hint="eastAsia"/>
                <w:b w:val="0"/>
                <w:bCs w:val="0"/>
                <w:color w:val="auto"/>
                <w:sz w:val="21"/>
                <w:szCs w:val="21"/>
              </w:rPr>
            </w:pPr>
            <w:r>
              <w:rPr>
                <w:rFonts w:hint="eastAsia"/>
                <w:b w:val="0"/>
                <w:bCs w:val="0"/>
                <w:color w:val="auto"/>
                <w:sz w:val="21"/>
                <w:szCs w:val="21"/>
              </w:rPr>
              <w:t>防护服：</w:t>
            </w:r>
          </w:p>
        </w:tc>
        <w:tc>
          <w:tcPr>
            <w:tcW w:w="6894" w:type="dxa"/>
            <w:noWrap w:val="0"/>
            <w:vAlign w:val="center"/>
          </w:tcPr>
          <w:p w14:paraId="2CBAB859">
            <w:pPr>
              <w:spacing w:line="260" w:lineRule="exact"/>
              <w:rPr>
                <w:rFonts w:hint="eastAsia"/>
                <w:b w:val="0"/>
                <w:bCs w:val="0"/>
                <w:color w:val="auto"/>
                <w:sz w:val="21"/>
                <w:szCs w:val="21"/>
              </w:rPr>
            </w:pPr>
            <w:r>
              <w:rPr>
                <w:b w:val="0"/>
                <w:bCs w:val="0"/>
                <w:color w:val="auto"/>
                <w:sz w:val="21"/>
                <w:szCs w:val="21"/>
              </w:rPr>
              <w:t>穿相应的防护服。</w:t>
            </w:r>
          </w:p>
        </w:tc>
      </w:tr>
      <w:tr w14:paraId="367C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546" w:type="dxa"/>
            <w:vMerge w:val="continue"/>
            <w:noWrap w:val="0"/>
            <w:textDirection w:val="tbRlV"/>
            <w:vAlign w:val="center"/>
          </w:tcPr>
          <w:p w14:paraId="0F869676">
            <w:pPr>
              <w:spacing w:line="260" w:lineRule="exact"/>
              <w:ind w:left="113" w:right="113"/>
              <w:jc w:val="center"/>
              <w:rPr>
                <w:rFonts w:hint="eastAsia"/>
                <w:b w:val="0"/>
                <w:bCs w:val="0"/>
                <w:color w:val="auto"/>
                <w:sz w:val="21"/>
                <w:szCs w:val="21"/>
              </w:rPr>
            </w:pPr>
          </w:p>
        </w:tc>
        <w:tc>
          <w:tcPr>
            <w:tcW w:w="1821" w:type="dxa"/>
            <w:noWrap w:val="0"/>
            <w:vAlign w:val="center"/>
          </w:tcPr>
          <w:p w14:paraId="56787D73">
            <w:pPr>
              <w:spacing w:line="260" w:lineRule="exact"/>
              <w:rPr>
                <w:rFonts w:hint="eastAsia"/>
                <w:b w:val="0"/>
                <w:bCs w:val="0"/>
                <w:color w:val="auto"/>
                <w:sz w:val="21"/>
                <w:szCs w:val="21"/>
              </w:rPr>
            </w:pPr>
            <w:r>
              <w:rPr>
                <w:b w:val="0"/>
                <w:bCs w:val="0"/>
                <w:color w:val="auto"/>
                <w:sz w:val="21"/>
                <w:szCs w:val="21"/>
              </w:rPr>
              <w:t>手防护：</w:t>
            </w:r>
          </w:p>
        </w:tc>
        <w:tc>
          <w:tcPr>
            <w:tcW w:w="6894" w:type="dxa"/>
            <w:noWrap w:val="0"/>
            <w:vAlign w:val="center"/>
          </w:tcPr>
          <w:p w14:paraId="003509FD">
            <w:pPr>
              <w:spacing w:line="260" w:lineRule="exact"/>
              <w:rPr>
                <w:rFonts w:hint="eastAsia"/>
                <w:b w:val="0"/>
                <w:bCs w:val="0"/>
                <w:color w:val="auto"/>
                <w:sz w:val="21"/>
                <w:szCs w:val="21"/>
              </w:rPr>
            </w:pPr>
            <w:r>
              <w:rPr>
                <w:b w:val="0"/>
                <w:bCs w:val="0"/>
                <w:color w:val="auto"/>
                <w:sz w:val="21"/>
                <w:szCs w:val="21"/>
              </w:rPr>
              <w:t>戴防化学品手套。</w:t>
            </w:r>
          </w:p>
        </w:tc>
      </w:tr>
      <w:tr w14:paraId="4D31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2367" w:type="dxa"/>
            <w:gridSpan w:val="2"/>
            <w:noWrap w:val="0"/>
            <w:vAlign w:val="center"/>
          </w:tcPr>
          <w:p w14:paraId="31FF046C">
            <w:pPr>
              <w:spacing w:line="260" w:lineRule="exact"/>
              <w:jc w:val="center"/>
              <w:rPr>
                <w:rFonts w:hint="eastAsia"/>
                <w:b w:val="0"/>
                <w:bCs w:val="0"/>
                <w:color w:val="auto"/>
                <w:sz w:val="21"/>
                <w:szCs w:val="21"/>
              </w:rPr>
            </w:pPr>
            <w:r>
              <w:rPr>
                <w:rFonts w:hint="eastAsia"/>
                <w:b w:val="0"/>
                <w:bCs w:val="0"/>
                <w:color w:val="auto"/>
                <w:sz w:val="21"/>
                <w:szCs w:val="21"/>
              </w:rPr>
              <w:t>泄漏处置：</w:t>
            </w:r>
          </w:p>
        </w:tc>
        <w:tc>
          <w:tcPr>
            <w:tcW w:w="6894" w:type="dxa"/>
            <w:noWrap w:val="0"/>
            <w:vAlign w:val="center"/>
          </w:tcPr>
          <w:p w14:paraId="6B5E0D65">
            <w:pPr>
              <w:spacing w:line="260" w:lineRule="exact"/>
              <w:rPr>
                <w:rFonts w:hint="eastAsia"/>
                <w:b w:val="0"/>
                <w:bCs w:val="0"/>
                <w:color w:val="auto"/>
                <w:sz w:val="21"/>
                <w:szCs w:val="21"/>
              </w:rPr>
            </w:pPr>
            <w:r>
              <w:rPr>
                <w:b w:val="0"/>
                <w:bCs w:val="0"/>
                <w:color w:val="auto"/>
                <w:sz w:val="21"/>
                <w:szCs w:val="21"/>
              </w:rPr>
              <w:t>隔离泄漏污染区，周围设警告标志，建议应急处理人员戴好防毒面具，穿化学防护服。不要直接接触泄漏物，避免扬尘，用清洁的铲子收集于干燥净洁有盖的容器中，运至废物处理场所。如大量泄漏，收集回收或无害处理后废弃。</w:t>
            </w:r>
          </w:p>
        </w:tc>
      </w:tr>
      <w:tr w14:paraId="0144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2367" w:type="dxa"/>
            <w:gridSpan w:val="2"/>
            <w:noWrap w:val="0"/>
            <w:vAlign w:val="center"/>
          </w:tcPr>
          <w:p w14:paraId="3F535FCC">
            <w:pPr>
              <w:spacing w:line="260" w:lineRule="exact"/>
              <w:jc w:val="center"/>
              <w:rPr>
                <w:rFonts w:hint="eastAsia"/>
                <w:b w:val="0"/>
                <w:bCs w:val="0"/>
                <w:color w:val="auto"/>
                <w:sz w:val="21"/>
                <w:szCs w:val="21"/>
              </w:rPr>
            </w:pPr>
            <w:r>
              <w:rPr>
                <w:rFonts w:hint="eastAsia"/>
                <w:b w:val="0"/>
                <w:bCs w:val="0"/>
                <w:color w:val="auto"/>
                <w:sz w:val="21"/>
                <w:szCs w:val="21"/>
              </w:rPr>
              <w:t>其他：</w:t>
            </w:r>
          </w:p>
        </w:tc>
        <w:tc>
          <w:tcPr>
            <w:tcW w:w="6894" w:type="dxa"/>
            <w:noWrap w:val="0"/>
            <w:vAlign w:val="center"/>
          </w:tcPr>
          <w:p w14:paraId="19CEBE4E">
            <w:pPr>
              <w:spacing w:line="260" w:lineRule="exact"/>
              <w:rPr>
                <w:rFonts w:hint="eastAsia"/>
                <w:b w:val="0"/>
                <w:bCs w:val="0"/>
                <w:color w:val="auto"/>
                <w:sz w:val="21"/>
                <w:szCs w:val="21"/>
              </w:rPr>
            </w:pPr>
            <w:r>
              <w:rPr>
                <w:b w:val="0"/>
                <w:bCs w:val="0"/>
                <w:color w:val="auto"/>
                <w:sz w:val="21"/>
                <w:szCs w:val="21"/>
              </w:rPr>
              <w:t>工作现场禁止吸烟、进食和饮水。工作后，淋浴更衣。工作服不要带到非作业场所，单独存放被毒物污染的衣服，洗后再用。保持良好的卫生习惯。</w:t>
            </w:r>
          </w:p>
        </w:tc>
      </w:tr>
    </w:tbl>
    <w:p w14:paraId="28B0DF27">
      <w:pPr>
        <w:pStyle w:val="6"/>
        <w:spacing w:line="500" w:lineRule="exact"/>
        <w:ind w:left="0" w:leftChars="0" w:firstLine="0" w:firstLineChars="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1.5.1.2 生产系统危险性识别</w:t>
      </w:r>
    </w:p>
    <w:p w14:paraId="15C8A6EB">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1、生产装置</w:t>
      </w:r>
    </w:p>
    <w:p w14:paraId="34DEAB54">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本项目为危险化学品储存，不涉及生产。</w:t>
      </w:r>
    </w:p>
    <w:p w14:paraId="060AFB3A">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2、储运设施</w:t>
      </w:r>
    </w:p>
    <w:p w14:paraId="6EEE5851">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u w:val="single"/>
          <w:lang w:val="en-US" w:eastAsia="zh-CN"/>
        </w:rPr>
      </w:pPr>
      <w:r>
        <w:rPr>
          <w:rFonts w:hint="default" w:ascii="Times New Roman" w:hAnsi="Times New Roman" w:eastAsia="宋体" w:cs="Times New Roman"/>
          <w:color w:val="auto"/>
          <w:spacing w:val="10"/>
          <w:sz w:val="24"/>
          <w:szCs w:val="32"/>
          <w:lang w:val="en-US" w:eastAsia="zh-CN"/>
        </w:rPr>
        <w:t>本项目储存物质涉及风险物质超临界量的为：</w:t>
      </w:r>
      <w:r>
        <w:rPr>
          <w:rFonts w:hint="eastAsia" w:ascii="Times New Roman" w:hAnsi="Times New Roman" w:eastAsia="宋体" w:cs="Times New Roman"/>
          <w:color w:val="auto"/>
          <w:spacing w:val="10"/>
          <w:sz w:val="24"/>
          <w:szCs w:val="32"/>
          <w:lang w:val="en-US" w:eastAsia="zh-CN"/>
        </w:rPr>
        <w:t>磷酸、盐酸、硫酸镍</w:t>
      </w:r>
      <w:r>
        <w:rPr>
          <w:rFonts w:hint="eastAsia" w:cs="Times New Roman"/>
          <w:color w:val="auto"/>
          <w:spacing w:val="10"/>
          <w:sz w:val="24"/>
          <w:szCs w:val="32"/>
          <w:lang w:val="en-US" w:eastAsia="zh-CN"/>
        </w:rPr>
        <w:t>、</w:t>
      </w:r>
      <w:r>
        <w:rPr>
          <w:rFonts w:hint="eastAsia" w:cs="Times New Roman"/>
          <w:color w:val="auto"/>
          <w:spacing w:val="10"/>
          <w:sz w:val="24"/>
          <w:szCs w:val="32"/>
          <w:u w:val="single"/>
          <w:lang w:val="en-US" w:eastAsia="zh-CN"/>
        </w:rPr>
        <w:t>氢氧化锂、氟硅酸钠、氟硅酸镁、氟化钠、氟化钡、氟硅酸锌、氟硅酸钾、氟化铵、氟化钾、氟化锌</w:t>
      </w:r>
      <w:r>
        <w:rPr>
          <w:rFonts w:hint="default" w:ascii="Times New Roman" w:hAnsi="Times New Roman" w:eastAsia="宋体" w:cs="Times New Roman"/>
          <w:color w:val="auto"/>
          <w:spacing w:val="10"/>
          <w:sz w:val="24"/>
          <w:szCs w:val="32"/>
          <w:u w:val="single"/>
          <w:lang w:val="en-US" w:eastAsia="zh-CN"/>
        </w:rPr>
        <w:t>。</w:t>
      </w:r>
    </w:p>
    <w:p w14:paraId="37241FF7">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参数详见表1-</w:t>
      </w:r>
      <w:r>
        <w:rPr>
          <w:rFonts w:hint="eastAsia" w:cs="Times New Roman"/>
          <w:color w:val="auto"/>
          <w:spacing w:val="10"/>
          <w:sz w:val="24"/>
          <w:szCs w:val="32"/>
          <w:lang w:val="en-US" w:eastAsia="zh-CN"/>
        </w:rPr>
        <w:t>33</w:t>
      </w:r>
      <w:r>
        <w:rPr>
          <w:rFonts w:hint="default" w:ascii="Times New Roman" w:hAnsi="Times New Roman" w:eastAsia="宋体" w:cs="Times New Roman"/>
          <w:color w:val="auto"/>
          <w:spacing w:val="10"/>
          <w:sz w:val="24"/>
          <w:szCs w:val="32"/>
          <w:lang w:val="en-US" w:eastAsia="zh-CN"/>
        </w:rPr>
        <w:t>。</w:t>
      </w:r>
    </w:p>
    <w:p w14:paraId="3B7E7FBE">
      <w:pPr>
        <w:pStyle w:val="4"/>
        <w:numPr>
          <w:ilvl w:val="3"/>
          <w:numId w:val="10"/>
        </w:numPr>
        <w:tabs>
          <w:tab w:val="left" w:pos="1358"/>
          <w:tab w:val="left" w:pos="2153"/>
          <w:tab w:val="left" w:pos="2183"/>
        </w:tabs>
        <w:spacing w:before="15"/>
        <w:ind w:left="1358"/>
        <w:rPr>
          <w:rFonts w:hint="default" w:ascii="Times New Roman" w:hAnsi="Times New Roman" w:eastAsia="宋体" w:cs="Times New Roman"/>
          <w:color w:val="auto"/>
        </w:rPr>
      </w:pPr>
      <w:bookmarkStart w:id="74" w:name="_Toc2454"/>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储存单元</w:t>
      </w:r>
      <w:r>
        <w:rPr>
          <w:rFonts w:hint="default" w:ascii="Times New Roman" w:hAnsi="Times New Roman" w:eastAsia="宋体" w:cs="Times New Roman"/>
          <w:color w:val="auto"/>
        </w:rPr>
        <w:t>参数一览表（涉及危险物质）</w:t>
      </w:r>
      <w:bookmarkEnd w:id="74"/>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9"/>
        <w:gridCol w:w="807"/>
        <w:gridCol w:w="649"/>
        <w:gridCol w:w="723"/>
        <w:gridCol w:w="729"/>
        <w:gridCol w:w="930"/>
        <w:gridCol w:w="846"/>
        <w:gridCol w:w="840"/>
        <w:gridCol w:w="820"/>
        <w:gridCol w:w="939"/>
      </w:tblGrid>
      <w:tr w14:paraId="59BA7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699" w:type="dxa"/>
            <w:noWrap w:val="0"/>
            <w:vAlign w:val="center"/>
          </w:tcPr>
          <w:p w14:paraId="07CC1C11">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单元</w:t>
            </w:r>
          </w:p>
        </w:tc>
        <w:tc>
          <w:tcPr>
            <w:tcW w:w="807" w:type="dxa"/>
            <w:noWrap w:val="0"/>
            <w:vAlign w:val="center"/>
          </w:tcPr>
          <w:p w14:paraId="7BFA8A6F">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物料</w:t>
            </w:r>
          </w:p>
        </w:tc>
        <w:tc>
          <w:tcPr>
            <w:tcW w:w="649" w:type="dxa"/>
            <w:noWrap w:val="0"/>
            <w:vAlign w:val="center"/>
          </w:tcPr>
          <w:p w14:paraId="556B6576">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物质形态</w:t>
            </w:r>
          </w:p>
        </w:tc>
        <w:tc>
          <w:tcPr>
            <w:tcW w:w="723" w:type="dxa"/>
            <w:noWrap w:val="0"/>
            <w:vAlign w:val="center"/>
          </w:tcPr>
          <w:p w14:paraId="3DAE8362">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储存</w:t>
            </w:r>
            <w:r>
              <w:rPr>
                <w:rFonts w:hint="default" w:ascii="Times New Roman" w:hAnsi="Times New Roman" w:eastAsia="宋体" w:cs="Times New Roman"/>
                <w:color w:val="auto"/>
                <w:sz w:val="21"/>
                <w:szCs w:val="21"/>
                <w:u w:val="none"/>
              </w:rPr>
              <w:t>形式</w:t>
            </w:r>
          </w:p>
        </w:tc>
        <w:tc>
          <w:tcPr>
            <w:tcW w:w="729" w:type="dxa"/>
            <w:noWrap w:val="0"/>
            <w:vAlign w:val="center"/>
          </w:tcPr>
          <w:p w14:paraId="2AE6D745">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温度</w:t>
            </w:r>
          </w:p>
          <w:p w14:paraId="2B9C249B">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c>
          <w:tcPr>
            <w:tcW w:w="930" w:type="dxa"/>
            <w:noWrap w:val="0"/>
            <w:vAlign w:val="center"/>
          </w:tcPr>
          <w:p w14:paraId="65EE85B7">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压力Mpa(G)</w:t>
            </w:r>
          </w:p>
        </w:tc>
        <w:tc>
          <w:tcPr>
            <w:tcW w:w="846" w:type="dxa"/>
            <w:noWrap w:val="0"/>
            <w:vAlign w:val="center"/>
          </w:tcPr>
          <w:p w14:paraId="344C59B7">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数量</w:t>
            </w:r>
            <w:r>
              <w:rPr>
                <w:rFonts w:hint="eastAsia" w:cs="Times New Roman"/>
                <w:color w:val="auto"/>
                <w:sz w:val="21"/>
                <w:szCs w:val="21"/>
                <w:u w:val="none"/>
                <w:lang w:eastAsia="zh-CN"/>
              </w:rPr>
              <w:t>（</w:t>
            </w:r>
            <w:r>
              <w:rPr>
                <w:rFonts w:hint="default" w:ascii="Times New Roman" w:hAnsi="Times New Roman" w:eastAsia="宋体" w:cs="Times New Roman"/>
                <w:color w:val="auto"/>
                <w:sz w:val="21"/>
                <w:szCs w:val="21"/>
                <w:u w:val="none"/>
              </w:rPr>
              <w:t>个</w:t>
            </w:r>
            <w:r>
              <w:rPr>
                <w:rFonts w:hint="eastAsia" w:cs="Times New Roman"/>
                <w:color w:val="auto"/>
                <w:sz w:val="21"/>
                <w:szCs w:val="21"/>
                <w:u w:val="none"/>
                <w:lang w:eastAsia="zh-CN"/>
              </w:rPr>
              <w:t>）</w:t>
            </w:r>
          </w:p>
        </w:tc>
        <w:tc>
          <w:tcPr>
            <w:tcW w:w="840" w:type="dxa"/>
            <w:noWrap w:val="0"/>
            <w:vAlign w:val="center"/>
          </w:tcPr>
          <w:p w14:paraId="373926E2">
            <w:pPr>
              <w:adjustRightInd w:val="0"/>
              <w:snapToGrid w:val="0"/>
              <w:jc w:val="center"/>
              <w:rPr>
                <w:rFonts w:hint="eastAsia"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单</w:t>
            </w:r>
            <w:r>
              <w:rPr>
                <w:rFonts w:hint="default" w:ascii="Times New Roman" w:hAnsi="Times New Roman" w:eastAsia="宋体" w:cs="Times New Roman"/>
                <w:color w:val="auto"/>
                <w:sz w:val="21"/>
                <w:szCs w:val="21"/>
                <w:u w:val="none"/>
                <w:lang w:val="en-US" w:eastAsia="zh-CN"/>
              </w:rPr>
              <w:t>个</w:t>
            </w:r>
            <w:r>
              <w:rPr>
                <w:rFonts w:hint="eastAsia" w:ascii="Times New Roman" w:hAnsi="Times New Roman" w:eastAsia="宋体" w:cs="Times New Roman"/>
                <w:color w:val="auto"/>
                <w:sz w:val="21"/>
                <w:szCs w:val="21"/>
                <w:u w:val="none"/>
                <w:lang w:val="en-US" w:eastAsia="zh-CN"/>
              </w:rPr>
              <w:t>包装</w:t>
            </w:r>
          </w:p>
        </w:tc>
        <w:tc>
          <w:tcPr>
            <w:tcW w:w="820" w:type="dxa"/>
            <w:noWrap w:val="0"/>
            <w:vAlign w:val="center"/>
          </w:tcPr>
          <w:p w14:paraId="1B76A7D9">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厂内最大储量/t</w:t>
            </w:r>
          </w:p>
        </w:tc>
        <w:tc>
          <w:tcPr>
            <w:tcW w:w="939" w:type="dxa"/>
            <w:noWrap w:val="0"/>
            <w:vAlign w:val="center"/>
          </w:tcPr>
          <w:p w14:paraId="7812A978">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物质Q值</w:t>
            </w:r>
          </w:p>
        </w:tc>
      </w:tr>
      <w:tr w14:paraId="068B9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9" w:type="dxa"/>
            <w:noWrap w:val="0"/>
            <w:vAlign w:val="center"/>
          </w:tcPr>
          <w:p w14:paraId="7446A13C">
            <w:pPr>
              <w:spacing w:line="240" w:lineRule="exact"/>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0"/>
                <w:sz w:val="21"/>
                <w:szCs w:val="21"/>
                <w:u w:val="none"/>
                <w:vertAlign w:val="baseline"/>
                <w:lang w:val="en-US" w:eastAsia="zh-CN"/>
              </w:rPr>
              <w:t>2号仓库隔间A、B、C、D；4号仓库隔间B；5号仓库隔间B</w:t>
            </w:r>
          </w:p>
        </w:tc>
        <w:tc>
          <w:tcPr>
            <w:tcW w:w="807" w:type="dxa"/>
            <w:noWrap w:val="0"/>
            <w:vAlign w:val="center"/>
          </w:tcPr>
          <w:p w14:paraId="35B6DF45">
            <w:pPr>
              <w:spacing w:line="240" w:lineRule="exact"/>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kern w:val="0"/>
                <w:sz w:val="21"/>
                <w:szCs w:val="21"/>
                <w:u w:val="none"/>
                <w:vertAlign w:val="baseline"/>
                <w:lang w:val="en-US" w:eastAsia="zh-CN"/>
              </w:rPr>
              <w:t>磷酸</w:t>
            </w:r>
          </w:p>
        </w:tc>
        <w:tc>
          <w:tcPr>
            <w:tcW w:w="649" w:type="dxa"/>
            <w:noWrap w:val="0"/>
            <w:vAlign w:val="center"/>
          </w:tcPr>
          <w:p w14:paraId="734F5670">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液态</w:t>
            </w:r>
          </w:p>
        </w:tc>
        <w:tc>
          <w:tcPr>
            <w:tcW w:w="723" w:type="dxa"/>
            <w:noWrap w:val="0"/>
            <w:vAlign w:val="center"/>
          </w:tcPr>
          <w:p w14:paraId="05E1B3CB">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20L桶装</w:t>
            </w:r>
          </w:p>
        </w:tc>
        <w:tc>
          <w:tcPr>
            <w:tcW w:w="729" w:type="dxa"/>
            <w:noWrap w:val="0"/>
            <w:vAlign w:val="center"/>
          </w:tcPr>
          <w:p w14:paraId="6DB6856B">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常温</w:t>
            </w:r>
          </w:p>
        </w:tc>
        <w:tc>
          <w:tcPr>
            <w:tcW w:w="930" w:type="dxa"/>
            <w:noWrap w:val="0"/>
            <w:vAlign w:val="center"/>
          </w:tcPr>
          <w:p w14:paraId="537565CE">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常压</w:t>
            </w:r>
          </w:p>
        </w:tc>
        <w:tc>
          <w:tcPr>
            <w:tcW w:w="846" w:type="dxa"/>
            <w:noWrap w:val="0"/>
            <w:vAlign w:val="center"/>
          </w:tcPr>
          <w:p w14:paraId="6A402CA2">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55550</w:t>
            </w:r>
          </w:p>
        </w:tc>
        <w:tc>
          <w:tcPr>
            <w:tcW w:w="840" w:type="dxa"/>
            <w:noWrap w:val="0"/>
            <w:vAlign w:val="center"/>
          </w:tcPr>
          <w:p w14:paraId="357C72F7">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0.02</w:t>
            </w:r>
            <w:r>
              <w:rPr>
                <w:rFonts w:hint="default" w:ascii="Times New Roman" w:hAnsi="Times New Roman" w:eastAsia="宋体" w:cs="Times New Roman"/>
                <w:color w:val="auto"/>
                <w:sz w:val="21"/>
                <w:szCs w:val="21"/>
                <w:u w:val="none"/>
              </w:rPr>
              <w:t>m</w:t>
            </w:r>
            <w:r>
              <w:rPr>
                <w:rFonts w:hint="default" w:ascii="Times New Roman" w:hAnsi="Times New Roman" w:eastAsia="宋体" w:cs="Times New Roman"/>
                <w:color w:val="auto"/>
                <w:sz w:val="21"/>
                <w:szCs w:val="21"/>
                <w:u w:val="none"/>
                <w:vertAlign w:val="superscript"/>
              </w:rPr>
              <w:t>3</w:t>
            </w:r>
          </w:p>
        </w:tc>
        <w:tc>
          <w:tcPr>
            <w:tcW w:w="820" w:type="dxa"/>
            <w:noWrap w:val="0"/>
            <w:vAlign w:val="center"/>
          </w:tcPr>
          <w:p w14:paraId="255A38BB">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28"/>
                <w:szCs w:val="21"/>
                <w:u w:val="none"/>
                <w:lang w:val="en-US" w:eastAsia="zh-CN"/>
              </w:rPr>
              <w:t>2300</w:t>
            </w:r>
          </w:p>
        </w:tc>
        <w:tc>
          <w:tcPr>
            <w:tcW w:w="939" w:type="dxa"/>
            <w:noWrap w:val="0"/>
            <w:vAlign w:val="center"/>
          </w:tcPr>
          <w:p w14:paraId="038FBD3D">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230</w:t>
            </w:r>
          </w:p>
        </w:tc>
      </w:tr>
      <w:tr w14:paraId="69280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9" w:type="dxa"/>
            <w:noWrap w:val="0"/>
            <w:vAlign w:val="center"/>
          </w:tcPr>
          <w:p w14:paraId="7275218E">
            <w:pPr>
              <w:spacing w:line="240" w:lineRule="exact"/>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0"/>
                <w:sz w:val="21"/>
                <w:szCs w:val="21"/>
                <w:u w:val="none"/>
                <w:vertAlign w:val="baseline"/>
                <w:lang w:val="en-US" w:eastAsia="zh-CN"/>
              </w:rPr>
              <w:t>2号仓库隔间A、B、C、D；4号仓库隔间B；5号仓库隔间B</w:t>
            </w:r>
          </w:p>
        </w:tc>
        <w:tc>
          <w:tcPr>
            <w:tcW w:w="807" w:type="dxa"/>
            <w:noWrap w:val="0"/>
            <w:vAlign w:val="center"/>
          </w:tcPr>
          <w:p w14:paraId="4DFEFA68">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盐酸</w:t>
            </w:r>
          </w:p>
        </w:tc>
        <w:tc>
          <w:tcPr>
            <w:tcW w:w="649" w:type="dxa"/>
            <w:noWrap w:val="0"/>
            <w:vAlign w:val="center"/>
          </w:tcPr>
          <w:p w14:paraId="6C35CC75">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液态</w:t>
            </w:r>
          </w:p>
        </w:tc>
        <w:tc>
          <w:tcPr>
            <w:tcW w:w="723" w:type="dxa"/>
            <w:noWrap w:val="0"/>
            <w:vAlign w:val="center"/>
          </w:tcPr>
          <w:p w14:paraId="370D46BF">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20L桶装</w:t>
            </w:r>
          </w:p>
        </w:tc>
        <w:tc>
          <w:tcPr>
            <w:tcW w:w="729" w:type="dxa"/>
            <w:noWrap w:val="0"/>
            <w:vAlign w:val="center"/>
          </w:tcPr>
          <w:p w14:paraId="79B36226">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常温</w:t>
            </w:r>
          </w:p>
        </w:tc>
        <w:tc>
          <w:tcPr>
            <w:tcW w:w="930" w:type="dxa"/>
            <w:noWrap w:val="0"/>
            <w:vAlign w:val="center"/>
          </w:tcPr>
          <w:p w14:paraId="6BF4F111">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常压</w:t>
            </w:r>
          </w:p>
        </w:tc>
        <w:tc>
          <w:tcPr>
            <w:tcW w:w="846" w:type="dxa"/>
            <w:noWrap w:val="0"/>
            <w:vAlign w:val="center"/>
          </w:tcPr>
          <w:p w14:paraId="20D39E91">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95850</w:t>
            </w:r>
          </w:p>
        </w:tc>
        <w:tc>
          <w:tcPr>
            <w:tcW w:w="840" w:type="dxa"/>
            <w:noWrap w:val="0"/>
            <w:vAlign w:val="center"/>
          </w:tcPr>
          <w:p w14:paraId="0BC4BF56">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0.02</w:t>
            </w:r>
            <w:r>
              <w:rPr>
                <w:rFonts w:hint="default" w:ascii="Times New Roman" w:hAnsi="Times New Roman" w:eastAsia="宋体" w:cs="Times New Roman"/>
                <w:color w:val="auto"/>
                <w:sz w:val="21"/>
                <w:szCs w:val="21"/>
                <w:u w:val="none"/>
              </w:rPr>
              <w:t>m</w:t>
            </w:r>
            <w:r>
              <w:rPr>
                <w:rFonts w:hint="default" w:ascii="Times New Roman" w:hAnsi="Times New Roman" w:eastAsia="宋体" w:cs="Times New Roman"/>
                <w:color w:val="auto"/>
                <w:sz w:val="21"/>
                <w:szCs w:val="21"/>
                <w:u w:val="none"/>
                <w:vertAlign w:val="superscript"/>
              </w:rPr>
              <w:t>3</w:t>
            </w:r>
          </w:p>
        </w:tc>
        <w:tc>
          <w:tcPr>
            <w:tcW w:w="820" w:type="dxa"/>
            <w:noWrap w:val="0"/>
            <w:vAlign w:val="center"/>
          </w:tcPr>
          <w:p w14:paraId="32E5A4B5">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Cs w:val="21"/>
                <w:u w:val="none"/>
                <w:lang w:val="en-US" w:eastAsia="zh-CN"/>
              </w:rPr>
              <w:t>2300</w:t>
            </w:r>
          </w:p>
        </w:tc>
        <w:tc>
          <w:tcPr>
            <w:tcW w:w="939" w:type="dxa"/>
            <w:noWrap w:val="0"/>
            <w:vAlign w:val="center"/>
          </w:tcPr>
          <w:p w14:paraId="38C6145D">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306.7</w:t>
            </w:r>
          </w:p>
        </w:tc>
      </w:tr>
      <w:tr w14:paraId="4FFBD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9" w:type="dxa"/>
            <w:noWrap w:val="0"/>
            <w:vAlign w:val="center"/>
          </w:tcPr>
          <w:p w14:paraId="153CD270">
            <w:pPr>
              <w:spacing w:line="240" w:lineRule="exact"/>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0"/>
                <w:sz w:val="21"/>
                <w:szCs w:val="21"/>
                <w:u w:val="none"/>
                <w:vertAlign w:val="baseline"/>
                <w:lang w:val="en-US" w:eastAsia="zh-CN"/>
              </w:rPr>
              <w:t>2号仓库隔间A、B、C、D；4号仓库隔间C；5号仓库隔间C</w:t>
            </w:r>
          </w:p>
        </w:tc>
        <w:tc>
          <w:tcPr>
            <w:tcW w:w="807" w:type="dxa"/>
            <w:noWrap w:val="0"/>
            <w:vAlign w:val="center"/>
          </w:tcPr>
          <w:p w14:paraId="4CDD35C7">
            <w:pPr>
              <w:spacing w:line="240" w:lineRule="exact"/>
              <w:jc w:val="center"/>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硫酸镍</w:t>
            </w:r>
          </w:p>
        </w:tc>
        <w:tc>
          <w:tcPr>
            <w:tcW w:w="649" w:type="dxa"/>
            <w:noWrap w:val="0"/>
            <w:vAlign w:val="center"/>
          </w:tcPr>
          <w:p w14:paraId="70E91DDA">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固态</w:t>
            </w:r>
          </w:p>
        </w:tc>
        <w:tc>
          <w:tcPr>
            <w:tcW w:w="723" w:type="dxa"/>
            <w:noWrap w:val="0"/>
            <w:vAlign w:val="center"/>
          </w:tcPr>
          <w:p w14:paraId="6D0133F5">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50kg袋装</w:t>
            </w:r>
          </w:p>
        </w:tc>
        <w:tc>
          <w:tcPr>
            <w:tcW w:w="729" w:type="dxa"/>
            <w:noWrap w:val="0"/>
            <w:vAlign w:val="center"/>
          </w:tcPr>
          <w:p w14:paraId="1BAF493F">
            <w:pPr>
              <w:adjustRightInd w:val="0"/>
              <w:snapToGrid w:val="0"/>
              <w:jc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常温</w:t>
            </w:r>
          </w:p>
        </w:tc>
        <w:tc>
          <w:tcPr>
            <w:tcW w:w="930" w:type="dxa"/>
            <w:noWrap w:val="0"/>
            <w:vAlign w:val="center"/>
          </w:tcPr>
          <w:p w14:paraId="14A12436">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常压</w:t>
            </w:r>
          </w:p>
        </w:tc>
        <w:tc>
          <w:tcPr>
            <w:tcW w:w="846" w:type="dxa"/>
            <w:noWrap w:val="0"/>
            <w:vAlign w:val="center"/>
          </w:tcPr>
          <w:p w14:paraId="6357EAF6">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29000</w:t>
            </w:r>
          </w:p>
        </w:tc>
        <w:tc>
          <w:tcPr>
            <w:tcW w:w="840" w:type="dxa"/>
            <w:noWrap w:val="0"/>
            <w:vAlign w:val="center"/>
          </w:tcPr>
          <w:p w14:paraId="73B5AA40">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50kg</w:t>
            </w:r>
          </w:p>
        </w:tc>
        <w:tc>
          <w:tcPr>
            <w:tcW w:w="820" w:type="dxa"/>
            <w:noWrap w:val="0"/>
            <w:vAlign w:val="center"/>
          </w:tcPr>
          <w:p w14:paraId="3077D253">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0"/>
                <w:sz w:val="21"/>
                <w:szCs w:val="21"/>
                <w:u w:val="none"/>
                <w:vertAlign w:val="baseline"/>
                <w:lang w:val="en-US" w:eastAsia="zh-CN"/>
              </w:rPr>
              <w:t>1450</w:t>
            </w:r>
          </w:p>
        </w:tc>
        <w:tc>
          <w:tcPr>
            <w:tcW w:w="939" w:type="dxa"/>
            <w:noWrap w:val="0"/>
            <w:vAlign w:val="center"/>
          </w:tcPr>
          <w:p w14:paraId="237084FA">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5800</w:t>
            </w:r>
          </w:p>
        </w:tc>
      </w:tr>
      <w:tr w14:paraId="490C8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9" w:type="dxa"/>
            <w:noWrap w:val="0"/>
            <w:vAlign w:val="center"/>
          </w:tcPr>
          <w:p w14:paraId="13ED1A75">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2号仓库隔间A、B；4号仓库隔间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A</w:t>
            </w:r>
          </w:p>
        </w:tc>
        <w:tc>
          <w:tcPr>
            <w:tcW w:w="807" w:type="dxa"/>
            <w:noWrap w:val="0"/>
            <w:vAlign w:val="center"/>
          </w:tcPr>
          <w:p w14:paraId="6CD1F6D0">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30%</w:t>
            </w:r>
            <w:r>
              <w:rPr>
                <w:rFonts w:hint="eastAsia" w:ascii="Times New Roman" w:hAnsi="Times New Roman" w:eastAsia="宋体" w:cs="Times New Roman"/>
                <w:color w:val="auto"/>
                <w:kern w:val="0"/>
                <w:sz w:val="21"/>
                <w:szCs w:val="21"/>
                <w:u w:val="single"/>
                <w:vertAlign w:val="baseline"/>
                <w:lang w:val="en-US" w:eastAsia="zh-CN"/>
              </w:rPr>
              <w:t>氢氧化锂溶液</w:t>
            </w:r>
          </w:p>
        </w:tc>
        <w:tc>
          <w:tcPr>
            <w:tcW w:w="649" w:type="dxa"/>
            <w:noWrap w:val="0"/>
            <w:vAlign w:val="center"/>
          </w:tcPr>
          <w:p w14:paraId="017352EB">
            <w:pPr>
              <w:spacing w:line="240" w:lineRule="exact"/>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液态</w:t>
            </w:r>
          </w:p>
        </w:tc>
        <w:tc>
          <w:tcPr>
            <w:tcW w:w="723" w:type="dxa"/>
            <w:noWrap w:val="0"/>
            <w:vAlign w:val="center"/>
          </w:tcPr>
          <w:p w14:paraId="309D2B1B">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20L桶装</w:t>
            </w:r>
          </w:p>
        </w:tc>
        <w:tc>
          <w:tcPr>
            <w:tcW w:w="729" w:type="dxa"/>
            <w:noWrap w:val="0"/>
            <w:vAlign w:val="center"/>
          </w:tcPr>
          <w:p w14:paraId="4C19D7D1">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val="en-US" w:eastAsia="zh-CN"/>
              </w:rPr>
              <w:t>常温</w:t>
            </w:r>
          </w:p>
        </w:tc>
        <w:tc>
          <w:tcPr>
            <w:tcW w:w="930" w:type="dxa"/>
            <w:noWrap w:val="0"/>
            <w:vAlign w:val="center"/>
          </w:tcPr>
          <w:p w14:paraId="68B1F84E">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常压</w:t>
            </w:r>
          </w:p>
        </w:tc>
        <w:tc>
          <w:tcPr>
            <w:tcW w:w="846" w:type="dxa"/>
            <w:noWrap w:val="0"/>
            <w:vAlign w:val="center"/>
          </w:tcPr>
          <w:p w14:paraId="187FB3A2">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56404</w:t>
            </w:r>
          </w:p>
        </w:tc>
        <w:tc>
          <w:tcPr>
            <w:tcW w:w="840" w:type="dxa"/>
            <w:noWrap w:val="0"/>
            <w:vAlign w:val="center"/>
          </w:tcPr>
          <w:p w14:paraId="4C48E39D">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0.02</w:t>
            </w:r>
            <w:r>
              <w:rPr>
                <w:rFonts w:hint="default" w:ascii="Times New Roman" w:hAnsi="Times New Roman" w:eastAsia="宋体" w:cs="Times New Roman"/>
                <w:color w:val="auto"/>
                <w:sz w:val="21"/>
                <w:szCs w:val="21"/>
                <w:u w:val="single"/>
              </w:rPr>
              <w:t>m</w:t>
            </w:r>
            <w:r>
              <w:rPr>
                <w:rFonts w:hint="default" w:ascii="Times New Roman" w:hAnsi="Times New Roman" w:eastAsia="宋体" w:cs="Times New Roman"/>
                <w:color w:val="auto"/>
                <w:sz w:val="21"/>
                <w:szCs w:val="21"/>
                <w:u w:val="single"/>
                <w:vertAlign w:val="superscript"/>
              </w:rPr>
              <w:t>3</w:t>
            </w:r>
          </w:p>
        </w:tc>
        <w:tc>
          <w:tcPr>
            <w:tcW w:w="820" w:type="dxa"/>
            <w:noWrap w:val="0"/>
            <w:vAlign w:val="center"/>
          </w:tcPr>
          <w:p w14:paraId="060F83EE">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1500（纯450）</w:t>
            </w:r>
          </w:p>
        </w:tc>
        <w:tc>
          <w:tcPr>
            <w:tcW w:w="939" w:type="dxa"/>
            <w:noWrap w:val="0"/>
            <w:vAlign w:val="center"/>
          </w:tcPr>
          <w:p w14:paraId="202D8F61">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9</w:t>
            </w:r>
          </w:p>
        </w:tc>
      </w:tr>
      <w:tr w14:paraId="0B557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9" w:type="dxa"/>
            <w:noWrap w:val="0"/>
            <w:vAlign w:val="center"/>
          </w:tcPr>
          <w:p w14:paraId="2D58EAB0">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2号仓库隔间B、C、D；4号仓库隔间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A</w:t>
            </w:r>
          </w:p>
        </w:tc>
        <w:tc>
          <w:tcPr>
            <w:tcW w:w="807" w:type="dxa"/>
            <w:noWrap w:val="0"/>
            <w:vAlign w:val="center"/>
          </w:tcPr>
          <w:p w14:paraId="251AEC0E">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氢氧化锂</w:t>
            </w:r>
          </w:p>
        </w:tc>
        <w:tc>
          <w:tcPr>
            <w:tcW w:w="649" w:type="dxa"/>
            <w:noWrap w:val="0"/>
            <w:vAlign w:val="center"/>
          </w:tcPr>
          <w:p w14:paraId="41AB096E">
            <w:pPr>
              <w:spacing w:line="240" w:lineRule="exact"/>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723" w:type="dxa"/>
            <w:noWrap w:val="0"/>
            <w:vAlign w:val="center"/>
          </w:tcPr>
          <w:p w14:paraId="6D90AD19">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50kg袋装</w:t>
            </w:r>
          </w:p>
        </w:tc>
        <w:tc>
          <w:tcPr>
            <w:tcW w:w="729" w:type="dxa"/>
            <w:noWrap w:val="0"/>
            <w:vAlign w:val="center"/>
          </w:tcPr>
          <w:p w14:paraId="279BD771">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常温</w:t>
            </w:r>
          </w:p>
        </w:tc>
        <w:tc>
          <w:tcPr>
            <w:tcW w:w="930" w:type="dxa"/>
            <w:noWrap w:val="0"/>
            <w:vAlign w:val="center"/>
          </w:tcPr>
          <w:p w14:paraId="0209780F">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常压</w:t>
            </w:r>
          </w:p>
        </w:tc>
        <w:tc>
          <w:tcPr>
            <w:tcW w:w="846" w:type="dxa"/>
            <w:noWrap w:val="0"/>
            <w:vAlign w:val="center"/>
          </w:tcPr>
          <w:p w14:paraId="17936DBD">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34000</w:t>
            </w:r>
          </w:p>
        </w:tc>
        <w:tc>
          <w:tcPr>
            <w:tcW w:w="840" w:type="dxa"/>
            <w:noWrap w:val="0"/>
            <w:vAlign w:val="center"/>
          </w:tcPr>
          <w:p w14:paraId="739C5064">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w:t>
            </w:r>
          </w:p>
        </w:tc>
        <w:tc>
          <w:tcPr>
            <w:tcW w:w="820" w:type="dxa"/>
            <w:noWrap w:val="0"/>
            <w:vAlign w:val="center"/>
          </w:tcPr>
          <w:p w14:paraId="13FC6DFE">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1700</w:t>
            </w:r>
          </w:p>
        </w:tc>
        <w:tc>
          <w:tcPr>
            <w:tcW w:w="939" w:type="dxa"/>
            <w:noWrap w:val="0"/>
            <w:vAlign w:val="center"/>
          </w:tcPr>
          <w:p w14:paraId="6B717D6D">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34</w:t>
            </w:r>
          </w:p>
        </w:tc>
      </w:tr>
      <w:tr w14:paraId="0897E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9" w:type="dxa"/>
            <w:noWrap w:val="0"/>
            <w:vAlign w:val="center"/>
          </w:tcPr>
          <w:p w14:paraId="7C004CCB">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w:t>
            </w:r>
            <w:r>
              <w:rPr>
                <w:rFonts w:hint="eastAsia" w:cs="Times New Roman"/>
                <w:color w:val="auto"/>
                <w:kern w:val="0"/>
                <w:sz w:val="21"/>
                <w:szCs w:val="21"/>
                <w:u w:val="single"/>
                <w:vertAlign w:val="baseline"/>
                <w:lang w:val="en-US" w:eastAsia="zh-CN"/>
              </w:rPr>
              <w:t>E</w:t>
            </w:r>
            <w:r>
              <w:rPr>
                <w:rFonts w:hint="eastAsia" w:ascii="Times New Roman" w:hAnsi="Times New Roman" w:eastAsia="宋体" w:cs="Times New Roman"/>
                <w:color w:val="auto"/>
                <w:kern w:val="0"/>
                <w:sz w:val="21"/>
                <w:szCs w:val="21"/>
                <w:u w:val="single"/>
                <w:vertAlign w:val="baseline"/>
                <w:lang w:val="en-US" w:eastAsia="zh-CN"/>
              </w:rPr>
              <w:t>；4号仓库隔间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807" w:type="dxa"/>
            <w:noWrap w:val="0"/>
            <w:vAlign w:val="center"/>
          </w:tcPr>
          <w:p w14:paraId="4AE9895A">
            <w:pPr>
              <w:adjustRightInd w:val="0"/>
              <w:snapToGrid w:val="0"/>
              <w:spacing w:line="240" w:lineRule="auto"/>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氟硅酸钠</w:t>
            </w:r>
          </w:p>
        </w:tc>
        <w:tc>
          <w:tcPr>
            <w:tcW w:w="649" w:type="dxa"/>
            <w:noWrap w:val="0"/>
            <w:vAlign w:val="center"/>
          </w:tcPr>
          <w:p w14:paraId="7B580A21">
            <w:pPr>
              <w:adjustRightInd w:val="0"/>
              <w:snapToGrid w:val="0"/>
              <w:spacing w:line="240" w:lineRule="auto"/>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723" w:type="dxa"/>
            <w:noWrap w:val="0"/>
            <w:vAlign w:val="center"/>
          </w:tcPr>
          <w:p w14:paraId="2D1589CD">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50kg袋装</w:t>
            </w:r>
          </w:p>
        </w:tc>
        <w:tc>
          <w:tcPr>
            <w:tcW w:w="729" w:type="dxa"/>
            <w:noWrap w:val="0"/>
            <w:vAlign w:val="center"/>
          </w:tcPr>
          <w:p w14:paraId="3DCA049F">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常温</w:t>
            </w:r>
          </w:p>
        </w:tc>
        <w:tc>
          <w:tcPr>
            <w:tcW w:w="930" w:type="dxa"/>
            <w:noWrap w:val="0"/>
            <w:vAlign w:val="center"/>
          </w:tcPr>
          <w:p w14:paraId="339BB94F">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常压</w:t>
            </w:r>
          </w:p>
        </w:tc>
        <w:tc>
          <w:tcPr>
            <w:tcW w:w="846" w:type="dxa"/>
            <w:noWrap w:val="0"/>
            <w:vAlign w:val="center"/>
          </w:tcPr>
          <w:p w14:paraId="62B285B9">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29000</w:t>
            </w:r>
          </w:p>
        </w:tc>
        <w:tc>
          <w:tcPr>
            <w:tcW w:w="840" w:type="dxa"/>
            <w:noWrap w:val="0"/>
            <w:vAlign w:val="center"/>
          </w:tcPr>
          <w:p w14:paraId="336A44A8">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w:t>
            </w:r>
          </w:p>
        </w:tc>
        <w:tc>
          <w:tcPr>
            <w:tcW w:w="820" w:type="dxa"/>
            <w:noWrap w:val="0"/>
            <w:vAlign w:val="center"/>
          </w:tcPr>
          <w:p w14:paraId="33B247FE">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1450</w:t>
            </w:r>
          </w:p>
        </w:tc>
        <w:tc>
          <w:tcPr>
            <w:tcW w:w="939" w:type="dxa"/>
            <w:noWrap w:val="0"/>
            <w:vAlign w:val="center"/>
          </w:tcPr>
          <w:p w14:paraId="06EE0FDB">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29</w:t>
            </w:r>
          </w:p>
        </w:tc>
      </w:tr>
      <w:tr w14:paraId="457F4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9" w:type="dxa"/>
            <w:noWrap w:val="0"/>
            <w:vAlign w:val="center"/>
          </w:tcPr>
          <w:p w14:paraId="1ED19AF5">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2号仓库隔间E</w:t>
            </w:r>
          </w:p>
        </w:tc>
        <w:tc>
          <w:tcPr>
            <w:tcW w:w="807" w:type="dxa"/>
            <w:noWrap w:val="0"/>
            <w:vAlign w:val="center"/>
          </w:tcPr>
          <w:p w14:paraId="060F4A72">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氟硅酸镁</w:t>
            </w:r>
          </w:p>
        </w:tc>
        <w:tc>
          <w:tcPr>
            <w:tcW w:w="649" w:type="dxa"/>
            <w:noWrap w:val="0"/>
            <w:vAlign w:val="center"/>
          </w:tcPr>
          <w:p w14:paraId="084042A7">
            <w:pPr>
              <w:spacing w:line="240" w:lineRule="exact"/>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723" w:type="dxa"/>
            <w:noWrap w:val="0"/>
            <w:vAlign w:val="center"/>
          </w:tcPr>
          <w:p w14:paraId="252887F8">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50kg袋装</w:t>
            </w:r>
          </w:p>
        </w:tc>
        <w:tc>
          <w:tcPr>
            <w:tcW w:w="729" w:type="dxa"/>
            <w:noWrap w:val="0"/>
            <w:vAlign w:val="center"/>
          </w:tcPr>
          <w:p w14:paraId="2BAFF5E9">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常温</w:t>
            </w:r>
          </w:p>
        </w:tc>
        <w:tc>
          <w:tcPr>
            <w:tcW w:w="930" w:type="dxa"/>
            <w:noWrap w:val="0"/>
            <w:vAlign w:val="center"/>
          </w:tcPr>
          <w:p w14:paraId="71B0D37B">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常压</w:t>
            </w:r>
          </w:p>
        </w:tc>
        <w:tc>
          <w:tcPr>
            <w:tcW w:w="846" w:type="dxa"/>
            <w:noWrap w:val="0"/>
            <w:vAlign w:val="center"/>
          </w:tcPr>
          <w:p w14:paraId="4E907810">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4000</w:t>
            </w:r>
          </w:p>
        </w:tc>
        <w:tc>
          <w:tcPr>
            <w:tcW w:w="840" w:type="dxa"/>
            <w:noWrap w:val="0"/>
            <w:vAlign w:val="center"/>
          </w:tcPr>
          <w:p w14:paraId="41840822">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w:t>
            </w:r>
          </w:p>
        </w:tc>
        <w:tc>
          <w:tcPr>
            <w:tcW w:w="820" w:type="dxa"/>
            <w:noWrap w:val="0"/>
            <w:vAlign w:val="center"/>
          </w:tcPr>
          <w:p w14:paraId="5B23246F">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200</w:t>
            </w:r>
          </w:p>
        </w:tc>
        <w:tc>
          <w:tcPr>
            <w:tcW w:w="939" w:type="dxa"/>
            <w:noWrap w:val="0"/>
            <w:vAlign w:val="center"/>
          </w:tcPr>
          <w:p w14:paraId="6906C95E">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4</w:t>
            </w:r>
          </w:p>
        </w:tc>
      </w:tr>
      <w:tr w14:paraId="202FC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9" w:type="dxa"/>
            <w:noWrap w:val="0"/>
            <w:vAlign w:val="center"/>
          </w:tcPr>
          <w:p w14:paraId="4DDFE17D">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807" w:type="dxa"/>
            <w:noWrap w:val="0"/>
            <w:vAlign w:val="center"/>
          </w:tcPr>
          <w:p w14:paraId="50883B2C">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氟化钠</w:t>
            </w:r>
          </w:p>
        </w:tc>
        <w:tc>
          <w:tcPr>
            <w:tcW w:w="649" w:type="dxa"/>
            <w:noWrap w:val="0"/>
            <w:vAlign w:val="center"/>
          </w:tcPr>
          <w:p w14:paraId="0393129F">
            <w:pPr>
              <w:spacing w:line="240" w:lineRule="exact"/>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723" w:type="dxa"/>
            <w:noWrap w:val="0"/>
            <w:vAlign w:val="center"/>
          </w:tcPr>
          <w:p w14:paraId="54F1DB27">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50kg袋装</w:t>
            </w:r>
          </w:p>
        </w:tc>
        <w:tc>
          <w:tcPr>
            <w:tcW w:w="729" w:type="dxa"/>
            <w:noWrap w:val="0"/>
            <w:vAlign w:val="center"/>
          </w:tcPr>
          <w:p w14:paraId="4ECBB30C">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常温</w:t>
            </w:r>
          </w:p>
        </w:tc>
        <w:tc>
          <w:tcPr>
            <w:tcW w:w="930" w:type="dxa"/>
            <w:noWrap w:val="0"/>
            <w:vAlign w:val="center"/>
          </w:tcPr>
          <w:p w14:paraId="29F567FB">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常压</w:t>
            </w:r>
          </w:p>
        </w:tc>
        <w:tc>
          <w:tcPr>
            <w:tcW w:w="846" w:type="dxa"/>
            <w:noWrap w:val="0"/>
            <w:vAlign w:val="center"/>
          </w:tcPr>
          <w:p w14:paraId="1B6307BD">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25000</w:t>
            </w:r>
          </w:p>
        </w:tc>
        <w:tc>
          <w:tcPr>
            <w:tcW w:w="840" w:type="dxa"/>
            <w:noWrap w:val="0"/>
            <w:vAlign w:val="center"/>
          </w:tcPr>
          <w:p w14:paraId="4D4CBECD">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w:t>
            </w:r>
          </w:p>
        </w:tc>
        <w:tc>
          <w:tcPr>
            <w:tcW w:w="820" w:type="dxa"/>
            <w:noWrap w:val="0"/>
            <w:vAlign w:val="center"/>
          </w:tcPr>
          <w:p w14:paraId="1B70E28F">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1250</w:t>
            </w:r>
          </w:p>
        </w:tc>
        <w:tc>
          <w:tcPr>
            <w:tcW w:w="939" w:type="dxa"/>
            <w:noWrap w:val="0"/>
            <w:vAlign w:val="center"/>
          </w:tcPr>
          <w:p w14:paraId="7625564C">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w:t>
            </w:r>
          </w:p>
        </w:tc>
      </w:tr>
      <w:tr w14:paraId="1A4B3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9" w:type="dxa"/>
            <w:noWrap w:val="0"/>
            <w:vAlign w:val="center"/>
          </w:tcPr>
          <w:p w14:paraId="48D85478">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807" w:type="dxa"/>
            <w:noWrap w:val="0"/>
            <w:vAlign w:val="center"/>
          </w:tcPr>
          <w:p w14:paraId="67F12649">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氟化钡</w:t>
            </w:r>
          </w:p>
        </w:tc>
        <w:tc>
          <w:tcPr>
            <w:tcW w:w="649" w:type="dxa"/>
            <w:noWrap w:val="0"/>
            <w:vAlign w:val="center"/>
          </w:tcPr>
          <w:p w14:paraId="60678106">
            <w:pPr>
              <w:spacing w:line="240" w:lineRule="exact"/>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723" w:type="dxa"/>
            <w:noWrap w:val="0"/>
            <w:vAlign w:val="center"/>
          </w:tcPr>
          <w:p w14:paraId="52C5CB21">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50kg袋装</w:t>
            </w:r>
          </w:p>
        </w:tc>
        <w:tc>
          <w:tcPr>
            <w:tcW w:w="729" w:type="dxa"/>
            <w:noWrap w:val="0"/>
            <w:vAlign w:val="center"/>
          </w:tcPr>
          <w:p w14:paraId="5191BE7D">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常温</w:t>
            </w:r>
          </w:p>
        </w:tc>
        <w:tc>
          <w:tcPr>
            <w:tcW w:w="930" w:type="dxa"/>
            <w:noWrap w:val="0"/>
            <w:vAlign w:val="center"/>
          </w:tcPr>
          <w:p w14:paraId="15E797FA">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常压</w:t>
            </w:r>
          </w:p>
        </w:tc>
        <w:tc>
          <w:tcPr>
            <w:tcW w:w="846" w:type="dxa"/>
            <w:noWrap w:val="0"/>
            <w:vAlign w:val="center"/>
          </w:tcPr>
          <w:p w14:paraId="627E808C">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25000</w:t>
            </w:r>
          </w:p>
        </w:tc>
        <w:tc>
          <w:tcPr>
            <w:tcW w:w="840" w:type="dxa"/>
            <w:noWrap w:val="0"/>
            <w:vAlign w:val="center"/>
          </w:tcPr>
          <w:p w14:paraId="790D79CD">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w:t>
            </w:r>
          </w:p>
        </w:tc>
        <w:tc>
          <w:tcPr>
            <w:tcW w:w="820" w:type="dxa"/>
            <w:noWrap w:val="0"/>
            <w:vAlign w:val="center"/>
          </w:tcPr>
          <w:p w14:paraId="22936DC7">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1250</w:t>
            </w:r>
          </w:p>
        </w:tc>
        <w:tc>
          <w:tcPr>
            <w:tcW w:w="939" w:type="dxa"/>
            <w:noWrap w:val="0"/>
            <w:vAlign w:val="center"/>
          </w:tcPr>
          <w:p w14:paraId="0045AB92">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w:t>
            </w:r>
          </w:p>
        </w:tc>
      </w:tr>
      <w:tr w14:paraId="5A6F1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9" w:type="dxa"/>
            <w:noWrap w:val="0"/>
            <w:vAlign w:val="center"/>
          </w:tcPr>
          <w:p w14:paraId="7BFF7D63">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w:t>
            </w:r>
            <w:r>
              <w:rPr>
                <w:rFonts w:hint="eastAsia" w:cs="Times New Roman"/>
                <w:color w:val="auto"/>
                <w:kern w:val="0"/>
                <w:sz w:val="21"/>
                <w:szCs w:val="21"/>
                <w:u w:val="single"/>
                <w:vertAlign w:val="baseline"/>
                <w:lang w:val="en-US" w:eastAsia="zh-CN"/>
              </w:rPr>
              <w:t>、E</w:t>
            </w:r>
            <w:r>
              <w:rPr>
                <w:rFonts w:hint="eastAsia" w:ascii="Times New Roman" w:hAnsi="Times New Roman" w:eastAsia="宋体" w:cs="Times New Roman"/>
                <w:color w:val="auto"/>
                <w:kern w:val="0"/>
                <w:sz w:val="21"/>
                <w:szCs w:val="21"/>
                <w:u w:val="single"/>
                <w:vertAlign w:val="baseline"/>
                <w:lang w:val="en-US" w:eastAsia="zh-CN"/>
              </w:rPr>
              <w:t>；4号仓库隔间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807" w:type="dxa"/>
            <w:noWrap w:val="0"/>
            <w:vAlign w:val="center"/>
          </w:tcPr>
          <w:p w14:paraId="576F2AA8">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氟硅酸锌</w:t>
            </w:r>
          </w:p>
        </w:tc>
        <w:tc>
          <w:tcPr>
            <w:tcW w:w="649" w:type="dxa"/>
            <w:noWrap w:val="0"/>
            <w:vAlign w:val="center"/>
          </w:tcPr>
          <w:p w14:paraId="670E8821">
            <w:pPr>
              <w:spacing w:line="240" w:lineRule="exact"/>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723" w:type="dxa"/>
            <w:noWrap w:val="0"/>
            <w:vAlign w:val="center"/>
          </w:tcPr>
          <w:p w14:paraId="041DB6DA">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50kg袋装</w:t>
            </w:r>
          </w:p>
        </w:tc>
        <w:tc>
          <w:tcPr>
            <w:tcW w:w="729" w:type="dxa"/>
            <w:noWrap w:val="0"/>
            <w:vAlign w:val="center"/>
          </w:tcPr>
          <w:p w14:paraId="6C2D1C07">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常温</w:t>
            </w:r>
          </w:p>
        </w:tc>
        <w:tc>
          <w:tcPr>
            <w:tcW w:w="930" w:type="dxa"/>
            <w:noWrap w:val="0"/>
            <w:vAlign w:val="center"/>
          </w:tcPr>
          <w:p w14:paraId="429E54E5">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常压</w:t>
            </w:r>
          </w:p>
        </w:tc>
        <w:tc>
          <w:tcPr>
            <w:tcW w:w="846" w:type="dxa"/>
            <w:noWrap w:val="0"/>
            <w:vAlign w:val="center"/>
          </w:tcPr>
          <w:p w14:paraId="26E9ED65">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29000</w:t>
            </w:r>
          </w:p>
        </w:tc>
        <w:tc>
          <w:tcPr>
            <w:tcW w:w="840" w:type="dxa"/>
            <w:noWrap w:val="0"/>
            <w:vAlign w:val="center"/>
          </w:tcPr>
          <w:p w14:paraId="2560A6DE">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w:t>
            </w:r>
          </w:p>
        </w:tc>
        <w:tc>
          <w:tcPr>
            <w:tcW w:w="820" w:type="dxa"/>
            <w:noWrap w:val="0"/>
            <w:vAlign w:val="center"/>
          </w:tcPr>
          <w:p w14:paraId="00658084">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1450</w:t>
            </w:r>
          </w:p>
        </w:tc>
        <w:tc>
          <w:tcPr>
            <w:tcW w:w="939" w:type="dxa"/>
            <w:noWrap w:val="0"/>
            <w:vAlign w:val="center"/>
          </w:tcPr>
          <w:p w14:paraId="5A9E232F">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29</w:t>
            </w:r>
          </w:p>
        </w:tc>
      </w:tr>
      <w:tr w14:paraId="7DC2C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9" w:type="dxa"/>
            <w:noWrap w:val="0"/>
            <w:vAlign w:val="center"/>
          </w:tcPr>
          <w:p w14:paraId="7559AB42">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807" w:type="dxa"/>
            <w:noWrap w:val="0"/>
            <w:vAlign w:val="center"/>
          </w:tcPr>
          <w:p w14:paraId="3D88E533">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氟硅酸钾</w:t>
            </w:r>
          </w:p>
        </w:tc>
        <w:tc>
          <w:tcPr>
            <w:tcW w:w="649" w:type="dxa"/>
            <w:noWrap w:val="0"/>
            <w:vAlign w:val="center"/>
          </w:tcPr>
          <w:p w14:paraId="5ECBE45F">
            <w:pPr>
              <w:spacing w:line="240" w:lineRule="exact"/>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723" w:type="dxa"/>
            <w:noWrap w:val="0"/>
            <w:vAlign w:val="center"/>
          </w:tcPr>
          <w:p w14:paraId="0225EF5D">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50kg袋装</w:t>
            </w:r>
          </w:p>
        </w:tc>
        <w:tc>
          <w:tcPr>
            <w:tcW w:w="729" w:type="dxa"/>
            <w:noWrap w:val="0"/>
            <w:vAlign w:val="center"/>
          </w:tcPr>
          <w:p w14:paraId="713C565F">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常温</w:t>
            </w:r>
          </w:p>
        </w:tc>
        <w:tc>
          <w:tcPr>
            <w:tcW w:w="930" w:type="dxa"/>
            <w:noWrap w:val="0"/>
            <w:vAlign w:val="center"/>
          </w:tcPr>
          <w:p w14:paraId="5E0D57F1">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常压</w:t>
            </w:r>
          </w:p>
        </w:tc>
        <w:tc>
          <w:tcPr>
            <w:tcW w:w="846" w:type="dxa"/>
            <w:noWrap w:val="0"/>
            <w:vAlign w:val="center"/>
          </w:tcPr>
          <w:p w14:paraId="5FFAB8D3">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25000</w:t>
            </w:r>
          </w:p>
        </w:tc>
        <w:tc>
          <w:tcPr>
            <w:tcW w:w="840" w:type="dxa"/>
            <w:noWrap w:val="0"/>
            <w:vAlign w:val="center"/>
          </w:tcPr>
          <w:p w14:paraId="1B090534">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w:t>
            </w:r>
          </w:p>
        </w:tc>
        <w:tc>
          <w:tcPr>
            <w:tcW w:w="820" w:type="dxa"/>
            <w:noWrap w:val="0"/>
            <w:vAlign w:val="center"/>
          </w:tcPr>
          <w:p w14:paraId="460D6EEC">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1250</w:t>
            </w:r>
          </w:p>
        </w:tc>
        <w:tc>
          <w:tcPr>
            <w:tcW w:w="939" w:type="dxa"/>
            <w:noWrap w:val="0"/>
            <w:vAlign w:val="center"/>
          </w:tcPr>
          <w:p w14:paraId="02878901">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w:t>
            </w:r>
          </w:p>
        </w:tc>
      </w:tr>
      <w:tr w14:paraId="12F10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9" w:type="dxa"/>
            <w:noWrap w:val="0"/>
            <w:vAlign w:val="center"/>
          </w:tcPr>
          <w:p w14:paraId="01B9D008">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807" w:type="dxa"/>
            <w:noWrap w:val="0"/>
            <w:vAlign w:val="center"/>
          </w:tcPr>
          <w:p w14:paraId="16624647">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氟化铵</w:t>
            </w:r>
          </w:p>
        </w:tc>
        <w:tc>
          <w:tcPr>
            <w:tcW w:w="649" w:type="dxa"/>
            <w:noWrap w:val="0"/>
            <w:vAlign w:val="center"/>
          </w:tcPr>
          <w:p w14:paraId="41E6BAC9">
            <w:pPr>
              <w:spacing w:line="240" w:lineRule="exact"/>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723" w:type="dxa"/>
            <w:noWrap w:val="0"/>
            <w:vAlign w:val="center"/>
          </w:tcPr>
          <w:p w14:paraId="436BCB06">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50kg袋装</w:t>
            </w:r>
          </w:p>
        </w:tc>
        <w:tc>
          <w:tcPr>
            <w:tcW w:w="729" w:type="dxa"/>
            <w:noWrap w:val="0"/>
            <w:vAlign w:val="center"/>
          </w:tcPr>
          <w:p w14:paraId="13DC65F2">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常温</w:t>
            </w:r>
          </w:p>
        </w:tc>
        <w:tc>
          <w:tcPr>
            <w:tcW w:w="930" w:type="dxa"/>
            <w:noWrap w:val="0"/>
            <w:vAlign w:val="center"/>
          </w:tcPr>
          <w:p w14:paraId="42D4A7B5">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常压</w:t>
            </w:r>
          </w:p>
        </w:tc>
        <w:tc>
          <w:tcPr>
            <w:tcW w:w="846" w:type="dxa"/>
            <w:noWrap w:val="0"/>
            <w:vAlign w:val="center"/>
          </w:tcPr>
          <w:p w14:paraId="163C6D2B">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25000</w:t>
            </w:r>
          </w:p>
        </w:tc>
        <w:tc>
          <w:tcPr>
            <w:tcW w:w="840" w:type="dxa"/>
            <w:noWrap w:val="0"/>
            <w:vAlign w:val="center"/>
          </w:tcPr>
          <w:p w14:paraId="58F71749">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w:t>
            </w:r>
          </w:p>
        </w:tc>
        <w:tc>
          <w:tcPr>
            <w:tcW w:w="820" w:type="dxa"/>
            <w:noWrap w:val="0"/>
            <w:vAlign w:val="center"/>
          </w:tcPr>
          <w:p w14:paraId="513525AE">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1250</w:t>
            </w:r>
          </w:p>
        </w:tc>
        <w:tc>
          <w:tcPr>
            <w:tcW w:w="939" w:type="dxa"/>
            <w:noWrap w:val="0"/>
            <w:vAlign w:val="center"/>
          </w:tcPr>
          <w:p w14:paraId="6FB64C45">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w:t>
            </w:r>
          </w:p>
        </w:tc>
      </w:tr>
      <w:tr w14:paraId="7C77A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9" w:type="dxa"/>
            <w:noWrap w:val="0"/>
            <w:vAlign w:val="center"/>
          </w:tcPr>
          <w:p w14:paraId="5EA65400">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807" w:type="dxa"/>
            <w:noWrap w:val="0"/>
            <w:vAlign w:val="center"/>
          </w:tcPr>
          <w:p w14:paraId="21868505">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氟化钾</w:t>
            </w:r>
          </w:p>
        </w:tc>
        <w:tc>
          <w:tcPr>
            <w:tcW w:w="649" w:type="dxa"/>
            <w:noWrap w:val="0"/>
            <w:vAlign w:val="center"/>
          </w:tcPr>
          <w:p w14:paraId="4585D8ED">
            <w:pPr>
              <w:spacing w:line="240" w:lineRule="exact"/>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723" w:type="dxa"/>
            <w:noWrap w:val="0"/>
            <w:vAlign w:val="center"/>
          </w:tcPr>
          <w:p w14:paraId="55B53C54">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50kg袋装</w:t>
            </w:r>
          </w:p>
        </w:tc>
        <w:tc>
          <w:tcPr>
            <w:tcW w:w="729" w:type="dxa"/>
            <w:noWrap w:val="0"/>
            <w:vAlign w:val="center"/>
          </w:tcPr>
          <w:p w14:paraId="4C9E86A7">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常温</w:t>
            </w:r>
          </w:p>
        </w:tc>
        <w:tc>
          <w:tcPr>
            <w:tcW w:w="930" w:type="dxa"/>
            <w:noWrap w:val="0"/>
            <w:vAlign w:val="center"/>
          </w:tcPr>
          <w:p w14:paraId="5022F623">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常压</w:t>
            </w:r>
          </w:p>
        </w:tc>
        <w:tc>
          <w:tcPr>
            <w:tcW w:w="846" w:type="dxa"/>
            <w:noWrap w:val="0"/>
            <w:vAlign w:val="center"/>
          </w:tcPr>
          <w:p w14:paraId="3FE61C0E">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25000</w:t>
            </w:r>
          </w:p>
        </w:tc>
        <w:tc>
          <w:tcPr>
            <w:tcW w:w="840" w:type="dxa"/>
            <w:noWrap w:val="0"/>
            <w:vAlign w:val="center"/>
          </w:tcPr>
          <w:p w14:paraId="61633C76">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w:t>
            </w:r>
          </w:p>
        </w:tc>
        <w:tc>
          <w:tcPr>
            <w:tcW w:w="820" w:type="dxa"/>
            <w:noWrap w:val="0"/>
            <w:vAlign w:val="center"/>
          </w:tcPr>
          <w:p w14:paraId="6747ED26">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1250</w:t>
            </w:r>
          </w:p>
        </w:tc>
        <w:tc>
          <w:tcPr>
            <w:tcW w:w="939" w:type="dxa"/>
            <w:noWrap w:val="0"/>
            <w:vAlign w:val="center"/>
          </w:tcPr>
          <w:p w14:paraId="3376C1BC">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w:t>
            </w:r>
          </w:p>
        </w:tc>
      </w:tr>
      <w:tr w14:paraId="2F375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9" w:type="dxa"/>
            <w:noWrap w:val="0"/>
            <w:vAlign w:val="center"/>
          </w:tcPr>
          <w:p w14:paraId="66C5CDD9">
            <w:pPr>
              <w:spacing w:line="240" w:lineRule="exact"/>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807" w:type="dxa"/>
            <w:noWrap w:val="0"/>
            <w:vAlign w:val="center"/>
          </w:tcPr>
          <w:p w14:paraId="1248CFF0">
            <w:pPr>
              <w:jc w:val="center"/>
              <w:rPr>
                <w:rFonts w:hint="eastAsia" w:ascii="Times New Roman" w:hAnsi="Times New Roman" w:eastAsia="宋体" w:cs="Times New Roman"/>
                <w:color w:val="auto"/>
                <w:kern w:val="0"/>
                <w:sz w:val="21"/>
                <w:szCs w:val="21"/>
                <w:u w:val="single"/>
                <w:vertAlign w:val="baseline"/>
                <w:lang w:val="en-US" w:eastAsia="zh-CN"/>
              </w:rPr>
            </w:pPr>
            <w:r>
              <w:rPr>
                <w:rFonts w:hint="eastAsia" w:ascii="Times New Roman" w:hAnsi="Times New Roman" w:cs="Times New Roman"/>
                <w:color w:val="auto"/>
                <w:kern w:val="28"/>
                <w:szCs w:val="21"/>
                <w:u w:val="single"/>
                <w:lang w:val="en-US" w:eastAsia="zh-CN"/>
              </w:rPr>
              <w:t>氟化锌</w:t>
            </w:r>
          </w:p>
        </w:tc>
        <w:tc>
          <w:tcPr>
            <w:tcW w:w="649" w:type="dxa"/>
            <w:noWrap w:val="0"/>
            <w:vAlign w:val="center"/>
          </w:tcPr>
          <w:p w14:paraId="4F8C9DED">
            <w:pPr>
              <w:spacing w:line="240" w:lineRule="exact"/>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固态</w:t>
            </w:r>
          </w:p>
        </w:tc>
        <w:tc>
          <w:tcPr>
            <w:tcW w:w="723" w:type="dxa"/>
            <w:noWrap w:val="0"/>
            <w:vAlign w:val="center"/>
          </w:tcPr>
          <w:p w14:paraId="53865ABD">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50kg袋装</w:t>
            </w:r>
          </w:p>
        </w:tc>
        <w:tc>
          <w:tcPr>
            <w:tcW w:w="729" w:type="dxa"/>
            <w:noWrap w:val="0"/>
            <w:vAlign w:val="center"/>
          </w:tcPr>
          <w:p w14:paraId="454C78B0">
            <w:pPr>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常温</w:t>
            </w:r>
          </w:p>
        </w:tc>
        <w:tc>
          <w:tcPr>
            <w:tcW w:w="930" w:type="dxa"/>
            <w:noWrap w:val="0"/>
            <w:vAlign w:val="center"/>
          </w:tcPr>
          <w:p w14:paraId="5659B376">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常压</w:t>
            </w:r>
          </w:p>
        </w:tc>
        <w:tc>
          <w:tcPr>
            <w:tcW w:w="846" w:type="dxa"/>
            <w:noWrap w:val="0"/>
            <w:vAlign w:val="center"/>
          </w:tcPr>
          <w:p w14:paraId="0886D844">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25000</w:t>
            </w:r>
          </w:p>
        </w:tc>
        <w:tc>
          <w:tcPr>
            <w:tcW w:w="840" w:type="dxa"/>
            <w:noWrap w:val="0"/>
            <w:vAlign w:val="center"/>
          </w:tcPr>
          <w:p w14:paraId="57AD245F">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50kg</w:t>
            </w:r>
          </w:p>
        </w:tc>
        <w:tc>
          <w:tcPr>
            <w:tcW w:w="820" w:type="dxa"/>
            <w:noWrap w:val="0"/>
            <w:vAlign w:val="center"/>
          </w:tcPr>
          <w:p w14:paraId="1363552D">
            <w:pPr>
              <w:adjustRightInd w:val="0"/>
              <w:snapToGrid w:val="0"/>
              <w:spacing w:line="240" w:lineRule="auto"/>
              <w:jc w:val="center"/>
              <w:rPr>
                <w:rFonts w:hint="default" w:ascii="Times New Roman" w:hAnsi="Times New Roman" w:eastAsia="宋体" w:cs="Times New Roman"/>
                <w:color w:val="auto"/>
                <w:kern w:val="0"/>
                <w:sz w:val="21"/>
                <w:szCs w:val="21"/>
                <w:u w:val="single"/>
                <w:vertAlign w:val="baseline"/>
                <w:lang w:val="en-US" w:eastAsia="zh-CN"/>
              </w:rPr>
            </w:pPr>
            <w:r>
              <w:rPr>
                <w:rFonts w:hint="eastAsia" w:cs="Times New Roman"/>
                <w:color w:val="auto"/>
                <w:kern w:val="0"/>
                <w:sz w:val="21"/>
                <w:szCs w:val="21"/>
                <w:u w:val="single"/>
                <w:vertAlign w:val="baseline"/>
                <w:lang w:val="en-US" w:eastAsia="zh-CN"/>
              </w:rPr>
              <w:t>1250</w:t>
            </w:r>
          </w:p>
        </w:tc>
        <w:tc>
          <w:tcPr>
            <w:tcW w:w="939" w:type="dxa"/>
            <w:noWrap w:val="0"/>
            <w:vAlign w:val="center"/>
          </w:tcPr>
          <w:p w14:paraId="6B854F00">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25</w:t>
            </w:r>
          </w:p>
        </w:tc>
      </w:tr>
    </w:tbl>
    <w:p w14:paraId="18714C95">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3、公用工程</w:t>
      </w:r>
    </w:p>
    <w:p w14:paraId="21649D22">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本项目储存的危险化学品输送采用陆运、海运等运输方式。</w:t>
      </w:r>
    </w:p>
    <w:p w14:paraId="57BE347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其中</w:t>
      </w:r>
      <w:r>
        <w:rPr>
          <w:rFonts w:hint="eastAsia" w:cs="Times New Roman"/>
          <w:color w:val="000000"/>
          <w:spacing w:val="10"/>
          <w:sz w:val="24"/>
          <w:szCs w:val="32"/>
          <w:lang w:val="en-US" w:eastAsia="zh-CN"/>
        </w:rPr>
        <w:t>公路</w:t>
      </w:r>
      <w:r>
        <w:rPr>
          <w:rFonts w:hint="default" w:ascii="Times New Roman" w:hAnsi="Times New Roman" w:eastAsia="宋体" w:cs="Times New Roman"/>
          <w:color w:val="000000"/>
          <w:spacing w:val="10"/>
          <w:sz w:val="24"/>
          <w:szCs w:val="32"/>
          <w:lang w:val="en-US" w:eastAsia="zh-CN"/>
        </w:rPr>
        <w:t>物料运输过程可能出现的危险因素主要是泄漏。在运输过程中，交通事故、包装破损、误操作等可能造成物料泄漏至水体或陆域，造成重大环境灾害；或引起火灾与爆炸。其中，交通事故是造成上述物料运输途中出现风险事故的最常见因素。上述运输均由有运输资质的专业单位承运，运输过程的环境风险及防范措施由承运单位进行识别及实施预防措施，不在本项目评价范围内。</w:t>
      </w:r>
    </w:p>
    <w:p w14:paraId="6AEBF57B">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4、重点风险源</w:t>
      </w:r>
    </w:p>
    <w:p w14:paraId="3F2C342A">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本次评价采用</w:t>
      </w:r>
      <w:r>
        <w:rPr>
          <w:rFonts w:hint="eastAsia" w:ascii="Times New Roman" w:hAnsi="Times New Roman" w:eastAsia="宋体" w:cs="Times New Roman"/>
          <w:color w:val="000000"/>
          <w:spacing w:val="10"/>
          <w:sz w:val="24"/>
          <w:szCs w:val="32"/>
          <w:lang w:val="en-US" w:eastAsia="zh-CN"/>
        </w:rPr>
        <w:t>定量</w:t>
      </w:r>
      <w:r>
        <w:rPr>
          <w:rFonts w:hint="default" w:ascii="Times New Roman" w:hAnsi="Times New Roman" w:eastAsia="宋体" w:cs="Times New Roman"/>
          <w:color w:val="000000"/>
          <w:spacing w:val="10"/>
          <w:sz w:val="24"/>
          <w:szCs w:val="32"/>
          <w:lang w:val="en-US" w:eastAsia="zh-CN"/>
        </w:rPr>
        <w:t>判定法确定重点风险源。</w:t>
      </w:r>
    </w:p>
    <w:p w14:paraId="7F52BD51">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长期地或临时地生产、储存、使用和经营危险化学品，且危险化学品的数量等于或超过临界量的单元，为重点风险源。因此本项目的</w:t>
      </w:r>
      <w:r>
        <w:rPr>
          <w:rFonts w:hint="eastAsia" w:ascii="Times New Roman" w:hAnsi="Times New Roman" w:eastAsia="宋体" w:cs="Times New Roman"/>
          <w:color w:val="000000"/>
          <w:spacing w:val="10"/>
          <w:sz w:val="24"/>
          <w:szCs w:val="32"/>
          <w:lang w:val="en-US" w:eastAsia="zh-CN"/>
        </w:rPr>
        <w:t>2号仓库</w:t>
      </w:r>
      <w:r>
        <w:rPr>
          <w:rFonts w:hint="default" w:ascii="Times New Roman" w:hAnsi="Times New Roman" w:eastAsia="宋体" w:cs="Times New Roman"/>
          <w:color w:val="000000"/>
          <w:spacing w:val="10"/>
          <w:sz w:val="24"/>
          <w:szCs w:val="32"/>
          <w:lang w:val="en-US" w:eastAsia="zh-CN"/>
        </w:rPr>
        <w:t>、</w:t>
      </w:r>
      <w:r>
        <w:rPr>
          <w:rFonts w:hint="eastAsia" w:ascii="Times New Roman" w:hAnsi="Times New Roman" w:eastAsia="宋体" w:cs="Times New Roman"/>
          <w:color w:val="000000"/>
          <w:spacing w:val="10"/>
          <w:sz w:val="24"/>
          <w:szCs w:val="32"/>
          <w:lang w:val="en-US" w:eastAsia="zh-CN"/>
        </w:rPr>
        <w:t>4号仓库</w:t>
      </w:r>
      <w:r>
        <w:rPr>
          <w:rFonts w:hint="eastAsia" w:ascii="Times New Roman" w:hAnsi="Times New Roman" w:eastAsia="宋体" w:cs="Times New Roman"/>
          <w:color w:val="auto"/>
          <w:spacing w:val="10"/>
          <w:sz w:val="24"/>
          <w:szCs w:val="32"/>
          <w:lang w:val="en-US" w:eastAsia="zh-CN"/>
        </w:rPr>
        <w:t>、</w:t>
      </w:r>
      <w:r>
        <w:rPr>
          <w:rFonts w:hint="eastAsia" w:ascii="Times New Roman" w:hAnsi="Times New Roman" w:eastAsia="宋体" w:cs="Times New Roman"/>
          <w:color w:val="auto"/>
          <w:spacing w:val="10"/>
          <w:sz w:val="24"/>
          <w:szCs w:val="32"/>
          <w:u w:val="none"/>
          <w:lang w:val="en-US" w:eastAsia="zh-CN"/>
        </w:rPr>
        <w:t>5号仓库</w:t>
      </w:r>
      <w:r>
        <w:rPr>
          <w:rFonts w:hint="default" w:ascii="Times New Roman" w:hAnsi="Times New Roman" w:eastAsia="宋体" w:cs="Times New Roman"/>
          <w:color w:val="auto"/>
          <w:spacing w:val="10"/>
          <w:sz w:val="24"/>
          <w:szCs w:val="32"/>
          <w:lang w:val="en-US" w:eastAsia="zh-CN"/>
        </w:rPr>
        <w:t>为重点风险源。</w:t>
      </w:r>
    </w:p>
    <w:p w14:paraId="2E83F603">
      <w:pPr>
        <w:pStyle w:val="4"/>
        <w:numPr>
          <w:ilvl w:val="3"/>
          <w:numId w:val="10"/>
        </w:numPr>
        <w:tabs>
          <w:tab w:val="left" w:pos="1358"/>
          <w:tab w:val="left" w:pos="2153"/>
          <w:tab w:val="left" w:pos="2183"/>
        </w:tabs>
        <w:ind w:left="1358"/>
        <w:rPr>
          <w:rFonts w:hint="default" w:ascii="Times New Roman" w:hAnsi="Times New Roman" w:eastAsia="宋体" w:cs="Times New Roman"/>
          <w:color w:val="auto"/>
        </w:rPr>
      </w:pPr>
      <w:bookmarkStart w:id="75" w:name="_Toc23170"/>
      <w:r>
        <w:rPr>
          <w:rFonts w:hint="default" w:ascii="Times New Roman" w:hAnsi="Times New Roman" w:eastAsia="宋体" w:cs="Times New Roman"/>
          <w:color w:val="auto"/>
        </w:rPr>
        <w:t>重点风险源辨识</w:t>
      </w:r>
      <w:bookmarkEnd w:id="75"/>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3"/>
        <w:gridCol w:w="1372"/>
        <w:gridCol w:w="1013"/>
        <w:gridCol w:w="1558"/>
        <w:gridCol w:w="935"/>
        <w:gridCol w:w="1525"/>
      </w:tblGrid>
      <w:tr w14:paraId="0125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1795DE3C">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序号</w:t>
            </w:r>
          </w:p>
        </w:tc>
        <w:tc>
          <w:tcPr>
            <w:tcW w:w="1913" w:type="dxa"/>
            <w:tcBorders>
              <w:top w:val="single" w:color="auto" w:sz="4" w:space="0"/>
              <w:left w:val="single" w:color="auto" w:sz="4" w:space="0"/>
              <w:bottom w:val="single" w:color="auto" w:sz="4" w:space="0"/>
              <w:right w:val="single" w:color="auto" w:sz="4" w:space="0"/>
            </w:tcBorders>
            <w:noWrap w:val="0"/>
            <w:vAlign w:val="center"/>
          </w:tcPr>
          <w:p w14:paraId="19E0BA08">
            <w:pPr>
              <w:adjustRightInd w:val="0"/>
              <w:snapToGrid w:val="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单元</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0EC2A28F">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物料名称</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69580C20">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形态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45F7D36D">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最大贮</w:t>
            </w:r>
          </w:p>
          <w:p w14:paraId="28F99807">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存量</w:t>
            </w:r>
            <w:r>
              <w:rPr>
                <w:rFonts w:hint="eastAsia" w:cs="Times New Roman"/>
                <w:color w:val="auto"/>
                <w:sz w:val="21"/>
                <w:szCs w:val="21"/>
                <w:u w:val="none"/>
                <w:lang w:eastAsia="zh-CN"/>
              </w:rPr>
              <w:t>（</w:t>
            </w:r>
            <w:r>
              <w:rPr>
                <w:rFonts w:hint="default" w:ascii="Times New Roman" w:hAnsi="Times New Roman" w:eastAsia="宋体" w:cs="Times New Roman"/>
                <w:color w:val="auto"/>
                <w:sz w:val="21"/>
                <w:szCs w:val="21"/>
                <w:u w:val="none"/>
              </w:rPr>
              <w:t>t</w:t>
            </w:r>
            <w:r>
              <w:rPr>
                <w:rFonts w:hint="eastAsia" w:cs="Times New Roman"/>
                <w:color w:val="auto"/>
                <w:sz w:val="21"/>
                <w:szCs w:val="21"/>
                <w:u w:val="none"/>
                <w:lang w:eastAsia="zh-CN"/>
              </w:rPr>
              <w:t>）</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17406C59">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临界量</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2896064D">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重点</w:t>
            </w:r>
            <w:r>
              <w:rPr>
                <w:rFonts w:hint="default" w:ascii="Times New Roman" w:hAnsi="Times New Roman" w:eastAsia="宋体" w:cs="Times New Roman"/>
                <w:color w:val="auto"/>
                <w:sz w:val="21"/>
                <w:szCs w:val="21"/>
                <w:highlight w:val="none"/>
                <w:u w:val="none"/>
              </w:rPr>
              <w:t>风险源辨识</w:t>
            </w:r>
            <w:r>
              <w:rPr>
                <w:rFonts w:hint="default" w:ascii="Times New Roman" w:hAnsi="Times New Roman" w:eastAsia="宋体" w:cs="Times New Roman"/>
                <w:color w:val="auto"/>
                <w:sz w:val="21"/>
                <w:szCs w:val="21"/>
                <w:u w:val="none"/>
              </w:rPr>
              <w:t>结果</w:t>
            </w:r>
          </w:p>
        </w:tc>
      </w:tr>
      <w:tr w14:paraId="5B25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left w:val="single" w:color="auto" w:sz="4" w:space="0"/>
              <w:right w:val="single" w:color="auto" w:sz="4" w:space="0"/>
            </w:tcBorders>
            <w:noWrap w:val="0"/>
            <w:vAlign w:val="center"/>
          </w:tcPr>
          <w:p w14:paraId="52D1C4FE">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1913" w:type="dxa"/>
            <w:tcBorders>
              <w:left w:val="single" w:color="auto" w:sz="4" w:space="0"/>
              <w:right w:val="single" w:color="auto" w:sz="4" w:space="0"/>
            </w:tcBorders>
            <w:noWrap w:val="0"/>
            <w:vAlign w:val="center"/>
          </w:tcPr>
          <w:p w14:paraId="2E354E6A">
            <w:pPr>
              <w:spacing w:line="240" w:lineRule="exact"/>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0"/>
                <w:sz w:val="21"/>
                <w:szCs w:val="21"/>
                <w:u w:val="none"/>
                <w:vertAlign w:val="baseline"/>
                <w:lang w:val="en-US" w:eastAsia="zh-CN"/>
              </w:rPr>
              <w:t>2号仓库隔间A、B、C、D；4号仓库隔间B；5号仓库隔间B</w:t>
            </w:r>
          </w:p>
        </w:tc>
        <w:tc>
          <w:tcPr>
            <w:tcW w:w="1372" w:type="dxa"/>
            <w:tcBorders>
              <w:top w:val="single" w:color="auto" w:sz="4" w:space="0"/>
              <w:left w:val="single" w:color="auto" w:sz="4" w:space="0"/>
              <w:right w:val="single" w:color="auto" w:sz="4" w:space="0"/>
            </w:tcBorders>
            <w:noWrap w:val="0"/>
            <w:vAlign w:val="center"/>
          </w:tcPr>
          <w:p w14:paraId="6239CC9D">
            <w:pPr>
              <w:spacing w:line="240" w:lineRule="exact"/>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kern w:val="0"/>
                <w:sz w:val="21"/>
                <w:szCs w:val="21"/>
                <w:u w:val="none"/>
                <w:vertAlign w:val="baseline"/>
                <w:lang w:val="en-US" w:eastAsia="zh-CN"/>
              </w:rPr>
              <w:t>磷酸</w:t>
            </w:r>
          </w:p>
        </w:tc>
        <w:tc>
          <w:tcPr>
            <w:tcW w:w="1013" w:type="dxa"/>
            <w:tcBorders>
              <w:top w:val="single" w:color="auto" w:sz="4" w:space="0"/>
              <w:left w:val="single" w:color="auto" w:sz="4" w:space="0"/>
              <w:right w:val="single" w:color="auto" w:sz="4" w:space="0"/>
            </w:tcBorders>
            <w:noWrap w:val="0"/>
            <w:vAlign w:val="center"/>
          </w:tcPr>
          <w:p w14:paraId="5C1AB423">
            <w:pPr>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液态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115A0D3C">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28"/>
                <w:szCs w:val="21"/>
                <w:u w:val="none"/>
                <w:lang w:val="en-US" w:eastAsia="zh-CN"/>
              </w:rPr>
              <w:t>2300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6480A1D1">
            <w:pPr>
              <w:adjustRightInd w:val="0"/>
              <w:snapToGrid w:val="0"/>
              <w:jc w:val="center"/>
              <w:rPr>
                <w:rFonts w:hint="default"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val="en-US" w:eastAsia="zh-CN"/>
              </w:rPr>
              <w:t>10</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73C7BC71">
            <w:pPr>
              <w:widowControl/>
              <w:jc w:val="center"/>
              <w:textAlignment w:val="bottom"/>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重点风险源</w:t>
            </w:r>
          </w:p>
        </w:tc>
      </w:tr>
      <w:tr w14:paraId="3AE2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left w:val="single" w:color="auto" w:sz="4" w:space="0"/>
              <w:right w:val="single" w:color="auto" w:sz="4" w:space="0"/>
            </w:tcBorders>
            <w:noWrap w:val="0"/>
            <w:vAlign w:val="center"/>
          </w:tcPr>
          <w:p w14:paraId="52E12B29">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w:t>
            </w:r>
          </w:p>
        </w:tc>
        <w:tc>
          <w:tcPr>
            <w:tcW w:w="1913" w:type="dxa"/>
            <w:tcBorders>
              <w:left w:val="single" w:color="auto" w:sz="4" w:space="0"/>
              <w:right w:val="single" w:color="auto" w:sz="4" w:space="0"/>
            </w:tcBorders>
            <w:noWrap w:val="0"/>
            <w:vAlign w:val="center"/>
          </w:tcPr>
          <w:p w14:paraId="3B2DB3B4">
            <w:pPr>
              <w:spacing w:line="240" w:lineRule="exact"/>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0"/>
                <w:sz w:val="21"/>
                <w:szCs w:val="21"/>
                <w:u w:val="none"/>
                <w:vertAlign w:val="baseline"/>
                <w:lang w:val="en-US" w:eastAsia="zh-CN"/>
              </w:rPr>
              <w:t>2号仓库隔间A、B、C、D；4号仓库隔间B；5号仓库隔间B</w:t>
            </w:r>
          </w:p>
        </w:tc>
        <w:tc>
          <w:tcPr>
            <w:tcW w:w="1372" w:type="dxa"/>
            <w:tcBorders>
              <w:top w:val="single" w:color="auto" w:sz="4" w:space="0"/>
              <w:left w:val="single" w:color="auto" w:sz="4" w:space="0"/>
              <w:right w:val="single" w:color="auto" w:sz="4" w:space="0"/>
            </w:tcBorders>
            <w:noWrap w:val="0"/>
            <w:vAlign w:val="center"/>
          </w:tcPr>
          <w:p w14:paraId="43085EE6">
            <w:pPr>
              <w:adjustRightInd w:val="0"/>
              <w:snapToGrid w:val="0"/>
              <w:jc w:val="center"/>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lang w:val="en-US" w:eastAsia="zh-CN"/>
              </w:rPr>
              <w:t>盐酸</w:t>
            </w:r>
          </w:p>
        </w:tc>
        <w:tc>
          <w:tcPr>
            <w:tcW w:w="1013" w:type="dxa"/>
            <w:tcBorders>
              <w:top w:val="single" w:color="auto" w:sz="4" w:space="0"/>
              <w:left w:val="single" w:color="auto" w:sz="4" w:space="0"/>
              <w:right w:val="single" w:color="auto" w:sz="4" w:space="0"/>
            </w:tcBorders>
            <w:noWrap w:val="0"/>
            <w:vAlign w:val="center"/>
          </w:tcPr>
          <w:p w14:paraId="5550D609">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液态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46EAB7B6">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Cs w:val="21"/>
                <w:u w:val="none"/>
                <w:lang w:val="en-US" w:eastAsia="zh-CN"/>
              </w:rPr>
              <w:t>2300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6DA71491">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7.5</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4BDB6C38">
            <w:pPr>
              <w:widowControl/>
              <w:jc w:val="center"/>
              <w:textAlignment w:val="bottom"/>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重点风险源</w:t>
            </w:r>
          </w:p>
        </w:tc>
      </w:tr>
      <w:tr w14:paraId="6D42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left w:val="single" w:color="auto" w:sz="4" w:space="0"/>
              <w:right w:val="single" w:color="auto" w:sz="4" w:space="0"/>
            </w:tcBorders>
            <w:noWrap w:val="0"/>
            <w:vAlign w:val="center"/>
          </w:tcPr>
          <w:p w14:paraId="6AB1FC41">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3</w:t>
            </w:r>
          </w:p>
        </w:tc>
        <w:tc>
          <w:tcPr>
            <w:tcW w:w="1913" w:type="dxa"/>
            <w:tcBorders>
              <w:left w:val="single" w:color="auto" w:sz="4" w:space="0"/>
              <w:right w:val="single" w:color="auto" w:sz="4" w:space="0"/>
            </w:tcBorders>
            <w:noWrap w:val="0"/>
            <w:vAlign w:val="center"/>
          </w:tcPr>
          <w:p w14:paraId="435B0B33">
            <w:pPr>
              <w:spacing w:line="240" w:lineRule="exact"/>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0"/>
                <w:sz w:val="21"/>
                <w:szCs w:val="21"/>
                <w:u w:val="none"/>
                <w:vertAlign w:val="baseline"/>
                <w:lang w:val="en-US" w:eastAsia="zh-CN"/>
              </w:rPr>
              <w:t>2号仓库隔间A、B、C、D；4号仓库隔间C；5号仓库隔间C</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1F3D3849">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28"/>
                <w:szCs w:val="21"/>
                <w:u w:val="none"/>
                <w:lang w:val="en-US" w:eastAsia="zh-CN"/>
              </w:rPr>
              <w:t>硫酸镍</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5BFEC40C">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固态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3BC7A835">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0"/>
                <w:sz w:val="21"/>
                <w:szCs w:val="21"/>
                <w:u w:val="none"/>
                <w:vertAlign w:val="baseline"/>
                <w:lang w:val="en-US" w:eastAsia="zh-CN"/>
              </w:rPr>
              <w:t>1450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0CB303E3">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0.25</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4A94A03A">
            <w:pPr>
              <w:widowControl/>
              <w:jc w:val="center"/>
              <w:textAlignment w:val="bottom"/>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重点风险源</w:t>
            </w:r>
          </w:p>
        </w:tc>
      </w:tr>
      <w:tr w14:paraId="5EEA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left w:val="single" w:color="auto" w:sz="4" w:space="0"/>
              <w:right w:val="single" w:color="auto" w:sz="4" w:space="0"/>
            </w:tcBorders>
            <w:noWrap w:val="0"/>
            <w:vAlign w:val="center"/>
          </w:tcPr>
          <w:p w14:paraId="793CB440">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4</w:t>
            </w:r>
          </w:p>
        </w:tc>
        <w:tc>
          <w:tcPr>
            <w:tcW w:w="1913" w:type="dxa"/>
            <w:tcBorders>
              <w:left w:val="single" w:color="auto" w:sz="4" w:space="0"/>
              <w:right w:val="single" w:color="auto" w:sz="4" w:space="0"/>
            </w:tcBorders>
            <w:noWrap w:val="0"/>
            <w:vAlign w:val="center"/>
          </w:tcPr>
          <w:p w14:paraId="1FCC5C95">
            <w:pPr>
              <w:spacing w:line="240" w:lineRule="exact"/>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2号仓库隔间A、B；4号仓库隔间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A</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790E638B">
            <w:pPr>
              <w:spacing w:line="240" w:lineRule="exact"/>
              <w:jc w:val="center"/>
              <w:rPr>
                <w:rFonts w:hint="eastAsia" w:ascii="Times New Roman" w:hAnsi="Times New Roman" w:cs="Times New Roman"/>
                <w:color w:val="auto"/>
                <w:kern w:val="28"/>
                <w:szCs w:val="21"/>
                <w:u w:val="none"/>
                <w:lang w:val="en-US" w:eastAsia="zh-CN"/>
              </w:rPr>
            </w:pPr>
            <w:r>
              <w:rPr>
                <w:rFonts w:hint="eastAsia" w:cs="Times New Roman"/>
                <w:color w:val="auto"/>
                <w:kern w:val="0"/>
                <w:sz w:val="21"/>
                <w:szCs w:val="21"/>
                <w:u w:val="single"/>
                <w:vertAlign w:val="baseline"/>
                <w:lang w:val="en-US" w:eastAsia="zh-CN"/>
              </w:rPr>
              <w:t>30%</w:t>
            </w:r>
            <w:r>
              <w:rPr>
                <w:rFonts w:hint="eastAsia" w:ascii="Times New Roman" w:hAnsi="Times New Roman" w:eastAsia="宋体" w:cs="Times New Roman"/>
                <w:color w:val="auto"/>
                <w:kern w:val="0"/>
                <w:sz w:val="21"/>
                <w:szCs w:val="21"/>
                <w:u w:val="single"/>
                <w:vertAlign w:val="baseline"/>
                <w:lang w:val="en-US" w:eastAsia="zh-CN"/>
              </w:rPr>
              <w:t>氢氧化锂溶液</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107FA40B">
            <w:pPr>
              <w:spacing w:line="240" w:lineRule="exact"/>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single"/>
                <w:lang w:val="en-US" w:eastAsia="zh-CN"/>
              </w:rPr>
              <w:t>液态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464DE6F6">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cs="Times New Roman"/>
                <w:color w:val="auto"/>
                <w:kern w:val="0"/>
                <w:sz w:val="21"/>
                <w:szCs w:val="21"/>
                <w:u w:val="single"/>
                <w:vertAlign w:val="baseline"/>
                <w:lang w:val="en-US" w:eastAsia="zh-CN"/>
              </w:rPr>
              <w:t>1500（纯450）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41166336">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385C43D0">
            <w:pPr>
              <w:widowControl/>
              <w:jc w:val="center"/>
              <w:textAlignment w:val="bottom"/>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重点风险源</w:t>
            </w:r>
          </w:p>
        </w:tc>
      </w:tr>
      <w:tr w14:paraId="7630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left w:val="single" w:color="auto" w:sz="4" w:space="0"/>
              <w:right w:val="single" w:color="auto" w:sz="4" w:space="0"/>
            </w:tcBorders>
            <w:noWrap w:val="0"/>
            <w:vAlign w:val="center"/>
          </w:tcPr>
          <w:p w14:paraId="5D1DFA60">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5</w:t>
            </w:r>
          </w:p>
        </w:tc>
        <w:tc>
          <w:tcPr>
            <w:tcW w:w="1913" w:type="dxa"/>
            <w:tcBorders>
              <w:left w:val="single" w:color="auto" w:sz="4" w:space="0"/>
              <w:right w:val="single" w:color="auto" w:sz="4" w:space="0"/>
            </w:tcBorders>
            <w:noWrap w:val="0"/>
            <w:vAlign w:val="center"/>
          </w:tcPr>
          <w:p w14:paraId="2BEEDA49">
            <w:pPr>
              <w:spacing w:line="240" w:lineRule="exact"/>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2号仓库隔间B、C、D；4号仓库隔间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A</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072AD9F3">
            <w:pPr>
              <w:spacing w:line="240" w:lineRule="exact"/>
              <w:jc w:val="center"/>
              <w:rPr>
                <w:rFonts w:hint="eastAsia" w:ascii="Times New Roman" w:hAnsi="Times New Roman" w:cs="Times New Roman"/>
                <w:color w:val="auto"/>
                <w:kern w:val="28"/>
                <w:szCs w:val="21"/>
                <w:u w:val="none"/>
                <w:lang w:val="en-US" w:eastAsia="zh-CN"/>
              </w:rPr>
            </w:pPr>
            <w:r>
              <w:rPr>
                <w:rFonts w:hint="eastAsia" w:ascii="Times New Roman" w:hAnsi="Times New Roman" w:eastAsia="宋体" w:cs="Times New Roman"/>
                <w:color w:val="auto"/>
                <w:kern w:val="0"/>
                <w:sz w:val="21"/>
                <w:szCs w:val="21"/>
                <w:u w:val="single"/>
                <w:vertAlign w:val="baseline"/>
                <w:lang w:val="en-US" w:eastAsia="zh-CN"/>
              </w:rPr>
              <w:t>氢氧化锂</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44E3AADC">
            <w:pPr>
              <w:spacing w:line="240" w:lineRule="exact"/>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single"/>
                <w:lang w:val="en-US" w:eastAsia="zh-CN"/>
              </w:rPr>
              <w:t>固态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5DE4EE69">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cs="Times New Roman"/>
                <w:color w:val="auto"/>
                <w:kern w:val="0"/>
                <w:sz w:val="21"/>
                <w:szCs w:val="21"/>
                <w:u w:val="single"/>
                <w:vertAlign w:val="baseline"/>
                <w:lang w:val="en-US" w:eastAsia="zh-CN"/>
              </w:rPr>
              <w:t>1700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3A99E4A4">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528CAF04">
            <w:pPr>
              <w:widowControl/>
              <w:jc w:val="center"/>
              <w:textAlignment w:val="bottom"/>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重点风险源</w:t>
            </w:r>
          </w:p>
        </w:tc>
      </w:tr>
      <w:tr w14:paraId="1A33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left w:val="single" w:color="auto" w:sz="4" w:space="0"/>
              <w:right w:val="single" w:color="auto" w:sz="4" w:space="0"/>
            </w:tcBorders>
            <w:noWrap w:val="0"/>
            <w:vAlign w:val="center"/>
          </w:tcPr>
          <w:p w14:paraId="448DC513">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6</w:t>
            </w:r>
          </w:p>
        </w:tc>
        <w:tc>
          <w:tcPr>
            <w:tcW w:w="1913" w:type="dxa"/>
            <w:tcBorders>
              <w:left w:val="single" w:color="auto" w:sz="4" w:space="0"/>
              <w:right w:val="single" w:color="auto" w:sz="4" w:space="0"/>
            </w:tcBorders>
            <w:noWrap w:val="0"/>
            <w:vAlign w:val="center"/>
          </w:tcPr>
          <w:p w14:paraId="7FD93A1B">
            <w:pPr>
              <w:spacing w:line="240" w:lineRule="exact"/>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w:t>
            </w:r>
            <w:r>
              <w:rPr>
                <w:rFonts w:hint="eastAsia" w:cs="Times New Roman"/>
                <w:color w:val="auto"/>
                <w:kern w:val="0"/>
                <w:sz w:val="21"/>
                <w:szCs w:val="21"/>
                <w:u w:val="single"/>
                <w:vertAlign w:val="baseline"/>
                <w:lang w:val="en-US" w:eastAsia="zh-CN"/>
              </w:rPr>
              <w:t>E</w:t>
            </w:r>
            <w:r>
              <w:rPr>
                <w:rFonts w:hint="eastAsia" w:ascii="Times New Roman" w:hAnsi="Times New Roman" w:eastAsia="宋体" w:cs="Times New Roman"/>
                <w:color w:val="auto"/>
                <w:kern w:val="0"/>
                <w:sz w:val="21"/>
                <w:szCs w:val="21"/>
                <w:u w:val="single"/>
                <w:vertAlign w:val="baseline"/>
                <w:lang w:val="en-US" w:eastAsia="zh-CN"/>
              </w:rPr>
              <w:t>；4号仓库隔间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0FC858C2">
            <w:pPr>
              <w:adjustRightInd w:val="0"/>
              <w:snapToGrid w:val="0"/>
              <w:spacing w:line="240" w:lineRule="auto"/>
              <w:jc w:val="center"/>
              <w:rPr>
                <w:rFonts w:hint="eastAsia" w:ascii="Times New Roman" w:hAnsi="Times New Roman" w:cs="Times New Roman"/>
                <w:color w:val="auto"/>
                <w:kern w:val="28"/>
                <w:szCs w:val="21"/>
                <w:u w:val="none"/>
                <w:lang w:val="en-US" w:eastAsia="zh-CN"/>
              </w:rPr>
            </w:pPr>
            <w:r>
              <w:rPr>
                <w:rFonts w:hint="eastAsia" w:ascii="Times New Roman" w:hAnsi="Times New Roman" w:eastAsia="宋体" w:cs="Times New Roman"/>
                <w:color w:val="auto"/>
                <w:kern w:val="0"/>
                <w:sz w:val="21"/>
                <w:szCs w:val="21"/>
                <w:u w:val="single"/>
                <w:vertAlign w:val="baseline"/>
                <w:lang w:val="en-US" w:eastAsia="zh-CN"/>
              </w:rPr>
              <w:t>氟硅酸钠</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711AD26C">
            <w:pPr>
              <w:adjustRightInd w:val="0"/>
              <w:snapToGrid w:val="0"/>
              <w:spacing w:line="240" w:lineRule="auto"/>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single"/>
                <w:lang w:val="en-US" w:eastAsia="zh-CN"/>
              </w:rPr>
              <w:t>固态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386AFD5F">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cs="Times New Roman"/>
                <w:color w:val="auto"/>
                <w:kern w:val="0"/>
                <w:sz w:val="21"/>
                <w:szCs w:val="21"/>
                <w:u w:val="single"/>
                <w:vertAlign w:val="baseline"/>
                <w:lang w:val="en-US" w:eastAsia="zh-CN"/>
              </w:rPr>
              <w:t>1450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4856BE6B">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68EA411F">
            <w:pPr>
              <w:widowControl/>
              <w:jc w:val="center"/>
              <w:textAlignment w:val="bottom"/>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重点风险源</w:t>
            </w:r>
          </w:p>
        </w:tc>
      </w:tr>
      <w:tr w14:paraId="462D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left w:val="single" w:color="auto" w:sz="4" w:space="0"/>
              <w:right w:val="single" w:color="auto" w:sz="4" w:space="0"/>
            </w:tcBorders>
            <w:noWrap w:val="0"/>
            <w:vAlign w:val="center"/>
          </w:tcPr>
          <w:p w14:paraId="57A888D8">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7</w:t>
            </w:r>
          </w:p>
        </w:tc>
        <w:tc>
          <w:tcPr>
            <w:tcW w:w="1913" w:type="dxa"/>
            <w:tcBorders>
              <w:left w:val="single" w:color="auto" w:sz="4" w:space="0"/>
              <w:right w:val="single" w:color="auto" w:sz="4" w:space="0"/>
            </w:tcBorders>
            <w:noWrap w:val="0"/>
            <w:vAlign w:val="center"/>
          </w:tcPr>
          <w:p w14:paraId="53B2AFF1">
            <w:pPr>
              <w:spacing w:line="240" w:lineRule="exact"/>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2号仓库隔间E</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3F6BB9C8">
            <w:pPr>
              <w:spacing w:line="240" w:lineRule="exact"/>
              <w:jc w:val="center"/>
              <w:rPr>
                <w:rFonts w:hint="eastAsia" w:ascii="Times New Roman" w:hAnsi="Times New Roman" w:cs="Times New Roman"/>
                <w:color w:val="auto"/>
                <w:kern w:val="28"/>
                <w:szCs w:val="21"/>
                <w:u w:val="none"/>
                <w:lang w:val="en-US" w:eastAsia="zh-CN"/>
              </w:rPr>
            </w:pPr>
            <w:r>
              <w:rPr>
                <w:rFonts w:hint="eastAsia" w:ascii="Times New Roman" w:hAnsi="Times New Roman" w:eastAsia="宋体" w:cs="Times New Roman"/>
                <w:color w:val="auto"/>
                <w:kern w:val="0"/>
                <w:sz w:val="21"/>
                <w:szCs w:val="21"/>
                <w:u w:val="single"/>
                <w:vertAlign w:val="baseline"/>
                <w:lang w:val="en-US" w:eastAsia="zh-CN"/>
              </w:rPr>
              <w:t>氟硅酸镁</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5CCDA1EF">
            <w:pPr>
              <w:spacing w:line="240" w:lineRule="exact"/>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single"/>
                <w:lang w:val="en-US" w:eastAsia="zh-CN"/>
              </w:rPr>
              <w:t>固态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1D022D7E">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cs="Times New Roman"/>
                <w:color w:val="auto"/>
                <w:kern w:val="0"/>
                <w:sz w:val="21"/>
                <w:szCs w:val="21"/>
                <w:u w:val="single"/>
                <w:vertAlign w:val="baseline"/>
                <w:lang w:val="en-US" w:eastAsia="zh-CN"/>
              </w:rPr>
              <w:t>200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22EF83DC">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78EF3654">
            <w:pPr>
              <w:widowControl/>
              <w:jc w:val="center"/>
              <w:textAlignment w:val="bottom"/>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重点风险源</w:t>
            </w:r>
          </w:p>
        </w:tc>
      </w:tr>
      <w:tr w14:paraId="19F9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left w:val="single" w:color="auto" w:sz="4" w:space="0"/>
              <w:right w:val="single" w:color="auto" w:sz="4" w:space="0"/>
            </w:tcBorders>
            <w:noWrap w:val="0"/>
            <w:vAlign w:val="center"/>
          </w:tcPr>
          <w:p w14:paraId="29586008">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8</w:t>
            </w:r>
          </w:p>
        </w:tc>
        <w:tc>
          <w:tcPr>
            <w:tcW w:w="1913" w:type="dxa"/>
            <w:tcBorders>
              <w:left w:val="single" w:color="auto" w:sz="4" w:space="0"/>
              <w:right w:val="single" w:color="auto" w:sz="4" w:space="0"/>
            </w:tcBorders>
            <w:noWrap w:val="0"/>
            <w:vAlign w:val="center"/>
          </w:tcPr>
          <w:p w14:paraId="318AE881">
            <w:pPr>
              <w:spacing w:line="240" w:lineRule="exact"/>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5C73DC09">
            <w:pPr>
              <w:jc w:val="center"/>
              <w:rPr>
                <w:rFonts w:hint="eastAsia" w:ascii="Times New Roman" w:hAnsi="Times New Roman" w:cs="Times New Roman"/>
                <w:color w:val="auto"/>
                <w:kern w:val="28"/>
                <w:szCs w:val="21"/>
                <w:u w:val="none"/>
                <w:lang w:val="en-US" w:eastAsia="zh-CN"/>
              </w:rPr>
            </w:pPr>
            <w:r>
              <w:rPr>
                <w:rFonts w:hint="eastAsia" w:ascii="Times New Roman" w:hAnsi="Times New Roman" w:cs="Times New Roman"/>
                <w:color w:val="auto"/>
                <w:kern w:val="28"/>
                <w:szCs w:val="21"/>
                <w:u w:val="single"/>
                <w:lang w:val="en-US" w:eastAsia="zh-CN"/>
              </w:rPr>
              <w:t>氟化钠</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51306C72">
            <w:pPr>
              <w:spacing w:line="240" w:lineRule="exact"/>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single"/>
                <w:lang w:val="en-US" w:eastAsia="zh-CN"/>
              </w:rPr>
              <w:t>固态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209E8AAF">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cs="Times New Roman"/>
                <w:color w:val="auto"/>
                <w:kern w:val="0"/>
                <w:sz w:val="21"/>
                <w:szCs w:val="21"/>
                <w:u w:val="single"/>
                <w:vertAlign w:val="baseline"/>
                <w:lang w:val="en-US" w:eastAsia="zh-CN"/>
              </w:rPr>
              <w:t>1250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49F9BB94">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4B7FA3FC">
            <w:pPr>
              <w:widowControl/>
              <w:jc w:val="center"/>
              <w:textAlignment w:val="bottom"/>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重点风险源</w:t>
            </w:r>
          </w:p>
        </w:tc>
      </w:tr>
      <w:tr w14:paraId="3771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left w:val="single" w:color="auto" w:sz="4" w:space="0"/>
              <w:right w:val="single" w:color="auto" w:sz="4" w:space="0"/>
            </w:tcBorders>
            <w:noWrap w:val="0"/>
            <w:vAlign w:val="center"/>
          </w:tcPr>
          <w:p w14:paraId="04E127C6">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9</w:t>
            </w:r>
          </w:p>
        </w:tc>
        <w:tc>
          <w:tcPr>
            <w:tcW w:w="1913" w:type="dxa"/>
            <w:tcBorders>
              <w:left w:val="single" w:color="auto" w:sz="4" w:space="0"/>
              <w:right w:val="single" w:color="auto" w:sz="4" w:space="0"/>
            </w:tcBorders>
            <w:noWrap w:val="0"/>
            <w:vAlign w:val="center"/>
          </w:tcPr>
          <w:p w14:paraId="219D46EA">
            <w:pPr>
              <w:spacing w:line="240" w:lineRule="exact"/>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73F5B01C">
            <w:pPr>
              <w:jc w:val="center"/>
              <w:rPr>
                <w:rFonts w:hint="eastAsia" w:ascii="Times New Roman" w:hAnsi="Times New Roman" w:cs="Times New Roman"/>
                <w:color w:val="auto"/>
                <w:kern w:val="28"/>
                <w:szCs w:val="21"/>
                <w:u w:val="none"/>
                <w:lang w:val="en-US" w:eastAsia="zh-CN"/>
              </w:rPr>
            </w:pPr>
            <w:r>
              <w:rPr>
                <w:rFonts w:hint="eastAsia" w:ascii="Times New Roman" w:hAnsi="Times New Roman" w:cs="Times New Roman"/>
                <w:color w:val="auto"/>
                <w:kern w:val="28"/>
                <w:szCs w:val="21"/>
                <w:u w:val="single"/>
                <w:lang w:val="en-US" w:eastAsia="zh-CN"/>
              </w:rPr>
              <w:t>氟化钡</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1C3D5C33">
            <w:pPr>
              <w:spacing w:line="240" w:lineRule="exact"/>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single"/>
                <w:lang w:val="en-US" w:eastAsia="zh-CN"/>
              </w:rPr>
              <w:t>固态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7C8EA8AD">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cs="Times New Roman"/>
                <w:color w:val="auto"/>
                <w:kern w:val="0"/>
                <w:sz w:val="21"/>
                <w:szCs w:val="21"/>
                <w:u w:val="single"/>
                <w:vertAlign w:val="baseline"/>
                <w:lang w:val="en-US" w:eastAsia="zh-CN"/>
              </w:rPr>
              <w:t>1250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6123EE5E">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0A028F58">
            <w:pPr>
              <w:widowControl/>
              <w:jc w:val="center"/>
              <w:textAlignment w:val="bottom"/>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重点风险源</w:t>
            </w:r>
          </w:p>
        </w:tc>
      </w:tr>
      <w:tr w14:paraId="3462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left w:val="single" w:color="auto" w:sz="4" w:space="0"/>
              <w:right w:val="single" w:color="auto" w:sz="4" w:space="0"/>
            </w:tcBorders>
            <w:noWrap w:val="0"/>
            <w:vAlign w:val="center"/>
          </w:tcPr>
          <w:p w14:paraId="630C50A7">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10</w:t>
            </w:r>
          </w:p>
        </w:tc>
        <w:tc>
          <w:tcPr>
            <w:tcW w:w="1913" w:type="dxa"/>
            <w:tcBorders>
              <w:left w:val="single" w:color="auto" w:sz="4" w:space="0"/>
              <w:right w:val="single" w:color="auto" w:sz="4" w:space="0"/>
            </w:tcBorders>
            <w:noWrap w:val="0"/>
            <w:vAlign w:val="center"/>
          </w:tcPr>
          <w:p w14:paraId="6073E2AC">
            <w:pPr>
              <w:spacing w:line="240" w:lineRule="exact"/>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w:t>
            </w:r>
            <w:r>
              <w:rPr>
                <w:rFonts w:hint="eastAsia" w:cs="Times New Roman"/>
                <w:color w:val="auto"/>
                <w:kern w:val="0"/>
                <w:sz w:val="21"/>
                <w:szCs w:val="21"/>
                <w:u w:val="single"/>
                <w:vertAlign w:val="baseline"/>
                <w:lang w:val="en-US" w:eastAsia="zh-CN"/>
              </w:rPr>
              <w:t>、E</w:t>
            </w:r>
            <w:r>
              <w:rPr>
                <w:rFonts w:hint="eastAsia" w:ascii="Times New Roman" w:hAnsi="Times New Roman" w:eastAsia="宋体" w:cs="Times New Roman"/>
                <w:color w:val="auto"/>
                <w:kern w:val="0"/>
                <w:sz w:val="21"/>
                <w:szCs w:val="21"/>
                <w:u w:val="single"/>
                <w:vertAlign w:val="baseline"/>
                <w:lang w:val="en-US" w:eastAsia="zh-CN"/>
              </w:rPr>
              <w:t>；4号仓库隔间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394FD420">
            <w:pPr>
              <w:jc w:val="center"/>
              <w:rPr>
                <w:rFonts w:hint="eastAsia" w:ascii="Times New Roman" w:hAnsi="Times New Roman" w:cs="Times New Roman"/>
                <w:color w:val="auto"/>
                <w:kern w:val="28"/>
                <w:szCs w:val="21"/>
                <w:u w:val="none"/>
                <w:lang w:val="en-US" w:eastAsia="zh-CN"/>
              </w:rPr>
            </w:pPr>
            <w:r>
              <w:rPr>
                <w:rFonts w:hint="eastAsia" w:ascii="Times New Roman" w:hAnsi="Times New Roman" w:cs="Times New Roman"/>
                <w:color w:val="auto"/>
                <w:kern w:val="28"/>
                <w:szCs w:val="21"/>
                <w:u w:val="single"/>
                <w:lang w:val="en-US" w:eastAsia="zh-CN"/>
              </w:rPr>
              <w:t>氟硅酸锌</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3BDCE4D0">
            <w:pPr>
              <w:spacing w:line="240" w:lineRule="exact"/>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single"/>
                <w:lang w:val="en-US" w:eastAsia="zh-CN"/>
              </w:rPr>
              <w:t>固态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34B8C05C">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cs="Times New Roman"/>
                <w:color w:val="auto"/>
                <w:kern w:val="0"/>
                <w:sz w:val="21"/>
                <w:szCs w:val="21"/>
                <w:u w:val="single"/>
                <w:vertAlign w:val="baseline"/>
                <w:lang w:val="en-US" w:eastAsia="zh-CN"/>
              </w:rPr>
              <w:t>1450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35763548">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3C12061A">
            <w:pPr>
              <w:widowControl/>
              <w:jc w:val="center"/>
              <w:textAlignment w:val="bottom"/>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重点风险源</w:t>
            </w:r>
          </w:p>
        </w:tc>
      </w:tr>
      <w:tr w14:paraId="2F11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left w:val="single" w:color="auto" w:sz="4" w:space="0"/>
              <w:right w:val="single" w:color="auto" w:sz="4" w:space="0"/>
            </w:tcBorders>
            <w:noWrap w:val="0"/>
            <w:vAlign w:val="center"/>
          </w:tcPr>
          <w:p w14:paraId="71261D7A">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11</w:t>
            </w:r>
          </w:p>
        </w:tc>
        <w:tc>
          <w:tcPr>
            <w:tcW w:w="1913" w:type="dxa"/>
            <w:tcBorders>
              <w:left w:val="single" w:color="auto" w:sz="4" w:space="0"/>
              <w:right w:val="single" w:color="auto" w:sz="4" w:space="0"/>
            </w:tcBorders>
            <w:noWrap w:val="0"/>
            <w:vAlign w:val="center"/>
          </w:tcPr>
          <w:p w14:paraId="5A97B483">
            <w:pPr>
              <w:spacing w:line="240" w:lineRule="exact"/>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126E18AA">
            <w:pPr>
              <w:jc w:val="center"/>
              <w:rPr>
                <w:rFonts w:hint="eastAsia" w:ascii="Times New Roman" w:hAnsi="Times New Roman" w:cs="Times New Roman"/>
                <w:color w:val="auto"/>
                <w:kern w:val="28"/>
                <w:szCs w:val="21"/>
                <w:u w:val="none"/>
                <w:lang w:val="en-US" w:eastAsia="zh-CN"/>
              </w:rPr>
            </w:pPr>
            <w:r>
              <w:rPr>
                <w:rFonts w:hint="eastAsia" w:ascii="Times New Roman" w:hAnsi="Times New Roman" w:cs="Times New Roman"/>
                <w:color w:val="auto"/>
                <w:kern w:val="28"/>
                <w:szCs w:val="21"/>
                <w:u w:val="single"/>
                <w:lang w:val="en-US" w:eastAsia="zh-CN"/>
              </w:rPr>
              <w:t>氟硅酸钾</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3D1E38BE">
            <w:pPr>
              <w:spacing w:line="240" w:lineRule="exact"/>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single"/>
                <w:lang w:val="en-US" w:eastAsia="zh-CN"/>
              </w:rPr>
              <w:t>固态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40F33D89">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cs="Times New Roman"/>
                <w:color w:val="auto"/>
                <w:kern w:val="0"/>
                <w:sz w:val="21"/>
                <w:szCs w:val="21"/>
                <w:u w:val="single"/>
                <w:vertAlign w:val="baseline"/>
                <w:lang w:val="en-US" w:eastAsia="zh-CN"/>
              </w:rPr>
              <w:t>1250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6136451E">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4AFF66D4">
            <w:pPr>
              <w:widowControl/>
              <w:jc w:val="center"/>
              <w:textAlignment w:val="bottom"/>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重点风险源</w:t>
            </w:r>
          </w:p>
        </w:tc>
      </w:tr>
      <w:tr w14:paraId="543E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left w:val="single" w:color="auto" w:sz="4" w:space="0"/>
              <w:right w:val="single" w:color="auto" w:sz="4" w:space="0"/>
            </w:tcBorders>
            <w:noWrap w:val="0"/>
            <w:vAlign w:val="center"/>
          </w:tcPr>
          <w:p w14:paraId="03DDD38E">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12</w:t>
            </w:r>
          </w:p>
        </w:tc>
        <w:tc>
          <w:tcPr>
            <w:tcW w:w="1913" w:type="dxa"/>
            <w:tcBorders>
              <w:left w:val="single" w:color="auto" w:sz="4" w:space="0"/>
              <w:right w:val="single" w:color="auto" w:sz="4" w:space="0"/>
            </w:tcBorders>
            <w:noWrap w:val="0"/>
            <w:vAlign w:val="center"/>
          </w:tcPr>
          <w:p w14:paraId="08A3DB68">
            <w:pPr>
              <w:spacing w:line="240" w:lineRule="exact"/>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233347B3">
            <w:pPr>
              <w:jc w:val="center"/>
              <w:rPr>
                <w:rFonts w:hint="eastAsia" w:ascii="Times New Roman" w:hAnsi="Times New Roman" w:cs="Times New Roman"/>
                <w:color w:val="auto"/>
                <w:kern w:val="28"/>
                <w:szCs w:val="21"/>
                <w:u w:val="none"/>
                <w:lang w:val="en-US" w:eastAsia="zh-CN"/>
              </w:rPr>
            </w:pPr>
            <w:r>
              <w:rPr>
                <w:rFonts w:hint="eastAsia" w:ascii="Times New Roman" w:hAnsi="Times New Roman" w:cs="Times New Roman"/>
                <w:color w:val="auto"/>
                <w:kern w:val="28"/>
                <w:szCs w:val="21"/>
                <w:u w:val="single"/>
                <w:lang w:val="en-US" w:eastAsia="zh-CN"/>
              </w:rPr>
              <w:t>氟化铵</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609F5D89">
            <w:pPr>
              <w:spacing w:line="240" w:lineRule="exact"/>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single"/>
                <w:lang w:val="en-US" w:eastAsia="zh-CN"/>
              </w:rPr>
              <w:t>固态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5E920778">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cs="Times New Roman"/>
                <w:color w:val="auto"/>
                <w:kern w:val="0"/>
                <w:sz w:val="21"/>
                <w:szCs w:val="21"/>
                <w:u w:val="single"/>
                <w:vertAlign w:val="baseline"/>
                <w:lang w:val="en-US" w:eastAsia="zh-CN"/>
              </w:rPr>
              <w:t>1250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1DAD01F0">
            <w:pPr>
              <w:adjustRightInd w:val="0"/>
              <w:snapToGrid w:val="0"/>
              <w:jc w:val="center"/>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3642EB17">
            <w:pPr>
              <w:widowControl/>
              <w:jc w:val="center"/>
              <w:textAlignment w:val="bottom"/>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重点风险源</w:t>
            </w:r>
          </w:p>
        </w:tc>
      </w:tr>
      <w:tr w14:paraId="0D4D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left w:val="single" w:color="auto" w:sz="4" w:space="0"/>
              <w:right w:val="single" w:color="auto" w:sz="4" w:space="0"/>
            </w:tcBorders>
            <w:noWrap w:val="0"/>
            <w:vAlign w:val="center"/>
          </w:tcPr>
          <w:p w14:paraId="094C3D88">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13</w:t>
            </w:r>
          </w:p>
        </w:tc>
        <w:tc>
          <w:tcPr>
            <w:tcW w:w="1913" w:type="dxa"/>
            <w:tcBorders>
              <w:left w:val="single" w:color="auto" w:sz="4" w:space="0"/>
              <w:right w:val="single" w:color="auto" w:sz="4" w:space="0"/>
            </w:tcBorders>
            <w:noWrap w:val="0"/>
            <w:vAlign w:val="center"/>
          </w:tcPr>
          <w:p w14:paraId="524B7374">
            <w:pPr>
              <w:spacing w:line="240" w:lineRule="exact"/>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030E937C">
            <w:pPr>
              <w:jc w:val="center"/>
              <w:rPr>
                <w:rFonts w:hint="eastAsia" w:ascii="Times New Roman" w:hAnsi="Times New Roman" w:cs="Times New Roman"/>
                <w:color w:val="auto"/>
                <w:kern w:val="28"/>
                <w:szCs w:val="21"/>
                <w:u w:val="none"/>
                <w:lang w:val="en-US" w:eastAsia="zh-CN"/>
              </w:rPr>
            </w:pPr>
            <w:r>
              <w:rPr>
                <w:rFonts w:hint="eastAsia" w:ascii="Times New Roman" w:hAnsi="Times New Roman" w:cs="Times New Roman"/>
                <w:color w:val="auto"/>
                <w:kern w:val="28"/>
                <w:szCs w:val="21"/>
                <w:u w:val="single"/>
                <w:lang w:val="en-US" w:eastAsia="zh-CN"/>
              </w:rPr>
              <w:t>氟化钾</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5CC889E9">
            <w:pPr>
              <w:spacing w:line="240" w:lineRule="exact"/>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single"/>
                <w:lang w:val="en-US" w:eastAsia="zh-CN"/>
              </w:rPr>
              <w:t>固态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71DE2F26">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cs="Times New Roman"/>
                <w:color w:val="auto"/>
                <w:kern w:val="0"/>
                <w:sz w:val="21"/>
                <w:szCs w:val="21"/>
                <w:u w:val="single"/>
                <w:vertAlign w:val="baseline"/>
                <w:lang w:val="en-US" w:eastAsia="zh-CN"/>
              </w:rPr>
              <w:t>1250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0DF8CDBD">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50</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2DE9585F">
            <w:pPr>
              <w:widowControl/>
              <w:jc w:val="center"/>
              <w:textAlignment w:val="bottom"/>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重点风险源</w:t>
            </w:r>
          </w:p>
        </w:tc>
      </w:tr>
      <w:tr w14:paraId="5752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left w:val="single" w:color="auto" w:sz="4" w:space="0"/>
              <w:right w:val="single" w:color="auto" w:sz="4" w:space="0"/>
            </w:tcBorders>
            <w:noWrap w:val="0"/>
            <w:vAlign w:val="center"/>
          </w:tcPr>
          <w:p w14:paraId="29EE38D6">
            <w:pPr>
              <w:adjustRightInd w:val="0"/>
              <w:snapToGrid w:val="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14</w:t>
            </w:r>
          </w:p>
        </w:tc>
        <w:tc>
          <w:tcPr>
            <w:tcW w:w="1913" w:type="dxa"/>
            <w:tcBorders>
              <w:left w:val="single" w:color="auto" w:sz="4" w:space="0"/>
              <w:right w:val="single" w:color="auto" w:sz="4" w:space="0"/>
            </w:tcBorders>
            <w:noWrap w:val="0"/>
            <w:vAlign w:val="center"/>
          </w:tcPr>
          <w:p w14:paraId="6FB94752">
            <w:pPr>
              <w:spacing w:line="240" w:lineRule="exact"/>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single"/>
                <w:vertAlign w:val="baseline"/>
                <w:lang w:val="en-US" w:eastAsia="zh-CN"/>
              </w:rPr>
              <w:t>2号仓库隔间</w:t>
            </w:r>
            <w:r>
              <w:rPr>
                <w:rFonts w:hint="eastAsia" w:cs="Times New Roman"/>
                <w:color w:val="auto"/>
                <w:kern w:val="0"/>
                <w:sz w:val="21"/>
                <w:szCs w:val="21"/>
                <w:u w:val="single"/>
                <w:vertAlign w:val="baseline"/>
                <w:lang w:val="en-US" w:eastAsia="zh-CN"/>
              </w:rPr>
              <w:t>A、</w:t>
            </w:r>
            <w:r>
              <w:rPr>
                <w:rFonts w:hint="eastAsia" w:ascii="Times New Roman" w:hAnsi="Times New Roman" w:eastAsia="宋体" w:cs="Times New Roman"/>
                <w:color w:val="auto"/>
                <w:kern w:val="0"/>
                <w:sz w:val="21"/>
                <w:szCs w:val="21"/>
                <w:u w:val="single"/>
                <w:vertAlign w:val="baseline"/>
                <w:lang w:val="en-US" w:eastAsia="zh-CN"/>
              </w:rPr>
              <w:t>B、C；4号仓库隔间</w:t>
            </w:r>
            <w:r>
              <w:rPr>
                <w:rFonts w:hint="eastAsia" w:cs="Times New Roman"/>
                <w:color w:val="auto"/>
                <w:kern w:val="0"/>
                <w:sz w:val="21"/>
                <w:szCs w:val="21"/>
                <w:u w:val="single"/>
                <w:vertAlign w:val="baseline"/>
                <w:lang w:val="en-US" w:eastAsia="zh-CN"/>
              </w:rPr>
              <w:t>C</w:t>
            </w:r>
            <w:r>
              <w:rPr>
                <w:rFonts w:hint="eastAsia" w:ascii="Times New Roman" w:hAnsi="Times New Roman" w:eastAsia="宋体" w:cs="Times New Roman"/>
                <w:color w:val="auto"/>
                <w:kern w:val="0"/>
                <w:sz w:val="21"/>
                <w:szCs w:val="21"/>
                <w:u w:val="single"/>
                <w:vertAlign w:val="baseline"/>
                <w:lang w:val="en-US" w:eastAsia="zh-CN"/>
              </w:rPr>
              <w:t>；5号仓库隔间</w:t>
            </w:r>
            <w:r>
              <w:rPr>
                <w:rFonts w:hint="eastAsia" w:cs="Times New Roman"/>
                <w:color w:val="auto"/>
                <w:kern w:val="0"/>
                <w:sz w:val="21"/>
                <w:szCs w:val="21"/>
                <w:u w:val="single"/>
                <w:vertAlign w:val="baseline"/>
                <w:lang w:val="en-US" w:eastAsia="zh-CN"/>
              </w:rPr>
              <w:t>C</w:t>
            </w:r>
          </w:p>
        </w:tc>
        <w:tc>
          <w:tcPr>
            <w:tcW w:w="1372" w:type="dxa"/>
            <w:tcBorders>
              <w:top w:val="single" w:color="auto" w:sz="4" w:space="0"/>
              <w:left w:val="single" w:color="auto" w:sz="4" w:space="0"/>
              <w:bottom w:val="single" w:color="auto" w:sz="4" w:space="0"/>
              <w:right w:val="single" w:color="auto" w:sz="4" w:space="0"/>
            </w:tcBorders>
            <w:noWrap w:val="0"/>
            <w:vAlign w:val="center"/>
          </w:tcPr>
          <w:p w14:paraId="05773FD3">
            <w:pPr>
              <w:jc w:val="center"/>
              <w:rPr>
                <w:rFonts w:hint="eastAsia" w:ascii="Times New Roman" w:hAnsi="Times New Roman" w:cs="Times New Roman"/>
                <w:color w:val="auto"/>
                <w:kern w:val="28"/>
                <w:szCs w:val="21"/>
                <w:u w:val="none"/>
                <w:lang w:val="en-US" w:eastAsia="zh-CN"/>
              </w:rPr>
            </w:pPr>
            <w:r>
              <w:rPr>
                <w:rFonts w:hint="eastAsia" w:ascii="Times New Roman" w:hAnsi="Times New Roman" w:cs="Times New Roman"/>
                <w:color w:val="auto"/>
                <w:kern w:val="28"/>
                <w:szCs w:val="21"/>
                <w:u w:val="single"/>
                <w:lang w:val="en-US" w:eastAsia="zh-CN"/>
              </w:rPr>
              <w:t>氟化锌</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22FA3935">
            <w:pPr>
              <w:spacing w:line="240" w:lineRule="exact"/>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single"/>
                <w:lang w:val="en-US" w:eastAsia="zh-CN"/>
              </w:rPr>
              <w:t>固态</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3031D12D">
            <w:pPr>
              <w:adjustRightInd w:val="0"/>
              <w:snapToGrid w:val="0"/>
              <w:spacing w:line="240" w:lineRule="auto"/>
              <w:jc w:val="center"/>
              <w:rPr>
                <w:rFonts w:hint="eastAsia" w:ascii="Times New Roman" w:hAnsi="Times New Roman" w:eastAsia="宋体" w:cs="Times New Roman"/>
                <w:color w:val="auto"/>
                <w:kern w:val="0"/>
                <w:sz w:val="21"/>
                <w:szCs w:val="21"/>
                <w:u w:val="none"/>
                <w:vertAlign w:val="baseline"/>
                <w:lang w:val="en-US" w:eastAsia="zh-CN"/>
              </w:rPr>
            </w:pPr>
            <w:r>
              <w:rPr>
                <w:rFonts w:hint="eastAsia" w:cs="Times New Roman"/>
                <w:color w:val="auto"/>
                <w:kern w:val="0"/>
                <w:sz w:val="21"/>
                <w:szCs w:val="21"/>
                <w:u w:val="single"/>
                <w:vertAlign w:val="baseline"/>
                <w:lang w:val="en-US" w:eastAsia="zh-CN"/>
              </w:rPr>
              <w:t>1250</w:t>
            </w:r>
          </w:p>
        </w:tc>
        <w:tc>
          <w:tcPr>
            <w:tcW w:w="935" w:type="dxa"/>
            <w:tcBorders>
              <w:top w:val="single" w:color="auto" w:sz="4" w:space="0"/>
              <w:left w:val="single" w:color="auto" w:sz="4" w:space="0"/>
              <w:bottom w:val="single" w:color="auto" w:sz="4" w:space="0"/>
              <w:right w:val="single" w:color="auto" w:sz="4" w:space="0"/>
            </w:tcBorders>
            <w:noWrap w:val="0"/>
            <w:vAlign w:val="center"/>
          </w:tcPr>
          <w:p w14:paraId="4B05864D">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100</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5377BA64">
            <w:pPr>
              <w:widowControl/>
              <w:jc w:val="center"/>
              <w:textAlignment w:val="bottom"/>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重点风险源</w:t>
            </w:r>
          </w:p>
        </w:tc>
      </w:tr>
    </w:tbl>
    <w:p w14:paraId="4031E717">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auto"/>
          <w:kern w:val="0"/>
          <w:sz w:val="24"/>
          <w:szCs w:val="24"/>
          <w:lang w:val="zh-CN" w:eastAsia="zh-CN"/>
        </w:rPr>
      </w:pPr>
      <w:r>
        <w:rPr>
          <w:rFonts w:hint="default" w:ascii="Times New Roman" w:hAnsi="Times New Roman" w:eastAsia="宋体" w:cs="Times New Roman"/>
          <w:b/>
          <w:bCs/>
          <w:color w:val="auto"/>
          <w:kern w:val="0"/>
          <w:sz w:val="24"/>
          <w:szCs w:val="24"/>
          <w:lang w:val="zh-CN" w:eastAsia="zh-CN"/>
        </w:rPr>
        <w:t>环境风险类型及危害分析</w:t>
      </w:r>
    </w:p>
    <w:p w14:paraId="2F66FD2B">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根据项目风险源位置、涉及风险物质的实际情况，分析可能引发或次生风险事件的情景。详见表1-</w:t>
      </w:r>
      <w:r>
        <w:rPr>
          <w:rFonts w:hint="eastAsia" w:cs="Times New Roman"/>
          <w:color w:val="auto"/>
          <w:spacing w:val="10"/>
          <w:sz w:val="24"/>
          <w:szCs w:val="32"/>
          <w:lang w:val="en-US" w:eastAsia="zh-CN"/>
        </w:rPr>
        <w:t>35</w:t>
      </w:r>
      <w:r>
        <w:rPr>
          <w:rFonts w:hint="default" w:ascii="Times New Roman" w:hAnsi="Times New Roman" w:eastAsia="宋体" w:cs="Times New Roman"/>
          <w:color w:val="auto"/>
          <w:spacing w:val="10"/>
          <w:sz w:val="24"/>
          <w:szCs w:val="32"/>
          <w:lang w:val="en-US" w:eastAsia="zh-CN"/>
        </w:rPr>
        <w:t>。</w:t>
      </w:r>
    </w:p>
    <w:p w14:paraId="3107EA66">
      <w:pPr>
        <w:pStyle w:val="4"/>
        <w:numPr>
          <w:ilvl w:val="3"/>
          <w:numId w:val="10"/>
        </w:numPr>
        <w:tabs>
          <w:tab w:val="left" w:pos="1358"/>
          <w:tab w:val="left" w:pos="2153"/>
          <w:tab w:val="left" w:pos="2183"/>
        </w:tabs>
        <w:spacing w:before="15"/>
        <w:ind w:left="1358"/>
        <w:rPr>
          <w:rFonts w:hint="default" w:ascii="Times New Roman" w:hAnsi="Times New Roman" w:eastAsia="宋体" w:cs="Times New Roman"/>
          <w:color w:val="auto"/>
          <w:u w:val="none"/>
        </w:rPr>
      </w:pPr>
      <w:bookmarkStart w:id="76" w:name="_Toc24696"/>
      <w:r>
        <w:rPr>
          <w:rFonts w:hint="default" w:ascii="Times New Roman" w:hAnsi="Times New Roman" w:eastAsia="宋体" w:cs="Times New Roman"/>
          <w:color w:val="auto"/>
          <w:u w:val="none"/>
        </w:rPr>
        <w:t>可能发生的环境风险事故</w:t>
      </w:r>
      <w:bookmarkEnd w:id="76"/>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1"/>
        <w:gridCol w:w="2449"/>
        <w:gridCol w:w="2280"/>
        <w:gridCol w:w="3063"/>
      </w:tblGrid>
      <w:tr w14:paraId="7FB27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01" w:type="dxa"/>
            <w:noWrap w:val="0"/>
            <w:vAlign w:val="center"/>
          </w:tcPr>
          <w:p w14:paraId="2109E1FE">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突发事故</w:t>
            </w:r>
          </w:p>
        </w:tc>
        <w:tc>
          <w:tcPr>
            <w:tcW w:w="2449" w:type="dxa"/>
            <w:noWrap w:val="0"/>
            <w:vAlign w:val="center"/>
          </w:tcPr>
          <w:p w14:paraId="2992003A">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风险类型</w:t>
            </w:r>
          </w:p>
        </w:tc>
        <w:tc>
          <w:tcPr>
            <w:tcW w:w="2280" w:type="dxa"/>
            <w:noWrap w:val="0"/>
            <w:vAlign w:val="center"/>
          </w:tcPr>
          <w:p w14:paraId="357C7198">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触发因素</w:t>
            </w:r>
          </w:p>
        </w:tc>
        <w:tc>
          <w:tcPr>
            <w:tcW w:w="3063" w:type="dxa"/>
            <w:noWrap w:val="0"/>
            <w:vAlign w:val="center"/>
          </w:tcPr>
          <w:p w14:paraId="2708607F">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危险物质向环境转移的可能途径</w:t>
            </w:r>
          </w:p>
        </w:tc>
      </w:tr>
      <w:tr w14:paraId="76943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01" w:type="dxa"/>
            <w:noWrap w:val="0"/>
            <w:vAlign w:val="center"/>
          </w:tcPr>
          <w:p w14:paraId="434C8C8B">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危险物质泄漏事故</w:t>
            </w:r>
          </w:p>
        </w:tc>
        <w:tc>
          <w:tcPr>
            <w:tcW w:w="2449" w:type="dxa"/>
            <w:noWrap w:val="0"/>
            <w:vAlign w:val="center"/>
          </w:tcPr>
          <w:p w14:paraId="07F835BB">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磷酸、盐酸、硫酸镍</w:t>
            </w:r>
            <w:r>
              <w:rPr>
                <w:rFonts w:hint="eastAsia" w:cs="Times New Roman"/>
                <w:color w:val="auto"/>
                <w:sz w:val="21"/>
                <w:szCs w:val="21"/>
                <w:u w:val="single"/>
                <w:lang w:val="en-US" w:eastAsia="zh-CN"/>
              </w:rPr>
              <w:t>、</w:t>
            </w:r>
            <w:r>
              <w:rPr>
                <w:rFonts w:hint="eastAsia" w:ascii="Times New Roman" w:hAnsi="Times New Roman" w:eastAsia="宋体" w:cs="Times New Roman"/>
                <w:color w:val="auto"/>
                <w:sz w:val="21"/>
                <w:szCs w:val="21"/>
                <w:u w:val="single"/>
                <w:lang w:val="en-US" w:eastAsia="zh-CN"/>
              </w:rPr>
              <w:t>氢氧化锂、氟硅酸钠、氟硅酸镁、氟化钠、氟化钡、氟硅酸锌、氟硅酸钾、氟化铵、氟化钾、氟化锌</w:t>
            </w:r>
          </w:p>
        </w:tc>
        <w:tc>
          <w:tcPr>
            <w:tcW w:w="2280" w:type="dxa"/>
            <w:noWrap w:val="0"/>
            <w:vAlign w:val="center"/>
          </w:tcPr>
          <w:p w14:paraId="0F899435">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包装损坏泄漏</w:t>
            </w:r>
          </w:p>
        </w:tc>
        <w:tc>
          <w:tcPr>
            <w:tcW w:w="3063" w:type="dxa"/>
            <w:noWrap w:val="0"/>
            <w:vAlign w:val="center"/>
          </w:tcPr>
          <w:p w14:paraId="19CA5CBB">
            <w:pPr>
              <w:adjustRightInd w:val="0"/>
              <w:snapToGrid w:val="0"/>
              <w:jc w:val="both"/>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液态危险化学品</w:t>
            </w:r>
            <w:r>
              <w:rPr>
                <w:rFonts w:hint="default" w:ascii="Times New Roman" w:hAnsi="Times New Roman" w:eastAsia="宋体" w:cs="Times New Roman"/>
                <w:color w:val="auto"/>
                <w:sz w:val="21"/>
                <w:szCs w:val="21"/>
                <w:u w:val="single"/>
                <w:lang w:val="en-US" w:eastAsia="zh-CN"/>
              </w:rPr>
              <w:t>泄漏物料在</w:t>
            </w:r>
            <w:r>
              <w:rPr>
                <w:rFonts w:hint="eastAsia" w:ascii="Times New Roman" w:hAnsi="Times New Roman" w:eastAsia="宋体" w:cs="Times New Roman"/>
                <w:color w:val="auto"/>
                <w:sz w:val="21"/>
                <w:szCs w:val="21"/>
                <w:u w:val="single"/>
                <w:lang w:val="en-US" w:eastAsia="zh-CN"/>
              </w:rPr>
              <w:t>二</w:t>
            </w:r>
            <w:r>
              <w:rPr>
                <w:rFonts w:hint="default" w:ascii="Times New Roman" w:hAnsi="Times New Roman" w:eastAsia="宋体" w:cs="Times New Roman"/>
                <w:color w:val="auto"/>
                <w:sz w:val="21"/>
                <w:szCs w:val="21"/>
                <w:u w:val="single"/>
                <w:lang w:val="en-US" w:eastAsia="zh-CN"/>
              </w:rPr>
              <w:t>级防控下被截留在厂区内，</w:t>
            </w:r>
            <w:r>
              <w:rPr>
                <w:rFonts w:hint="eastAsia" w:cs="Times New Roman"/>
                <w:color w:val="auto"/>
                <w:sz w:val="21"/>
                <w:szCs w:val="21"/>
                <w:u w:val="single"/>
                <w:lang w:val="en-US" w:eastAsia="zh-CN"/>
              </w:rPr>
              <w:t>固态危险化学品</w:t>
            </w:r>
            <w:r>
              <w:rPr>
                <w:rFonts w:hint="default" w:ascii="Times New Roman" w:hAnsi="Times New Roman" w:eastAsia="宋体" w:cs="Times New Roman"/>
                <w:color w:val="auto"/>
                <w:sz w:val="21"/>
                <w:szCs w:val="21"/>
                <w:u w:val="single"/>
                <w:lang w:val="en-US" w:eastAsia="zh-CN"/>
              </w:rPr>
              <w:t>物料泄漏留在</w:t>
            </w:r>
            <w:r>
              <w:rPr>
                <w:rFonts w:hint="eastAsia" w:ascii="Times New Roman" w:hAnsi="Times New Roman" w:eastAsia="宋体" w:cs="Times New Roman"/>
                <w:color w:val="auto"/>
                <w:sz w:val="21"/>
                <w:szCs w:val="21"/>
                <w:u w:val="single"/>
                <w:lang w:val="en-US" w:eastAsia="zh-CN"/>
              </w:rPr>
              <w:t>2号、4号、5号仓库内，</w:t>
            </w:r>
            <w:r>
              <w:rPr>
                <w:rFonts w:hint="default" w:ascii="Times New Roman" w:hAnsi="Times New Roman" w:eastAsia="宋体" w:cs="Times New Roman"/>
                <w:color w:val="auto"/>
                <w:sz w:val="21"/>
                <w:szCs w:val="21"/>
                <w:u w:val="single"/>
                <w:lang w:val="en-US" w:eastAsia="zh-CN"/>
              </w:rPr>
              <w:t>不向外扩散，且能够快速清理，对地表水、地下水等外界影响不大</w:t>
            </w:r>
            <w:r>
              <w:rPr>
                <w:rFonts w:hint="eastAsia" w:ascii="Times New Roman" w:hAnsi="Times New Roman" w:eastAsia="宋体" w:cs="Times New Roman"/>
                <w:color w:val="auto"/>
                <w:sz w:val="21"/>
                <w:szCs w:val="21"/>
                <w:u w:val="single"/>
                <w:lang w:val="en-US" w:eastAsia="zh-CN"/>
              </w:rPr>
              <w:t>。</w:t>
            </w:r>
          </w:p>
        </w:tc>
      </w:tr>
    </w:tbl>
    <w:p w14:paraId="176413CA">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风险识别结果</w:t>
      </w:r>
    </w:p>
    <w:p w14:paraId="170FDF23">
      <w:pPr>
        <w:pStyle w:val="4"/>
        <w:numPr>
          <w:ilvl w:val="3"/>
          <w:numId w:val="10"/>
        </w:numPr>
        <w:tabs>
          <w:tab w:val="left" w:pos="1358"/>
          <w:tab w:val="left" w:pos="2153"/>
          <w:tab w:val="left" w:pos="2183"/>
        </w:tabs>
        <w:spacing w:before="15"/>
        <w:ind w:left="1358"/>
        <w:rPr>
          <w:rFonts w:hint="default" w:ascii="Times New Roman" w:hAnsi="Times New Roman" w:eastAsia="宋体" w:cs="Times New Roman"/>
          <w:color w:val="auto"/>
        </w:rPr>
      </w:pPr>
      <w:bookmarkStart w:id="77" w:name="_Toc29591"/>
      <w:r>
        <w:rPr>
          <w:rFonts w:hint="default" w:ascii="Times New Roman" w:hAnsi="Times New Roman" w:eastAsia="宋体" w:cs="Times New Roman"/>
          <w:color w:val="auto"/>
        </w:rPr>
        <w:t>建设项目环境风险识别表</w:t>
      </w:r>
      <w:bookmarkEnd w:id="77"/>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
        <w:gridCol w:w="1533"/>
        <w:gridCol w:w="1125"/>
        <w:gridCol w:w="1575"/>
        <w:gridCol w:w="765"/>
        <w:gridCol w:w="1305"/>
        <w:gridCol w:w="1185"/>
        <w:gridCol w:w="1005"/>
      </w:tblGrid>
      <w:tr w14:paraId="130C1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atLeast"/>
        </w:trPr>
        <w:tc>
          <w:tcPr>
            <w:tcW w:w="500" w:type="dxa"/>
            <w:tcBorders>
              <w:top w:val="single" w:color="000000" w:sz="4" w:space="0"/>
              <w:left w:val="single" w:color="000000" w:sz="4" w:space="0"/>
              <w:bottom w:val="single" w:color="000000" w:sz="4" w:space="0"/>
              <w:right w:val="single" w:color="000000" w:sz="4" w:space="0"/>
            </w:tcBorders>
            <w:noWrap w:val="0"/>
            <w:vAlign w:val="center"/>
          </w:tcPr>
          <w:p w14:paraId="75320B17">
            <w:pPr>
              <w:pStyle w:val="17"/>
              <w:widowControl w:val="0"/>
              <w:spacing w:before="0" w:beforeAutospacing="0" w:after="0" w:afterAutospacing="0" w:line="240" w:lineRule="exact"/>
              <w:jc w:val="center"/>
              <w:rPr>
                <w:rFonts w:hint="default" w:ascii="Times New Roman" w:hAnsi="Times New Roman" w:cs="Times New Roman"/>
                <w:color w:val="auto"/>
                <w:spacing w:val="10"/>
                <w:kern w:val="2"/>
                <w:sz w:val="21"/>
                <w:szCs w:val="21"/>
                <w:u w:val="none"/>
                <w:lang w:val="en-US" w:eastAsia="zh-CN" w:bidi="ar"/>
              </w:rPr>
            </w:pPr>
            <w:r>
              <w:rPr>
                <w:rFonts w:hint="default" w:ascii="Times New Roman" w:hAnsi="Times New Roman" w:cs="Times New Roman"/>
                <w:color w:val="auto"/>
                <w:spacing w:val="10"/>
                <w:kern w:val="2"/>
                <w:sz w:val="21"/>
                <w:szCs w:val="21"/>
                <w:u w:val="none"/>
                <w:lang w:val="en-US" w:eastAsia="zh-CN" w:bidi="ar"/>
              </w:rPr>
              <w:t>序号</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14:paraId="7F05695A">
            <w:pPr>
              <w:pStyle w:val="17"/>
              <w:widowControl w:val="0"/>
              <w:spacing w:before="0" w:beforeAutospacing="0" w:after="0" w:afterAutospacing="0" w:line="240" w:lineRule="exact"/>
              <w:jc w:val="center"/>
              <w:rPr>
                <w:rFonts w:hint="default" w:ascii="Times New Roman" w:hAnsi="Times New Roman" w:cs="Times New Roman"/>
                <w:color w:val="auto"/>
                <w:spacing w:val="10"/>
                <w:kern w:val="2"/>
                <w:sz w:val="21"/>
                <w:szCs w:val="21"/>
                <w:u w:val="none"/>
                <w:lang w:val="en-US" w:eastAsia="zh-CN" w:bidi="ar"/>
              </w:rPr>
            </w:pPr>
            <w:r>
              <w:rPr>
                <w:rFonts w:hint="default" w:ascii="Times New Roman" w:hAnsi="Times New Roman" w:cs="Times New Roman"/>
                <w:color w:val="auto"/>
                <w:spacing w:val="10"/>
                <w:kern w:val="2"/>
                <w:sz w:val="21"/>
                <w:szCs w:val="21"/>
                <w:u w:val="none"/>
                <w:lang w:val="en-US" w:eastAsia="zh-CN" w:bidi="ar"/>
              </w:rPr>
              <w:t>危险单元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5FA0A9A">
            <w:pPr>
              <w:pStyle w:val="17"/>
              <w:widowControl w:val="0"/>
              <w:spacing w:before="0" w:beforeAutospacing="0" w:after="0" w:afterAutospacing="0" w:line="240" w:lineRule="exact"/>
              <w:jc w:val="center"/>
              <w:rPr>
                <w:rFonts w:hint="default" w:ascii="Times New Roman" w:hAnsi="Times New Roman" w:cs="Times New Roman"/>
                <w:color w:val="auto"/>
                <w:spacing w:val="10"/>
                <w:kern w:val="2"/>
                <w:sz w:val="21"/>
                <w:szCs w:val="21"/>
                <w:u w:val="none"/>
                <w:lang w:val="en-US" w:eastAsia="zh-CN" w:bidi="ar"/>
              </w:rPr>
            </w:pPr>
            <w:r>
              <w:rPr>
                <w:rFonts w:hint="default" w:ascii="Times New Roman" w:hAnsi="Times New Roman" w:cs="Times New Roman"/>
                <w:color w:val="auto"/>
                <w:spacing w:val="10"/>
                <w:kern w:val="2"/>
                <w:sz w:val="21"/>
                <w:szCs w:val="21"/>
                <w:u w:val="none"/>
                <w:lang w:val="en-US" w:eastAsia="zh-CN" w:bidi="ar"/>
              </w:rPr>
              <w:t>风险源</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4E23DC7F">
            <w:pPr>
              <w:pStyle w:val="17"/>
              <w:widowControl w:val="0"/>
              <w:spacing w:before="0" w:beforeAutospacing="0" w:after="0" w:afterAutospacing="0" w:line="240" w:lineRule="exact"/>
              <w:jc w:val="center"/>
              <w:rPr>
                <w:rFonts w:hint="default" w:ascii="Times New Roman" w:hAnsi="Times New Roman" w:cs="Times New Roman"/>
                <w:color w:val="auto"/>
                <w:spacing w:val="10"/>
                <w:kern w:val="2"/>
                <w:sz w:val="21"/>
                <w:szCs w:val="21"/>
                <w:u w:val="none"/>
                <w:lang w:val="en-US" w:eastAsia="zh-CN" w:bidi="ar"/>
              </w:rPr>
            </w:pPr>
            <w:r>
              <w:rPr>
                <w:rFonts w:hint="default" w:ascii="Times New Roman" w:hAnsi="Times New Roman" w:cs="Times New Roman"/>
                <w:color w:val="auto"/>
                <w:spacing w:val="10"/>
                <w:kern w:val="2"/>
                <w:sz w:val="21"/>
                <w:szCs w:val="21"/>
                <w:u w:val="none"/>
                <w:lang w:val="en-US" w:eastAsia="zh-CN" w:bidi="ar"/>
              </w:rPr>
              <w:t>主要危险物质</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51EF6277">
            <w:pPr>
              <w:pStyle w:val="17"/>
              <w:widowControl w:val="0"/>
              <w:spacing w:before="0" w:beforeAutospacing="0" w:after="0" w:afterAutospacing="0" w:line="240" w:lineRule="exact"/>
              <w:jc w:val="center"/>
              <w:rPr>
                <w:rFonts w:hint="default" w:ascii="Times New Roman" w:hAnsi="Times New Roman" w:cs="Times New Roman"/>
                <w:color w:val="auto"/>
                <w:spacing w:val="10"/>
                <w:kern w:val="2"/>
                <w:sz w:val="21"/>
                <w:szCs w:val="21"/>
                <w:u w:val="none"/>
                <w:lang w:val="en-US" w:eastAsia="zh-CN" w:bidi="ar"/>
              </w:rPr>
            </w:pPr>
            <w:r>
              <w:rPr>
                <w:rFonts w:hint="default" w:ascii="Times New Roman" w:hAnsi="Times New Roman" w:cs="Times New Roman"/>
                <w:color w:val="auto"/>
                <w:spacing w:val="10"/>
                <w:kern w:val="2"/>
                <w:sz w:val="21"/>
                <w:szCs w:val="21"/>
                <w:u w:val="none"/>
                <w:lang w:val="en-US" w:eastAsia="zh-CN" w:bidi="ar"/>
              </w:rPr>
              <w:t>环境风险类型</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58A75D1">
            <w:pPr>
              <w:pStyle w:val="17"/>
              <w:widowControl w:val="0"/>
              <w:spacing w:before="0" w:beforeAutospacing="0" w:after="0" w:afterAutospacing="0" w:line="240" w:lineRule="exact"/>
              <w:jc w:val="center"/>
              <w:rPr>
                <w:rFonts w:hint="default" w:ascii="Times New Roman" w:hAnsi="Times New Roman" w:cs="Times New Roman"/>
                <w:color w:val="auto"/>
                <w:spacing w:val="10"/>
                <w:kern w:val="2"/>
                <w:sz w:val="21"/>
                <w:szCs w:val="21"/>
                <w:u w:val="none"/>
                <w:lang w:val="en-US" w:eastAsia="zh-CN" w:bidi="ar"/>
              </w:rPr>
            </w:pPr>
            <w:r>
              <w:rPr>
                <w:rFonts w:hint="default" w:ascii="Times New Roman" w:hAnsi="Times New Roman" w:cs="Times New Roman"/>
                <w:color w:val="auto"/>
                <w:spacing w:val="10"/>
                <w:kern w:val="2"/>
                <w:sz w:val="21"/>
                <w:szCs w:val="21"/>
                <w:u w:val="none"/>
                <w:lang w:val="en-US" w:eastAsia="zh-CN" w:bidi="ar"/>
              </w:rPr>
              <w:t>环境影响途径</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541090F7">
            <w:pPr>
              <w:pStyle w:val="17"/>
              <w:widowControl w:val="0"/>
              <w:spacing w:before="0" w:beforeAutospacing="0" w:after="0" w:afterAutospacing="0" w:line="240" w:lineRule="exact"/>
              <w:jc w:val="center"/>
              <w:rPr>
                <w:rFonts w:hint="default" w:ascii="Times New Roman" w:hAnsi="Times New Roman" w:cs="Times New Roman"/>
                <w:color w:val="auto"/>
                <w:spacing w:val="10"/>
                <w:kern w:val="2"/>
                <w:sz w:val="21"/>
                <w:szCs w:val="21"/>
                <w:u w:val="none"/>
                <w:lang w:val="en-US" w:eastAsia="zh-CN" w:bidi="ar"/>
              </w:rPr>
            </w:pPr>
            <w:r>
              <w:rPr>
                <w:rFonts w:hint="default" w:ascii="Times New Roman" w:hAnsi="Times New Roman" w:cs="Times New Roman"/>
                <w:color w:val="auto"/>
                <w:spacing w:val="10"/>
                <w:kern w:val="2"/>
                <w:sz w:val="21"/>
                <w:szCs w:val="21"/>
                <w:u w:val="none"/>
                <w:lang w:val="en-US" w:eastAsia="zh-CN" w:bidi="ar"/>
              </w:rPr>
              <w:t>可能受影响的环境敏感目标</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686EB37D">
            <w:pPr>
              <w:pStyle w:val="17"/>
              <w:widowControl w:val="0"/>
              <w:spacing w:before="0" w:beforeAutospacing="0" w:after="0" w:afterAutospacing="0" w:line="240" w:lineRule="exact"/>
              <w:jc w:val="center"/>
              <w:rPr>
                <w:rFonts w:hint="default" w:ascii="Times New Roman" w:hAnsi="Times New Roman" w:cs="Times New Roman"/>
                <w:color w:val="auto"/>
                <w:spacing w:val="10"/>
                <w:kern w:val="2"/>
                <w:sz w:val="21"/>
                <w:szCs w:val="21"/>
                <w:u w:val="none"/>
                <w:lang w:val="en-US" w:eastAsia="zh-CN" w:bidi="ar"/>
              </w:rPr>
            </w:pPr>
            <w:r>
              <w:rPr>
                <w:rFonts w:hint="default" w:ascii="Times New Roman" w:hAnsi="Times New Roman" w:cs="Times New Roman"/>
                <w:color w:val="auto"/>
                <w:spacing w:val="10"/>
                <w:kern w:val="2"/>
                <w:sz w:val="21"/>
                <w:szCs w:val="21"/>
                <w:u w:val="none"/>
                <w:lang w:val="en-US" w:eastAsia="zh-CN" w:bidi="ar"/>
              </w:rPr>
              <w:t>备注</w:t>
            </w:r>
          </w:p>
        </w:tc>
      </w:tr>
      <w:tr w14:paraId="0A949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trPr>
        <w:tc>
          <w:tcPr>
            <w:tcW w:w="500" w:type="dxa"/>
            <w:tcBorders>
              <w:top w:val="single" w:color="000000" w:sz="4" w:space="0"/>
              <w:left w:val="single" w:color="000000" w:sz="4" w:space="0"/>
              <w:right w:val="single" w:color="000000" w:sz="4" w:space="0"/>
            </w:tcBorders>
            <w:noWrap w:val="0"/>
            <w:vAlign w:val="center"/>
          </w:tcPr>
          <w:p w14:paraId="4C4BAD0F">
            <w:pPr>
              <w:spacing w:line="240" w:lineRule="exact"/>
              <w:jc w:val="center"/>
              <w:rPr>
                <w:rFonts w:hint="default" w:ascii="Times New Roman" w:hAnsi="Times New Roman" w:cs="Times New Roman"/>
                <w:color w:val="auto"/>
                <w:spacing w:val="10"/>
                <w:kern w:val="2"/>
                <w:sz w:val="21"/>
                <w:szCs w:val="21"/>
                <w:u w:val="none"/>
                <w:lang w:val="en-US" w:eastAsia="zh-CN" w:bidi="ar"/>
              </w:rPr>
            </w:pPr>
            <w:r>
              <w:rPr>
                <w:rFonts w:hint="eastAsia" w:ascii="Times New Roman" w:hAnsi="Times New Roman" w:cs="Times New Roman"/>
                <w:color w:val="auto"/>
                <w:kern w:val="28"/>
                <w:szCs w:val="21"/>
                <w:u w:val="none"/>
                <w:lang w:val="en-US" w:eastAsia="zh-CN"/>
              </w:rPr>
              <w:t>1</w:t>
            </w:r>
          </w:p>
        </w:tc>
        <w:tc>
          <w:tcPr>
            <w:tcW w:w="1533" w:type="dxa"/>
            <w:tcBorders>
              <w:top w:val="single" w:color="000000" w:sz="4" w:space="0"/>
              <w:left w:val="single" w:color="000000" w:sz="4" w:space="0"/>
              <w:right w:val="single" w:color="000000" w:sz="4" w:space="0"/>
            </w:tcBorders>
            <w:noWrap w:val="0"/>
            <w:vAlign w:val="center"/>
          </w:tcPr>
          <w:p w14:paraId="3BB0FC09">
            <w:pPr>
              <w:adjustRightInd w:val="0"/>
              <w:snapToGrid w:val="0"/>
              <w:spacing w:line="240" w:lineRule="auto"/>
              <w:jc w:val="center"/>
              <w:rPr>
                <w:rFonts w:hint="default" w:ascii="Times New Roman" w:hAnsi="Times New Roman" w:cs="Times New Roman"/>
                <w:color w:val="auto"/>
                <w:spacing w:val="10"/>
                <w:kern w:val="2"/>
                <w:sz w:val="21"/>
                <w:szCs w:val="21"/>
                <w:u w:val="none"/>
                <w:lang w:val="en-US" w:eastAsia="zh-CN" w:bidi="ar"/>
              </w:rPr>
            </w:pPr>
            <w:r>
              <w:rPr>
                <w:rFonts w:hint="eastAsia" w:ascii="Times New Roman" w:hAnsi="Times New Roman" w:eastAsia="宋体" w:cs="Times New Roman"/>
                <w:color w:val="auto"/>
                <w:kern w:val="0"/>
                <w:sz w:val="21"/>
                <w:szCs w:val="21"/>
                <w:u w:val="none"/>
                <w:vertAlign w:val="baseline"/>
                <w:lang w:val="en-US" w:eastAsia="zh-CN"/>
              </w:rPr>
              <w:t>2号仓库隔间A、B、C、D；4号仓库隔间B；5号仓库隔间B</w:t>
            </w:r>
          </w:p>
        </w:tc>
        <w:tc>
          <w:tcPr>
            <w:tcW w:w="1125" w:type="dxa"/>
            <w:tcBorders>
              <w:top w:val="single" w:color="000000" w:sz="4" w:space="0"/>
              <w:left w:val="single" w:color="000000" w:sz="4" w:space="0"/>
              <w:right w:val="single" w:color="000000" w:sz="4" w:space="0"/>
            </w:tcBorders>
            <w:noWrap w:val="0"/>
            <w:vAlign w:val="center"/>
          </w:tcPr>
          <w:p w14:paraId="42BF99E9">
            <w:pPr>
              <w:spacing w:line="240" w:lineRule="exact"/>
              <w:jc w:val="center"/>
              <w:rPr>
                <w:rFonts w:hint="default" w:ascii="Times New Roman" w:hAnsi="Times New Roman" w:cs="Times New Roman"/>
                <w:color w:val="auto"/>
                <w:spacing w:val="10"/>
                <w:kern w:val="2"/>
                <w:sz w:val="21"/>
                <w:szCs w:val="21"/>
                <w:u w:val="none"/>
                <w:lang w:val="en-US" w:eastAsia="zh-CN" w:bidi="ar"/>
              </w:rPr>
            </w:pPr>
            <w:r>
              <w:rPr>
                <w:rFonts w:hint="eastAsia" w:ascii="Times New Roman" w:hAnsi="Times New Roman" w:eastAsia="宋体" w:cs="Times New Roman"/>
                <w:color w:val="auto"/>
                <w:kern w:val="0"/>
                <w:sz w:val="21"/>
                <w:szCs w:val="21"/>
                <w:u w:val="none"/>
                <w:vertAlign w:val="baseline"/>
                <w:lang w:val="en-US" w:eastAsia="zh-CN"/>
              </w:rPr>
              <w:t>25L</w:t>
            </w:r>
            <w:r>
              <w:rPr>
                <w:rFonts w:hint="eastAsia" w:ascii="Times New Roman" w:hAnsi="Times New Roman" w:cs="Times New Roman"/>
                <w:color w:val="auto"/>
                <w:kern w:val="28"/>
                <w:szCs w:val="21"/>
                <w:u w:val="none"/>
                <w:lang w:val="en-US" w:eastAsia="zh-CN"/>
              </w:rPr>
              <w:t>磷酸桶、</w:t>
            </w:r>
            <w:r>
              <w:rPr>
                <w:rFonts w:hint="eastAsia" w:ascii="Times New Roman" w:hAnsi="Times New Roman" w:eastAsia="宋体" w:cs="Times New Roman"/>
                <w:color w:val="auto"/>
                <w:kern w:val="0"/>
                <w:sz w:val="21"/>
                <w:szCs w:val="21"/>
                <w:u w:val="none"/>
                <w:vertAlign w:val="baseline"/>
                <w:lang w:val="en-US" w:eastAsia="zh-CN"/>
              </w:rPr>
              <w:t>25L盐酸桶</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2BEC98D5">
            <w:pPr>
              <w:adjustRightInd w:val="0"/>
              <w:snapToGrid w:val="0"/>
              <w:jc w:val="center"/>
              <w:rPr>
                <w:rFonts w:hint="default" w:ascii="Times New Roman" w:hAnsi="Times New Roman" w:cs="Times New Roman"/>
                <w:color w:val="auto"/>
                <w:spacing w:val="10"/>
                <w:kern w:val="2"/>
                <w:sz w:val="21"/>
                <w:szCs w:val="21"/>
                <w:u w:val="none"/>
                <w:lang w:val="en-US" w:eastAsia="zh-CN" w:bidi="ar"/>
              </w:rPr>
            </w:pPr>
            <w:r>
              <w:rPr>
                <w:rFonts w:hint="eastAsia" w:ascii="Times New Roman" w:hAnsi="Times New Roman" w:cs="Times New Roman"/>
                <w:color w:val="auto"/>
                <w:spacing w:val="10"/>
                <w:kern w:val="2"/>
                <w:sz w:val="21"/>
                <w:szCs w:val="21"/>
                <w:u w:val="none"/>
                <w:lang w:val="en-US" w:eastAsia="zh-CN" w:bidi="ar"/>
              </w:rPr>
              <w:t>磷酸、</w:t>
            </w:r>
            <w:r>
              <w:rPr>
                <w:rFonts w:hint="eastAsia" w:cs="Times New Roman"/>
                <w:color w:val="auto"/>
                <w:spacing w:val="10"/>
                <w:kern w:val="2"/>
                <w:sz w:val="21"/>
                <w:szCs w:val="21"/>
                <w:u w:val="none"/>
                <w:lang w:val="en-US" w:eastAsia="zh-CN" w:bidi="ar"/>
              </w:rPr>
              <w:t>盐酸</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59178320">
            <w:pPr>
              <w:pStyle w:val="17"/>
              <w:widowControl w:val="0"/>
              <w:spacing w:before="0" w:beforeAutospacing="0" w:after="0" w:afterAutospacing="0" w:line="240" w:lineRule="exact"/>
              <w:jc w:val="center"/>
              <w:rPr>
                <w:rFonts w:hint="default" w:ascii="Times New Roman" w:hAnsi="Times New Roman" w:cs="Times New Roman"/>
                <w:color w:val="auto"/>
                <w:spacing w:val="10"/>
                <w:kern w:val="2"/>
                <w:sz w:val="21"/>
                <w:szCs w:val="21"/>
                <w:u w:val="none"/>
                <w:lang w:val="en-US" w:eastAsia="zh-CN" w:bidi="ar"/>
              </w:rPr>
            </w:pPr>
            <w:r>
              <w:rPr>
                <w:rFonts w:hint="default" w:ascii="Times New Roman" w:hAnsi="Times New Roman" w:cs="Times New Roman"/>
                <w:color w:val="auto"/>
                <w:spacing w:val="10"/>
                <w:kern w:val="2"/>
                <w:sz w:val="21"/>
                <w:szCs w:val="21"/>
                <w:u w:val="none"/>
                <w:lang w:val="en-US" w:eastAsia="zh-CN" w:bidi="ar"/>
              </w:rPr>
              <w:t>泄漏</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DE1B138">
            <w:pPr>
              <w:pStyle w:val="17"/>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地下水、地表水</w:t>
            </w:r>
            <w:r>
              <w:rPr>
                <w:rFonts w:hint="eastAsia" w:ascii="Times New Roman" w:hAnsi="Times New Roman" w:cs="Times New Roman"/>
                <w:color w:val="auto"/>
                <w:spacing w:val="10"/>
                <w:kern w:val="2"/>
                <w:sz w:val="21"/>
                <w:szCs w:val="21"/>
                <w:u w:val="none"/>
                <w:lang w:val="en-US" w:eastAsia="zh-CN" w:bidi="ar"/>
              </w:rPr>
              <w:t>、大气环境</w:t>
            </w:r>
          </w:p>
        </w:tc>
        <w:tc>
          <w:tcPr>
            <w:tcW w:w="1185" w:type="dxa"/>
            <w:vMerge w:val="restart"/>
            <w:tcBorders>
              <w:top w:val="single" w:color="000000" w:sz="4" w:space="0"/>
              <w:left w:val="single" w:color="000000" w:sz="4" w:space="0"/>
              <w:right w:val="single" w:color="000000" w:sz="4" w:space="0"/>
            </w:tcBorders>
            <w:noWrap w:val="0"/>
            <w:vAlign w:val="center"/>
          </w:tcPr>
          <w:p w14:paraId="5B81D383">
            <w:pPr>
              <w:pStyle w:val="17"/>
              <w:widowControl w:val="0"/>
              <w:spacing w:before="0" w:beforeAutospacing="0" w:after="0" w:afterAutospacing="0" w:line="240" w:lineRule="exact"/>
              <w:jc w:val="center"/>
              <w:rPr>
                <w:rFonts w:hint="default" w:ascii="Times New Roman" w:hAnsi="Times New Roman" w:cs="Times New Roman"/>
                <w:color w:val="auto"/>
                <w:spacing w:val="10"/>
                <w:kern w:val="2"/>
                <w:sz w:val="21"/>
                <w:szCs w:val="21"/>
                <w:u w:val="none"/>
                <w:lang w:val="en-US" w:eastAsia="zh-CN" w:bidi="ar"/>
              </w:rPr>
            </w:pPr>
            <w:r>
              <w:rPr>
                <w:rFonts w:hint="default" w:ascii="Times New Roman" w:hAnsi="Times New Roman" w:cs="Times New Roman"/>
                <w:color w:val="auto"/>
                <w:spacing w:val="10"/>
                <w:kern w:val="2"/>
                <w:sz w:val="21"/>
                <w:szCs w:val="21"/>
                <w:u w:val="none"/>
                <w:lang w:val="en-US" w:eastAsia="zh-CN" w:bidi="ar"/>
              </w:rPr>
              <w:t>表1-2</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45B30D42">
            <w:pPr>
              <w:pStyle w:val="17"/>
              <w:widowControl w:val="0"/>
              <w:spacing w:before="0" w:beforeAutospacing="0" w:after="0" w:afterAutospacing="0" w:line="240" w:lineRule="exact"/>
              <w:jc w:val="center"/>
              <w:rPr>
                <w:rFonts w:hint="default" w:ascii="Times New Roman" w:hAnsi="Times New Roman" w:cs="Times New Roman"/>
                <w:color w:val="auto"/>
                <w:spacing w:val="10"/>
                <w:kern w:val="2"/>
                <w:sz w:val="21"/>
                <w:szCs w:val="21"/>
                <w:u w:val="none"/>
                <w:lang w:val="en-US" w:eastAsia="zh-CN" w:bidi="ar"/>
              </w:rPr>
            </w:pPr>
            <w:r>
              <w:rPr>
                <w:rFonts w:hint="default" w:ascii="Times New Roman" w:hAnsi="Times New Roman" w:cs="Times New Roman"/>
                <w:color w:val="auto"/>
                <w:spacing w:val="10"/>
                <w:kern w:val="2"/>
                <w:sz w:val="21"/>
                <w:szCs w:val="21"/>
                <w:u w:val="none"/>
                <w:lang w:val="en-US" w:eastAsia="zh-CN" w:bidi="ar"/>
              </w:rPr>
              <w:t>重点风险源</w:t>
            </w:r>
          </w:p>
        </w:tc>
      </w:tr>
      <w:tr w14:paraId="1914D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trPr>
        <w:tc>
          <w:tcPr>
            <w:tcW w:w="500" w:type="dxa"/>
            <w:tcBorders>
              <w:left w:val="single" w:color="000000" w:sz="4" w:space="0"/>
              <w:right w:val="single" w:color="000000" w:sz="4" w:space="0"/>
            </w:tcBorders>
            <w:noWrap w:val="0"/>
            <w:vAlign w:val="center"/>
          </w:tcPr>
          <w:p w14:paraId="49F00487">
            <w:pPr>
              <w:spacing w:line="240" w:lineRule="exact"/>
              <w:jc w:val="center"/>
              <w:rPr>
                <w:rFonts w:hint="eastAsia" w:ascii="Times New Roman" w:hAnsi="Times New Roman" w:cs="Times New Roman"/>
                <w:color w:val="auto"/>
                <w:spacing w:val="10"/>
                <w:kern w:val="2"/>
                <w:sz w:val="21"/>
                <w:szCs w:val="21"/>
                <w:u w:val="none"/>
                <w:lang w:val="en-US" w:eastAsia="zh-CN" w:bidi="ar"/>
              </w:rPr>
            </w:pPr>
            <w:r>
              <w:rPr>
                <w:rFonts w:hint="eastAsia" w:ascii="Times New Roman" w:hAnsi="Times New Roman" w:cs="Times New Roman"/>
                <w:color w:val="auto"/>
                <w:kern w:val="28"/>
                <w:szCs w:val="21"/>
                <w:u w:val="none"/>
                <w:lang w:val="en-US" w:eastAsia="zh-CN"/>
              </w:rPr>
              <w:t>2</w:t>
            </w:r>
          </w:p>
        </w:tc>
        <w:tc>
          <w:tcPr>
            <w:tcW w:w="1533" w:type="dxa"/>
            <w:tcBorders>
              <w:left w:val="single" w:color="000000" w:sz="4" w:space="0"/>
              <w:right w:val="single" w:color="000000" w:sz="4" w:space="0"/>
            </w:tcBorders>
            <w:noWrap w:val="0"/>
            <w:vAlign w:val="center"/>
          </w:tcPr>
          <w:p w14:paraId="75D4E5F2">
            <w:pPr>
              <w:spacing w:line="240" w:lineRule="exact"/>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0"/>
                <w:sz w:val="21"/>
                <w:szCs w:val="21"/>
                <w:u w:val="none"/>
                <w:vertAlign w:val="baseline"/>
                <w:lang w:val="en-US" w:eastAsia="zh-CN"/>
              </w:rPr>
              <w:t>2号仓库隔间A、B、C、D；4号仓库隔间C；5号仓库隔间C</w:t>
            </w:r>
          </w:p>
        </w:tc>
        <w:tc>
          <w:tcPr>
            <w:tcW w:w="1125" w:type="dxa"/>
            <w:tcBorders>
              <w:left w:val="single" w:color="000000" w:sz="4" w:space="0"/>
              <w:right w:val="single" w:color="000000" w:sz="4" w:space="0"/>
            </w:tcBorders>
            <w:noWrap w:val="0"/>
            <w:vAlign w:val="center"/>
          </w:tcPr>
          <w:p w14:paraId="12552187">
            <w:pPr>
              <w:spacing w:line="240" w:lineRule="exact"/>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kern w:val="0"/>
                <w:sz w:val="21"/>
                <w:szCs w:val="21"/>
                <w:u w:val="single"/>
                <w:vertAlign w:val="baseline"/>
                <w:lang w:val="en-US" w:eastAsia="zh-CN"/>
              </w:rPr>
              <w:t>50kg</w:t>
            </w:r>
            <w:r>
              <w:rPr>
                <w:rFonts w:hint="eastAsia" w:cs="Times New Roman"/>
                <w:color w:val="auto"/>
                <w:kern w:val="0"/>
                <w:sz w:val="21"/>
                <w:szCs w:val="21"/>
                <w:u w:val="single"/>
                <w:vertAlign w:val="baseline"/>
                <w:lang w:val="en-US" w:eastAsia="zh-CN"/>
              </w:rPr>
              <w:t>危险化学品包装</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5D228B0F">
            <w:pPr>
              <w:adjustRightInd w:val="0"/>
              <w:snapToGrid w:val="0"/>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硫酸镍</w:t>
            </w:r>
            <w:r>
              <w:rPr>
                <w:rFonts w:hint="eastAsia" w:cs="Times New Roman"/>
                <w:color w:val="auto"/>
                <w:sz w:val="21"/>
                <w:szCs w:val="21"/>
                <w:u w:val="single"/>
                <w:lang w:val="en-US" w:eastAsia="zh-CN"/>
              </w:rPr>
              <w:t>、氢氧化锂、氟硅酸钠、氟硅酸镁、氟化钠、氟化钡、氟硅酸锌、氟硅酸钾、氟化铵、氟化钾、氟化锌</w:t>
            </w:r>
          </w:p>
        </w:tc>
        <w:tc>
          <w:tcPr>
            <w:tcW w:w="765" w:type="dxa"/>
            <w:tcBorders>
              <w:top w:val="single" w:color="000000" w:sz="4" w:space="0"/>
              <w:left w:val="single" w:color="000000" w:sz="4" w:space="0"/>
              <w:bottom w:val="single" w:color="000000" w:sz="4" w:space="0"/>
              <w:right w:val="single" w:color="000000" w:sz="4" w:space="0"/>
            </w:tcBorders>
            <w:noWrap w:val="0"/>
            <w:vAlign w:val="center"/>
          </w:tcPr>
          <w:p w14:paraId="48C3239B">
            <w:pPr>
              <w:widowControl w:val="0"/>
              <w:spacing w:before="0" w:beforeAutospacing="0" w:after="0" w:afterAutospacing="0" w:line="240" w:lineRule="exact"/>
              <w:jc w:val="center"/>
              <w:rPr>
                <w:rFonts w:hint="default" w:ascii="Times New Roman" w:hAnsi="Times New Roman" w:cs="Times New Roman"/>
                <w:color w:val="auto"/>
                <w:spacing w:val="10"/>
                <w:kern w:val="2"/>
                <w:sz w:val="21"/>
                <w:szCs w:val="21"/>
                <w:u w:val="none"/>
                <w:lang w:val="en-US" w:eastAsia="zh-CN" w:bidi="ar"/>
              </w:rPr>
            </w:pPr>
            <w:r>
              <w:rPr>
                <w:rFonts w:hint="default" w:ascii="Times New Roman" w:hAnsi="Times New Roman" w:cs="Times New Roman"/>
                <w:color w:val="auto"/>
                <w:spacing w:val="10"/>
                <w:kern w:val="2"/>
                <w:sz w:val="21"/>
                <w:szCs w:val="21"/>
                <w:u w:val="none"/>
                <w:lang w:val="en-US" w:eastAsia="zh-CN" w:bidi="ar"/>
              </w:rPr>
              <w:t>泄漏</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696EF659">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地下水、地表水</w:t>
            </w:r>
          </w:p>
        </w:tc>
        <w:tc>
          <w:tcPr>
            <w:tcW w:w="1185" w:type="dxa"/>
            <w:vMerge w:val="continue"/>
            <w:tcBorders>
              <w:left w:val="single" w:color="000000" w:sz="4" w:space="0"/>
              <w:right w:val="single" w:color="000000" w:sz="4" w:space="0"/>
            </w:tcBorders>
            <w:noWrap w:val="0"/>
            <w:vAlign w:val="center"/>
          </w:tcPr>
          <w:p w14:paraId="17DBCD8C">
            <w:pPr>
              <w:pStyle w:val="17"/>
              <w:widowControl w:val="0"/>
              <w:spacing w:before="0" w:beforeAutospacing="0" w:after="0" w:afterAutospacing="0" w:line="240" w:lineRule="exact"/>
              <w:jc w:val="center"/>
              <w:rPr>
                <w:rFonts w:hint="default" w:ascii="Times New Roman" w:hAnsi="Times New Roman" w:cs="Times New Roman"/>
                <w:color w:val="auto"/>
                <w:spacing w:val="10"/>
                <w:kern w:val="2"/>
                <w:sz w:val="21"/>
                <w:szCs w:val="21"/>
                <w:u w:val="none"/>
                <w:lang w:val="en-US" w:eastAsia="zh-CN" w:bidi="ar"/>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07167B78">
            <w:pPr>
              <w:pStyle w:val="17"/>
              <w:widowControl w:val="0"/>
              <w:spacing w:before="0" w:beforeAutospacing="0" w:after="0" w:afterAutospacing="0" w:line="240" w:lineRule="exact"/>
              <w:jc w:val="center"/>
              <w:rPr>
                <w:rFonts w:hint="default" w:ascii="Times New Roman" w:hAnsi="Times New Roman" w:cs="Times New Roman"/>
                <w:color w:val="auto"/>
                <w:spacing w:val="10"/>
                <w:kern w:val="2"/>
                <w:sz w:val="21"/>
                <w:szCs w:val="21"/>
                <w:u w:val="none"/>
                <w:lang w:val="en-US" w:eastAsia="zh-CN" w:bidi="ar"/>
              </w:rPr>
            </w:pPr>
            <w:r>
              <w:rPr>
                <w:rFonts w:hint="default" w:ascii="Times New Roman" w:hAnsi="Times New Roman" w:cs="Times New Roman"/>
                <w:color w:val="auto"/>
                <w:spacing w:val="10"/>
                <w:kern w:val="2"/>
                <w:sz w:val="21"/>
                <w:szCs w:val="21"/>
                <w:u w:val="none"/>
                <w:lang w:val="en-US" w:eastAsia="zh-CN" w:bidi="ar"/>
              </w:rPr>
              <w:t>重点风险源</w:t>
            </w:r>
          </w:p>
        </w:tc>
      </w:tr>
    </w:tbl>
    <w:p w14:paraId="3E889D1E">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风险事故情形分析</w:t>
      </w:r>
    </w:p>
    <w:p w14:paraId="187BDAE1">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eastAsia" w:ascii="Times New Roman" w:hAnsi="Times New Roman" w:eastAsia="宋体" w:cs="Times New Roman"/>
          <w:color w:val="auto"/>
          <w:spacing w:val="10"/>
          <w:sz w:val="24"/>
          <w:szCs w:val="32"/>
          <w:lang w:val="en-US" w:eastAsia="zh-CN"/>
        </w:rPr>
        <w:t>2号仓库</w:t>
      </w:r>
      <w:r>
        <w:rPr>
          <w:rFonts w:hint="default" w:ascii="Times New Roman" w:hAnsi="Times New Roman" w:eastAsia="宋体" w:cs="Times New Roman"/>
          <w:color w:val="auto"/>
          <w:spacing w:val="10"/>
          <w:sz w:val="24"/>
          <w:szCs w:val="32"/>
          <w:lang w:val="en-US" w:eastAsia="zh-CN"/>
        </w:rPr>
        <w:t>、</w:t>
      </w:r>
      <w:r>
        <w:rPr>
          <w:rFonts w:hint="eastAsia" w:ascii="Times New Roman" w:hAnsi="Times New Roman" w:eastAsia="宋体" w:cs="Times New Roman"/>
          <w:color w:val="auto"/>
          <w:spacing w:val="10"/>
          <w:sz w:val="24"/>
          <w:szCs w:val="32"/>
          <w:lang w:val="en-US" w:eastAsia="zh-CN"/>
        </w:rPr>
        <w:t>4号仓库、5号仓库</w:t>
      </w:r>
      <w:r>
        <w:rPr>
          <w:rFonts w:hint="default" w:ascii="Times New Roman" w:hAnsi="Times New Roman" w:eastAsia="宋体" w:cs="Times New Roman"/>
          <w:color w:val="auto"/>
          <w:spacing w:val="10"/>
          <w:sz w:val="24"/>
          <w:szCs w:val="32"/>
          <w:lang w:val="en-US" w:eastAsia="zh-CN"/>
        </w:rPr>
        <w:t>为本次环评风险源风险影响分析。</w:t>
      </w:r>
    </w:p>
    <w:p w14:paraId="09FE8072">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根据项目特点，以风险识别为基准，结合主要事故类型及事故诱因发生概率等因素，综合考虑危险物质危害性、储存数量、事故危害后果等因素，确定项目最大可信事故为：</w:t>
      </w:r>
    </w:p>
    <w:p w14:paraId="3FCFCC2F">
      <w:pPr>
        <w:autoSpaceDE w:val="0"/>
        <w:autoSpaceDN w:val="0"/>
        <w:adjustRightInd w:val="0"/>
        <w:spacing w:line="500" w:lineRule="exact"/>
        <w:ind w:firstLine="490" w:firstLineChars="200"/>
        <w:rPr>
          <w:rFonts w:hint="eastAsia" w:ascii="Times New Roman" w:hAnsi="Times New Roman" w:eastAsia="宋体" w:cs="Times New Roman"/>
          <w:color w:val="auto"/>
          <w:spacing w:val="10"/>
          <w:sz w:val="24"/>
          <w:szCs w:val="32"/>
          <w:u w:val="none"/>
          <w:lang w:val="en-US" w:eastAsia="zh-CN"/>
        </w:rPr>
      </w:pPr>
      <w:r>
        <w:rPr>
          <w:rFonts w:hint="eastAsia" w:ascii="Times New Roman" w:hAnsi="Times New Roman" w:eastAsia="宋体" w:cs="Times New Roman"/>
          <w:color w:val="auto"/>
          <w:spacing w:val="10"/>
          <w:sz w:val="24"/>
          <w:szCs w:val="32"/>
          <w:u w:val="none"/>
          <w:lang w:val="en-US" w:eastAsia="zh-CN"/>
        </w:rPr>
        <w:t>1、5号仓库20L磷酸桶泄漏进入地表水、地下水环境。</w:t>
      </w:r>
    </w:p>
    <w:p w14:paraId="62B66EE2">
      <w:pPr>
        <w:autoSpaceDE w:val="0"/>
        <w:autoSpaceDN w:val="0"/>
        <w:adjustRightInd w:val="0"/>
        <w:spacing w:line="500" w:lineRule="exact"/>
        <w:ind w:firstLine="490" w:firstLineChars="200"/>
        <w:rPr>
          <w:rFonts w:hint="eastAsia" w:ascii="Times New Roman" w:hAnsi="Times New Roman" w:eastAsia="宋体" w:cs="Times New Roman"/>
          <w:color w:val="auto"/>
          <w:spacing w:val="10"/>
          <w:sz w:val="24"/>
          <w:szCs w:val="32"/>
          <w:u w:val="none"/>
          <w:lang w:val="en-US" w:eastAsia="zh-CN"/>
        </w:rPr>
      </w:pPr>
      <w:r>
        <w:rPr>
          <w:rFonts w:hint="eastAsia" w:ascii="Times New Roman" w:hAnsi="Times New Roman" w:eastAsia="宋体" w:cs="Times New Roman"/>
          <w:color w:val="auto"/>
          <w:spacing w:val="10"/>
          <w:sz w:val="24"/>
          <w:szCs w:val="32"/>
          <w:u w:val="none"/>
          <w:lang w:val="en-US" w:eastAsia="zh-CN"/>
        </w:rPr>
        <w:t>2、5号仓库20L盐酸桶泄漏进入地表水、地下水、大气环境。</w:t>
      </w:r>
    </w:p>
    <w:p w14:paraId="30CC24EB">
      <w:pPr>
        <w:pStyle w:val="4"/>
        <w:numPr>
          <w:ilvl w:val="3"/>
          <w:numId w:val="10"/>
        </w:numPr>
        <w:tabs>
          <w:tab w:val="left" w:pos="1358"/>
          <w:tab w:val="left" w:pos="2153"/>
          <w:tab w:val="left" w:pos="2183"/>
        </w:tabs>
        <w:spacing w:before="15"/>
        <w:ind w:left="1358"/>
        <w:rPr>
          <w:rFonts w:hint="default" w:ascii="Times New Roman" w:hAnsi="Times New Roman" w:eastAsia="宋体" w:cs="Times New Roman"/>
          <w:color w:val="auto"/>
        </w:rPr>
      </w:pPr>
      <w:bookmarkStart w:id="78" w:name="_Toc23972"/>
      <w:r>
        <w:rPr>
          <w:rFonts w:hint="default" w:ascii="Times New Roman" w:hAnsi="Times New Roman" w:eastAsia="宋体" w:cs="Times New Roman"/>
          <w:color w:val="auto"/>
        </w:rPr>
        <w:t>风险事故设置情景一览表</w:t>
      </w:r>
      <w:bookmarkEnd w:id="78"/>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5"/>
        <w:gridCol w:w="768"/>
        <w:gridCol w:w="900"/>
        <w:gridCol w:w="510"/>
        <w:gridCol w:w="866"/>
        <w:gridCol w:w="1059"/>
        <w:gridCol w:w="666"/>
        <w:gridCol w:w="1054"/>
        <w:gridCol w:w="1170"/>
        <w:gridCol w:w="864"/>
      </w:tblGrid>
      <w:tr w14:paraId="244B2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665" w:type="dxa"/>
            <w:tcBorders>
              <w:top w:val="single" w:color="000000" w:sz="4" w:space="0"/>
              <w:left w:val="single" w:color="000000" w:sz="4" w:space="0"/>
              <w:bottom w:val="single" w:color="000000" w:sz="4" w:space="0"/>
              <w:right w:val="single" w:color="000000" w:sz="4" w:space="0"/>
            </w:tcBorders>
            <w:noWrap w:val="0"/>
            <w:vAlign w:val="center"/>
          </w:tcPr>
          <w:p w14:paraId="34B45FE7">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风险</w:t>
            </w:r>
          </w:p>
          <w:p w14:paraId="20F39F72">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单元</w:t>
            </w:r>
          </w:p>
        </w:tc>
        <w:tc>
          <w:tcPr>
            <w:tcW w:w="768" w:type="dxa"/>
            <w:tcBorders>
              <w:top w:val="single" w:color="000000" w:sz="4" w:space="0"/>
              <w:left w:val="single" w:color="000000" w:sz="4" w:space="0"/>
              <w:bottom w:val="single" w:color="000000" w:sz="4" w:space="0"/>
              <w:right w:val="single" w:color="000000" w:sz="4" w:space="0"/>
            </w:tcBorders>
            <w:noWrap w:val="0"/>
            <w:vAlign w:val="center"/>
          </w:tcPr>
          <w:p w14:paraId="1B61E557">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风险</w:t>
            </w:r>
          </w:p>
          <w:p w14:paraId="7C53E561">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源</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287748B3">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风险</w:t>
            </w:r>
          </w:p>
          <w:p w14:paraId="694C3ADB">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物质</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14:paraId="154E5606">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形态</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14:paraId="7E5486DE">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风险事故类型</w:t>
            </w:r>
          </w:p>
        </w:tc>
        <w:tc>
          <w:tcPr>
            <w:tcW w:w="1059" w:type="dxa"/>
            <w:tcBorders>
              <w:top w:val="single" w:color="000000" w:sz="4" w:space="0"/>
              <w:left w:val="single" w:color="000000" w:sz="4" w:space="0"/>
              <w:bottom w:val="single" w:color="000000" w:sz="4" w:space="0"/>
              <w:right w:val="single" w:color="000000" w:sz="4" w:space="0"/>
            </w:tcBorders>
            <w:noWrap w:val="0"/>
            <w:vAlign w:val="center"/>
          </w:tcPr>
          <w:p w14:paraId="65D677AB">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影响</w:t>
            </w:r>
          </w:p>
          <w:p w14:paraId="43DCF2BC">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途径</w:t>
            </w: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4D14839A">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部件</w:t>
            </w:r>
          </w:p>
          <w:p w14:paraId="53B24702">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类型</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14:paraId="2D984B8F">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泄漏模式</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11C2311F">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泄漏频率</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CF1E940">
            <w:pPr>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事故持续时间</w:t>
            </w:r>
          </w:p>
        </w:tc>
      </w:tr>
      <w:tr w14:paraId="2D5C9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665" w:type="dxa"/>
            <w:vMerge w:val="restart"/>
            <w:tcBorders>
              <w:top w:val="single" w:color="000000" w:sz="4" w:space="0"/>
              <w:left w:val="single" w:color="000000" w:sz="4" w:space="0"/>
              <w:right w:val="single" w:color="000000" w:sz="4" w:space="0"/>
            </w:tcBorders>
            <w:noWrap w:val="0"/>
            <w:vAlign w:val="center"/>
          </w:tcPr>
          <w:p w14:paraId="096538ED">
            <w:pPr>
              <w:adjustRightInd w:val="0"/>
              <w:snapToGrid w:val="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5号仓库</w:t>
            </w:r>
          </w:p>
        </w:tc>
        <w:tc>
          <w:tcPr>
            <w:tcW w:w="768" w:type="dxa"/>
            <w:tcBorders>
              <w:top w:val="single" w:color="000000" w:sz="4" w:space="0"/>
              <w:left w:val="single" w:color="000000" w:sz="4" w:space="0"/>
              <w:bottom w:val="single" w:color="000000" w:sz="4" w:space="0"/>
              <w:right w:val="single" w:color="000000" w:sz="4" w:space="0"/>
            </w:tcBorders>
            <w:noWrap w:val="0"/>
            <w:vAlign w:val="center"/>
          </w:tcPr>
          <w:p w14:paraId="3B89552F">
            <w:pPr>
              <w:adjustRightInd w:val="0"/>
              <w:snapToGrid w:val="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20L磷酸桶</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1C94AFA6">
            <w:pPr>
              <w:adjustRightInd w:val="0"/>
              <w:snapToGrid w:val="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磷酸</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14:paraId="74EE4F17">
            <w:pPr>
              <w:adjustRightInd w:val="0"/>
              <w:snapToGrid w:val="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液</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14:paraId="70C5D5F2">
            <w:pPr>
              <w:adjustRightInd w:val="0"/>
              <w:snapToGrid w:val="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泄漏</w:t>
            </w:r>
          </w:p>
        </w:tc>
        <w:tc>
          <w:tcPr>
            <w:tcW w:w="1059" w:type="dxa"/>
            <w:tcBorders>
              <w:top w:val="single" w:color="000000" w:sz="4" w:space="0"/>
              <w:left w:val="single" w:color="000000" w:sz="4" w:space="0"/>
              <w:bottom w:val="single" w:color="000000" w:sz="4" w:space="0"/>
              <w:right w:val="single" w:color="000000" w:sz="4" w:space="0"/>
            </w:tcBorders>
            <w:noWrap w:val="0"/>
            <w:vAlign w:val="center"/>
          </w:tcPr>
          <w:p w14:paraId="6D95B8C7">
            <w:pPr>
              <w:adjustRightInd w:val="0"/>
              <w:snapToGrid w:val="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地下水、地表水</w:t>
            </w: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1C64180E">
            <w:pPr>
              <w:adjustRightInd w:val="0"/>
              <w:snapToGrid w:val="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包装桶</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14:paraId="6FEA575E">
            <w:pPr>
              <w:adjustRightInd w:val="0"/>
              <w:snapToGrid w:val="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泄漏孔径为10mm孔径</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23D09CF2">
            <w:pPr>
              <w:adjustRightInd w:val="0"/>
              <w:snapToGrid w:val="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1.00×10</w:t>
            </w:r>
            <w:r>
              <w:rPr>
                <w:rFonts w:hint="default" w:ascii="Times New Roman" w:hAnsi="Times New Roman" w:eastAsia="宋体" w:cs="Times New Roman"/>
                <w:color w:val="000000"/>
                <w:sz w:val="21"/>
                <w:szCs w:val="21"/>
                <w:u w:val="none"/>
                <w:vertAlign w:val="superscript"/>
                <w:lang w:val="en-US" w:eastAsia="zh-CN"/>
              </w:rPr>
              <w:t>-4</w:t>
            </w:r>
            <w:r>
              <w:rPr>
                <w:rFonts w:hint="default" w:ascii="Times New Roman" w:hAnsi="Times New Roman" w:eastAsia="宋体" w:cs="Times New Roman"/>
                <w:color w:val="000000"/>
                <w:sz w:val="21"/>
                <w:szCs w:val="21"/>
                <w:u w:val="none"/>
                <w:lang w:val="en-US" w:eastAsia="zh-CN"/>
              </w:rPr>
              <w:t>/a</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EC45F74">
            <w:pPr>
              <w:adjustRightInd w:val="0"/>
              <w:snapToGrid w:val="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10min</w:t>
            </w:r>
          </w:p>
        </w:tc>
      </w:tr>
      <w:tr w14:paraId="16EDD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665" w:type="dxa"/>
            <w:vMerge w:val="continue"/>
            <w:tcBorders>
              <w:left w:val="single" w:color="000000" w:sz="4" w:space="0"/>
              <w:right w:val="single" w:color="000000" w:sz="4" w:space="0"/>
            </w:tcBorders>
            <w:noWrap w:val="0"/>
            <w:vAlign w:val="center"/>
          </w:tcPr>
          <w:p w14:paraId="3CCEA349">
            <w:pPr>
              <w:adjustRightInd w:val="0"/>
              <w:snapToGrid w:val="0"/>
              <w:jc w:val="center"/>
              <w:rPr>
                <w:rFonts w:hint="eastAsia" w:ascii="Times New Roman" w:hAnsi="Times New Roman" w:eastAsia="宋体" w:cs="Times New Roman"/>
                <w:color w:val="000000"/>
                <w:sz w:val="21"/>
                <w:szCs w:val="21"/>
                <w:u w:val="none"/>
                <w:lang w:val="en-US" w:eastAsia="zh-CN"/>
              </w:rPr>
            </w:pPr>
          </w:p>
        </w:tc>
        <w:tc>
          <w:tcPr>
            <w:tcW w:w="768" w:type="dxa"/>
            <w:tcBorders>
              <w:top w:val="single" w:color="000000" w:sz="4" w:space="0"/>
              <w:left w:val="single" w:color="000000" w:sz="4" w:space="0"/>
              <w:right w:val="single" w:color="000000" w:sz="4" w:space="0"/>
            </w:tcBorders>
            <w:noWrap w:val="0"/>
            <w:vAlign w:val="center"/>
          </w:tcPr>
          <w:p w14:paraId="2548ED9C">
            <w:pPr>
              <w:adjustRightInd w:val="0"/>
              <w:snapToGrid w:val="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20L盐酸桶</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2171AB98">
            <w:pPr>
              <w:adjustRightInd w:val="0"/>
              <w:snapToGrid w:val="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盐酸</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14:paraId="1A7D3E44">
            <w:pPr>
              <w:adjustRightInd w:val="0"/>
              <w:snapToGrid w:val="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液</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14:paraId="411773FE">
            <w:pPr>
              <w:adjustRightInd w:val="0"/>
              <w:snapToGrid w:val="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泄漏</w:t>
            </w:r>
          </w:p>
        </w:tc>
        <w:tc>
          <w:tcPr>
            <w:tcW w:w="1059" w:type="dxa"/>
            <w:tcBorders>
              <w:top w:val="single" w:color="000000" w:sz="4" w:space="0"/>
              <w:left w:val="single" w:color="000000" w:sz="4" w:space="0"/>
              <w:bottom w:val="single" w:color="000000" w:sz="4" w:space="0"/>
              <w:right w:val="single" w:color="000000" w:sz="4" w:space="0"/>
            </w:tcBorders>
            <w:noWrap w:val="0"/>
            <w:vAlign w:val="center"/>
          </w:tcPr>
          <w:p w14:paraId="4AF902C8">
            <w:pPr>
              <w:adjustRightInd w:val="0"/>
              <w:snapToGrid w:val="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地下水、地表水、大气环境</w:t>
            </w: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7D45C3E3">
            <w:pPr>
              <w:adjustRightInd w:val="0"/>
              <w:snapToGrid w:val="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包装桶</w:t>
            </w:r>
          </w:p>
        </w:tc>
        <w:tc>
          <w:tcPr>
            <w:tcW w:w="1054" w:type="dxa"/>
            <w:tcBorders>
              <w:top w:val="single" w:color="000000" w:sz="4" w:space="0"/>
              <w:left w:val="single" w:color="000000" w:sz="4" w:space="0"/>
              <w:bottom w:val="single" w:color="000000" w:sz="4" w:space="0"/>
              <w:right w:val="single" w:color="000000" w:sz="4" w:space="0"/>
            </w:tcBorders>
            <w:noWrap w:val="0"/>
            <w:vAlign w:val="center"/>
          </w:tcPr>
          <w:p w14:paraId="7DF7D050">
            <w:pPr>
              <w:adjustRightInd w:val="0"/>
              <w:snapToGrid w:val="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泄漏孔径为10mm孔径</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6973DD2">
            <w:pPr>
              <w:adjustRightInd w:val="0"/>
              <w:snapToGrid w:val="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1.00×10</w:t>
            </w:r>
            <w:r>
              <w:rPr>
                <w:rFonts w:hint="default" w:ascii="Times New Roman" w:hAnsi="Times New Roman" w:eastAsia="宋体" w:cs="Times New Roman"/>
                <w:color w:val="000000"/>
                <w:sz w:val="21"/>
                <w:szCs w:val="21"/>
                <w:u w:val="none"/>
                <w:vertAlign w:val="superscript"/>
                <w:lang w:val="en-US" w:eastAsia="zh-CN"/>
              </w:rPr>
              <w:t>-4</w:t>
            </w:r>
            <w:r>
              <w:rPr>
                <w:rFonts w:hint="default" w:ascii="Times New Roman" w:hAnsi="Times New Roman" w:eastAsia="宋体" w:cs="Times New Roman"/>
                <w:color w:val="000000"/>
                <w:sz w:val="21"/>
                <w:szCs w:val="21"/>
                <w:u w:val="none"/>
                <w:lang w:val="en-US" w:eastAsia="zh-CN"/>
              </w:rPr>
              <w:t>/a</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CD1B5A">
            <w:pPr>
              <w:adjustRightInd w:val="0"/>
              <w:snapToGrid w:val="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10min</w:t>
            </w:r>
          </w:p>
        </w:tc>
      </w:tr>
    </w:tbl>
    <w:p w14:paraId="0EE58AAB">
      <w:pPr>
        <w:pStyle w:val="3"/>
        <w:numPr>
          <w:ilvl w:val="1"/>
          <w:numId w:val="9"/>
        </w:numPr>
        <w:spacing w:before="210" w:after="210" w:line="500" w:lineRule="exact"/>
        <w:ind w:left="567" w:leftChars="0" w:hanging="567" w:firstLineChars="0"/>
        <w:rPr>
          <w:rFonts w:hint="default" w:ascii="Times New Roman" w:hAnsi="Times New Roman" w:eastAsia="宋体" w:cs="Times New Roman"/>
          <w:b/>
          <w:bCs w:val="0"/>
          <w:color w:val="000000"/>
          <w:sz w:val="28"/>
          <w:szCs w:val="22"/>
          <w:lang w:val="zh-CN" w:eastAsia="zh-CN"/>
        </w:rPr>
      </w:pPr>
      <w:bookmarkStart w:id="79" w:name="_Toc21451"/>
      <w:r>
        <w:rPr>
          <w:rFonts w:hint="default" w:ascii="Times New Roman" w:hAnsi="Times New Roman" w:eastAsia="宋体" w:cs="Times New Roman"/>
          <w:b/>
          <w:bCs w:val="0"/>
          <w:color w:val="000000"/>
          <w:sz w:val="28"/>
          <w:szCs w:val="22"/>
          <w:lang w:val="zh-CN" w:eastAsia="zh-CN"/>
        </w:rPr>
        <w:t>源项分析</w:t>
      </w:r>
      <w:bookmarkEnd w:id="79"/>
    </w:p>
    <w:p w14:paraId="63C4676D">
      <w:pPr>
        <w:pStyle w:val="6"/>
        <w:spacing w:line="500" w:lineRule="exact"/>
        <w:ind w:firstLine="450" w:firstLineChars="200"/>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一、泄漏量计算</w:t>
      </w:r>
    </w:p>
    <w:p w14:paraId="5EFDED13">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1、液体泄漏</w:t>
      </w:r>
    </w:p>
    <w:p w14:paraId="7A98B8A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液体泄漏速率QL用伯努利方程计算（限制条件为液体在喷口内不应有急骤蒸发）：</w:t>
      </w:r>
    </w:p>
    <w:p w14:paraId="38D0E516">
      <w:pPr>
        <w:autoSpaceDE w:val="0"/>
        <w:autoSpaceDN w:val="0"/>
        <w:spacing w:before="158"/>
        <w:ind w:left="1016"/>
        <w:jc w:val="center"/>
        <w:rPr>
          <w:rFonts w:hint="default" w:ascii="Times New Roman" w:hAnsi="Times New Roman" w:cs="Times New Roman"/>
          <w:color w:val="auto"/>
          <w:sz w:val="13"/>
          <w:szCs w:val="24"/>
        </w:rPr>
      </w:pPr>
      <w:r>
        <w:rPr>
          <w:rFonts w:hint="default" w:ascii="Times New Roman" w:hAnsi="Times New Roman" w:eastAsia="宋体" w:cs="Times New Roman"/>
          <w:color w:val="auto"/>
          <w:sz w:val="24"/>
          <w:szCs w:val="24"/>
          <w:lang w:bidi="ar"/>
        </w:rPr>
        <w:drawing>
          <wp:inline distT="0" distB="0" distL="114300" distR="114300">
            <wp:extent cx="2514600" cy="609600"/>
            <wp:effectExtent l="0" t="0" r="0"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25"/>
                    <a:stretch>
                      <a:fillRect/>
                    </a:stretch>
                  </pic:blipFill>
                  <pic:spPr>
                    <a:xfrm>
                      <a:off x="0" y="0"/>
                      <a:ext cx="2514600" cy="609600"/>
                    </a:xfrm>
                    <a:prstGeom prst="rect">
                      <a:avLst/>
                    </a:prstGeom>
                    <a:noFill/>
                    <a:ln>
                      <a:noFill/>
                    </a:ln>
                  </pic:spPr>
                </pic:pic>
              </a:graphicData>
            </a:graphic>
          </wp:inline>
        </w:drawing>
      </w:r>
    </w:p>
    <w:p w14:paraId="45C3E4A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式中：Q</w:t>
      </w:r>
      <w:r>
        <w:rPr>
          <w:rFonts w:hint="default" w:ascii="Times New Roman" w:hAnsi="Times New Roman" w:eastAsia="宋体" w:cs="Times New Roman"/>
          <w:color w:val="000000"/>
          <w:spacing w:val="10"/>
          <w:sz w:val="24"/>
          <w:szCs w:val="32"/>
          <w:vertAlign w:val="subscript"/>
          <w:lang w:val="en-US" w:eastAsia="zh-CN"/>
        </w:rPr>
        <w:t>L</w:t>
      </w:r>
      <w:r>
        <w:rPr>
          <w:rFonts w:hint="default" w:ascii="Times New Roman" w:hAnsi="Times New Roman" w:eastAsia="宋体" w:cs="Times New Roman"/>
          <w:color w:val="000000"/>
          <w:spacing w:val="10"/>
          <w:sz w:val="24"/>
          <w:szCs w:val="32"/>
          <w:lang w:val="en-US" w:eastAsia="zh-CN"/>
        </w:rPr>
        <w:t>—液体泄漏速度，kg/s；</w:t>
      </w:r>
    </w:p>
    <w:p w14:paraId="1D3B1960">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P—容器内介质压力，Pa；</w:t>
      </w:r>
    </w:p>
    <w:p w14:paraId="4CD2765E">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P</w:t>
      </w:r>
      <w:r>
        <w:rPr>
          <w:rFonts w:hint="default" w:ascii="Times New Roman" w:hAnsi="Times New Roman" w:eastAsia="宋体" w:cs="Times New Roman"/>
          <w:color w:val="000000"/>
          <w:spacing w:val="10"/>
          <w:sz w:val="24"/>
          <w:szCs w:val="32"/>
          <w:vertAlign w:val="subscript"/>
          <w:lang w:val="en-US" w:eastAsia="zh-CN"/>
        </w:rPr>
        <w:t>0</w:t>
      </w:r>
      <w:r>
        <w:rPr>
          <w:rFonts w:hint="default" w:ascii="Times New Roman" w:hAnsi="Times New Roman" w:eastAsia="宋体" w:cs="Times New Roman"/>
          <w:color w:val="000000"/>
          <w:spacing w:val="10"/>
          <w:sz w:val="24"/>
          <w:szCs w:val="32"/>
          <w:lang w:val="en-US" w:eastAsia="zh-CN"/>
        </w:rPr>
        <w:t>—环境压力，Pa；</w:t>
      </w:r>
    </w:p>
    <w:p w14:paraId="4D66381A">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ρ—泄漏液体密度，kg/m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w:t>
      </w:r>
    </w:p>
    <w:p w14:paraId="53BBB942">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g—重力加速度，9.81m/s</w:t>
      </w:r>
      <w:r>
        <w:rPr>
          <w:rFonts w:hint="default" w:ascii="Times New Roman" w:hAnsi="Times New Roman" w:eastAsia="宋体" w:cs="Times New Roman"/>
          <w:color w:val="000000"/>
          <w:spacing w:val="10"/>
          <w:sz w:val="24"/>
          <w:szCs w:val="32"/>
          <w:vertAlign w:val="superscript"/>
          <w:lang w:val="en-US" w:eastAsia="zh-CN"/>
        </w:rPr>
        <w:t>2</w:t>
      </w:r>
      <w:r>
        <w:rPr>
          <w:rFonts w:hint="default" w:ascii="Times New Roman" w:hAnsi="Times New Roman" w:eastAsia="宋体" w:cs="Times New Roman"/>
          <w:color w:val="000000"/>
          <w:spacing w:val="10"/>
          <w:sz w:val="24"/>
          <w:szCs w:val="32"/>
          <w:lang w:val="en-US" w:eastAsia="zh-CN"/>
        </w:rPr>
        <w:t>。</w:t>
      </w:r>
    </w:p>
    <w:p w14:paraId="43925B8C">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h—裂口之上液位高度，m。</w:t>
      </w:r>
    </w:p>
    <w:p w14:paraId="39658115">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C</w:t>
      </w:r>
      <w:r>
        <w:rPr>
          <w:rFonts w:hint="default" w:ascii="Times New Roman" w:hAnsi="Times New Roman" w:eastAsia="宋体" w:cs="Times New Roman"/>
          <w:color w:val="000000"/>
          <w:spacing w:val="10"/>
          <w:sz w:val="24"/>
          <w:szCs w:val="32"/>
          <w:vertAlign w:val="subscript"/>
          <w:lang w:val="en-US" w:eastAsia="zh-CN"/>
        </w:rPr>
        <w:t>d</w:t>
      </w:r>
      <w:r>
        <w:rPr>
          <w:rFonts w:hint="default" w:ascii="Times New Roman" w:hAnsi="Times New Roman" w:eastAsia="宋体" w:cs="Times New Roman"/>
          <w:color w:val="000000"/>
          <w:spacing w:val="10"/>
          <w:sz w:val="24"/>
          <w:szCs w:val="32"/>
          <w:lang w:val="en-US" w:eastAsia="zh-CN"/>
        </w:rPr>
        <w:t>—液体泄漏系数。按表F.1液体泄漏系数。</w:t>
      </w:r>
    </w:p>
    <w:p w14:paraId="2D015E4A">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A—裂口面积，m</w:t>
      </w:r>
      <w:r>
        <w:rPr>
          <w:rFonts w:hint="default" w:ascii="Times New Roman" w:hAnsi="Times New Roman" w:eastAsia="宋体" w:cs="Times New Roman"/>
          <w:color w:val="000000"/>
          <w:spacing w:val="10"/>
          <w:sz w:val="24"/>
          <w:szCs w:val="32"/>
          <w:vertAlign w:val="superscript"/>
          <w:lang w:val="en-US" w:eastAsia="zh-CN"/>
        </w:rPr>
        <w:t>2</w:t>
      </w:r>
      <w:r>
        <w:rPr>
          <w:rFonts w:hint="default" w:ascii="Times New Roman" w:hAnsi="Times New Roman" w:eastAsia="宋体" w:cs="Times New Roman"/>
          <w:color w:val="000000"/>
          <w:spacing w:val="10"/>
          <w:sz w:val="24"/>
          <w:szCs w:val="32"/>
          <w:lang w:val="en-US" w:eastAsia="zh-CN"/>
        </w:rPr>
        <w:t>；</w:t>
      </w:r>
    </w:p>
    <w:p w14:paraId="0480D14B">
      <w:pPr>
        <w:pStyle w:val="6"/>
        <w:spacing w:line="500" w:lineRule="exact"/>
        <w:ind w:firstLine="450" w:firstLineChars="200"/>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二、泄漏蒸发速率计算</w:t>
      </w:r>
    </w:p>
    <w:p w14:paraId="4464E7D4">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泄漏液体的蒸发分为闪蒸蒸发、热量蒸发和质量蒸发三种，其蒸发总量为这三种蒸发之和。</w:t>
      </w:r>
    </w:p>
    <w:p w14:paraId="06E9EF85">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1、闪蒸蒸发</w:t>
      </w:r>
    </w:p>
    <w:p w14:paraId="76C1C14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液体中闪蒸部分：</w:t>
      </w:r>
    </w:p>
    <w:p w14:paraId="197BBD49">
      <w:pPr>
        <w:autoSpaceDE w:val="0"/>
        <w:autoSpaceDN w:val="0"/>
        <w:spacing w:line="360" w:lineRule="auto"/>
        <w:jc w:val="center"/>
        <w:rPr>
          <w:rFonts w:hint="default" w:ascii="Times New Roman" w:hAnsi="Times New Roman" w:cs="Times New Roman"/>
          <w:color w:val="auto"/>
          <w:spacing w:val="-5"/>
          <w:sz w:val="24"/>
          <w:szCs w:val="24"/>
        </w:rPr>
      </w:pPr>
      <w:r>
        <w:rPr>
          <w:rFonts w:hint="default" w:ascii="Times New Roman" w:hAnsi="Times New Roman" w:eastAsia="宋体" w:cs="Times New Roman"/>
          <w:color w:val="auto"/>
          <w:sz w:val="21"/>
          <w:szCs w:val="21"/>
          <w:lang w:bidi="ar"/>
        </w:rPr>
        <w:drawing>
          <wp:inline distT="0" distB="0" distL="114300" distR="114300">
            <wp:extent cx="1400175" cy="600075"/>
            <wp:effectExtent l="0" t="0" r="9525" b="952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pic:cNvPicPr>
                      <a:picLocks noChangeAspect="1"/>
                    </pic:cNvPicPr>
                  </pic:nvPicPr>
                  <pic:blipFill>
                    <a:blip r:embed="rId26"/>
                    <a:stretch>
                      <a:fillRect/>
                    </a:stretch>
                  </pic:blipFill>
                  <pic:spPr>
                    <a:xfrm>
                      <a:off x="0" y="0"/>
                      <a:ext cx="1400175" cy="600075"/>
                    </a:xfrm>
                    <a:prstGeom prst="rect">
                      <a:avLst/>
                    </a:prstGeom>
                    <a:noFill/>
                    <a:ln>
                      <a:noFill/>
                    </a:ln>
                  </pic:spPr>
                </pic:pic>
              </a:graphicData>
            </a:graphic>
          </wp:inline>
        </w:drawing>
      </w:r>
    </w:p>
    <w:p w14:paraId="12877F87">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过热液体闪蒸蒸发速率可按下式估算：</w:t>
      </w:r>
    </w:p>
    <w:p w14:paraId="6158405A">
      <w:pPr>
        <w:autoSpaceDE w:val="0"/>
        <w:autoSpaceDN w:val="0"/>
        <w:spacing w:line="360" w:lineRule="auto"/>
        <w:jc w:val="center"/>
        <w:rPr>
          <w:rFonts w:hint="default" w:ascii="Times New Roman" w:hAnsi="Times New Roman" w:cs="Times New Roman"/>
          <w:color w:val="auto"/>
          <w:spacing w:val="-5"/>
          <w:sz w:val="24"/>
          <w:szCs w:val="24"/>
        </w:rPr>
      </w:pPr>
      <w:r>
        <w:rPr>
          <w:rFonts w:hint="default" w:ascii="Times New Roman" w:hAnsi="Times New Roman" w:eastAsia="宋体" w:cs="Times New Roman"/>
          <w:color w:val="auto"/>
          <w:sz w:val="21"/>
          <w:szCs w:val="21"/>
          <w:lang w:bidi="ar"/>
        </w:rPr>
        <w:drawing>
          <wp:inline distT="0" distB="0" distL="114300" distR="114300">
            <wp:extent cx="1095375" cy="295275"/>
            <wp:effectExtent l="0" t="0" r="9525" b="9525"/>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27"/>
                    <a:stretch>
                      <a:fillRect/>
                    </a:stretch>
                  </pic:blipFill>
                  <pic:spPr>
                    <a:xfrm>
                      <a:off x="0" y="0"/>
                      <a:ext cx="1095375" cy="295275"/>
                    </a:xfrm>
                    <a:prstGeom prst="rect">
                      <a:avLst/>
                    </a:prstGeom>
                    <a:noFill/>
                    <a:ln>
                      <a:noFill/>
                    </a:ln>
                  </pic:spPr>
                </pic:pic>
              </a:graphicData>
            </a:graphic>
          </wp:inline>
        </w:drawing>
      </w:r>
    </w:p>
    <w:p w14:paraId="442A954E">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式中：F</w:t>
      </w:r>
      <w:r>
        <w:rPr>
          <w:rFonts w:hint="default" w:ascii="Times New Roman" w:hAnsi="Times New Roman" w:eastAsia="宋体" w:cs="Times New Roman"/>
          <w:color w:val="000000"/>
          <w:spacing w:val="10"/>
          <w:sz w:val="24"/>
          <w:szCs w:val="32"/>
          <w:vertAlign w:val="subscript"/>
          <w:lang w:val="en-US" w:eastAsia="zh-CN"/>
        </w:rPr>
        <w:t>v</w:t>
      </w:r>
      <w:r>
        <w:rPr>
          <w:rFonts w:hint="default" w:ascii="Times New Roman" w:hAnsi="Times New Roman" w:eastAsia="宋体" w:cs="Times New Roman"/>
          <w:color w:val="000000"/>
          <w:spacing w:val="10"/>
          <w:sz w:val="24"/>
          <w:szCs w:val="32"/>
          <w:lang w:val="en-US" w:eastAsia="zh-CN"/>
        </w:rPr>
        <w:t>——泄漏液体的闪蒸比例；</w:t>
      </w:r>
    </w:p>
    <w:p w14:paraId="41981520">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T</w:t>
      </w:r>
      <w:r>
        <w:rPr>
          <w:rFonts w:hint="default" w:ascii="Times New Roman" w:hAnsi="Times New Roman" w:eastAsia="宋体" w:cs="Times New Roman"/>
          <w:color w:val="000000"/>
          <w:spacing w:val="10"/>
          <w:sz w:val="24"/>
          <w:szCs w:val="32"/>
          <w:vertAlign w:val="subscript"/>
          <w:lang w:val="en-US" w:eastAsia="zh-CN"/>
        </w:rPr>
        <w:t>T</w:t>
      </w:r>
      <w:r>
        <w:rPr>
          <w:rFonts w:hint="default" w:ascii="Times New Roman" w:hAnsi="Times New Roman" w:eastAsia="宋体" w:cs="Times New Roman"/>
          <w:color w:val="000000"/>
          <w:spacing w:val="10"/>
          <w:sz w:val="24"/>
          <w:szCs w:val="32"/>
          <w:lang w:val="en-US" w:eastAsia="zh-CN"/>
        </w:rPr>
        <w:t>——储存温度，K；</w:t>
      </w:r>
    </w:p>
    <w:p w14:paraId="30C124F8">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T</w:t>
      </w:r>
      <w:r>
        <w:rPr>
          <w:rFonts w:hint="default" w:ascii="Times New Roman" w:hAnsi="Times New Roman" w:eastAsia="宋体" w:cs="Times New Roman"/>
          <w:color w:val="000000"/>
          <w:spacing w:val="10"/>
          <w:sz w:val="24"/>
          <w:szCs w:val="32"/>
          <w:vertAlign w:val="subscript"/>
          <w:lang w:val="en-US" w:eastAsia="zh-CN"/>
        </w:rPr>
        <w:t>b</w:t>
      </w:r>
      <w:r>
        <w:rPr>
          <w:rFonts w:hint="default" w:ascii="Times New Roman" w:hAnsi="Times New Roman" w:eastAsia="宋体" w:cs="Times New Roman"/>
          <w:color w:val="000000"/>
          <w:spacing w:val="10"/>
          <w:sz w:val="24"/>
          <w:szCs w:val="32"/>
          <w:lang w:val="en-US" w:eastAsia="zh-CN"/>
        </w:rPr>
        <w:t>——泄漏液体的沸点，K；</w:t>
      </w:r>
    </w:p>
    <w:p w14:paraId="5DC45F4E">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H</w:t>
      </w:r>
      <w:r>
        <w:rPr>
          <w:rFonts w:hint="default" w:ascii="Times New Roman" w:hAnsi="Times New Roman" w:eastAsia="宋体" w:cs="Times New Roman"/>
          <w:color w:val="000000"/>
          <w:spacing w:val="10"/>
          <w:sz w:val="24"/>
          <w:szCs w:val="32"/>
          <w:vertAlign w:val="subscript"/>
          <w:lang w:val="en-US" w:eastAsia="zh-CN"/>
        </w:rPr>
        <w:t>v</w:t>
      </w:r>
      <w:r>
        <w:rPr>
          <w:rFonts w:hint="default" w:ascii="Times New Roman" w:hAnsi="Times New Roman" w:eastAsia="宋体" w:cs="Times New Roman"/>
          <w:color w:val="000000"/>
          <w:spacing w:val="10"/>
          <w:sz w:val="24"/>
          <w:szCs w:val="32"/>
          <w:lang w:val="en-US" w:eastAsia="zh-CN"/>
        </w:rPr>
        <w:t>——泄漏液体的蒸发热，J/kg；</w:t>
      </w:r>
    </w:p>
    <w:p w14:paraId="7FF34AA0">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C</w:t>
      </w:r>
      <w:r>
        <w:rPr>
          <w:rFonts w:hint="default" w:ascii="Times New Roman" w:hAnsi="Times New Roman" w:eastAsia="宋体" w:cs="Times New Roman"/>
          <w:color w:val="000000"/>
          <w:spacing w:val="10"/>
          <w:sz w:val="24"/>
          <w:szCs w:val="32"/>
          <w:vertAlign w:val="subscript"/>
          <w:lang w:val="en-US" w:eastAsia="zh-CN"/>
        </w:rPr>
        <w:t>p</w:t>
      </w:r>
      <w:r>
        <w:rPr>
          <w:rFonts w:hint="default" w:ascii="Times New Roman" w:hAnsi="Times New Roman" w:eastAsia="宋体" w:cs="Times New Roman"/>
          <w:color w:val="000000"/>
          <w:spacing w:val="10"/>
          <w:sz w:val="24"/>
          <w:szCs w:val="32"/>
          <w:lang w:val="en-US" w:eastAsia="zh-CN"/>
        </w:rPr>
        <w:t>——泄漏液体的定压比热容，J/(kg·K)；</w:t>
      </w:r>
    </w:p>
    <w:p w14:paraId="78ACEA94">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Q</w:t>
      </w:r>
      <w:r>
        <w:rPr>
          <w:rFonts w:hint="default" w:ascii="Times New Roman" w:hAnsi="Times New Roman" w:eastAsia="宋体" w:cs="Times New Roman"/>
          <w:color w:val="000000"/>
          <w:spacing w:val="10"/>
          <w:sz w:val="24"/>
          <w:szCs w:val="32"/>
          <w:vertAlign w:val="subscript"/>
          <w:lang w:val="en-US" w:eastAsia="zh-CN"/>
        </w:rPr>
        <w:t>1</w:t>
      </w:r>
      <w:r>
        <w:rPr>
          <w:rFonts w:hint="default" w:ascii="Times New Roman" w:hAnsi="Times New Roman" w:eastAsia="宋体" w:cs="Times New Roman"/>
          <w:color w:val="000000"/>
          <w:spacing w:val="10"/>
          <w:sz w:val="24"/>
          <w:szCs w:val="32"/>
          <w:lang w:val="en-US" w:eastAsia="zh-CN"/>
        </w:rPr>
        <w:t>——过热液体闪蒸蒸发速率，kg/s；</w:t>
      </w:r>
    </w:p>
    <w:p w14:paraId="07483254">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Q</w:t>
      </w:r>
      <w:r>
        <w:rPr>
          <w:rFonts w:hint="default" w:ascii="Times New Roman" w:hAnsi="Times New Roman" w:eastAsia="宋体" w:cs="Times New Roman"/>
          <w:color w:val="000000"/>
          <w:spacing w:val="10"/>
          <w:sz w:val="24"/>
          <w:szCs w:val="32"/>
          <w:vertAlign w:val="subscript"/>
          <w:lang w:val="en-US" w:eastAsia="zh-CN"/>
        </w:rPr>
        <w:t>L</w:t>
      </w:r>
      <w:r>
        <w:rPr>
          <w:rFonts w:hint="default" w:ascii="Times New Roman" w:hAnsi="Times New Roman" w:eastAsia="宋体" w:cs="Times New Roman"/>
          <w:color w:val="000000"/>
          <w:spacing w:val="10"/>
          <w:sz w:val="24"/>
          <w:szCs w:val="32"/>
          <w:lang w:val="en-US" w:eastAsia="zh-CN"/>
        </w:rPr>
        <w:t>——物质泄漏速率，kg/s。</w:t>
      </w:r>
    </w:p>
    <w:p w14:paraId="1F2B4A87">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2、热量蒸发</w:t>
      </w:r>
    </w:p>
    <w:p w14:paraId="672DCD57">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当液体闪蒸不完全，有一部分液体在地面形成液池，并吸收地面热量而汽化，其蒸发速率按下式计算，并应考虑对流传热系数。</w:t>
      </w:r>
    </w:p>
    <w:p w14:paraId="38FAF4EA">
      <w:pPr>
        <w:autoSpaceDE w:val="0"/>
        <w:autoSpaceDN w:val="0"/>
        <w:spacing w:line="360" w:lineRule="auto"/>
        <w:ind w:firstLine="390" w:firstLineChars="200"/>
        <w:jc w:val="center"/>
        <w:rPr>
          <w:rFonts w:hint="default" w:ascii="Times New Roman" w:hAnsi="Times New Roman" w:cs="Times New Roman"/>
          <w:color w:val="auto"/>
          <w:spacing w:val="-5"/>
          <w:sz w:val="24"/>
          <w:szCs w:val="24"/>
        </w:rPr>
      </w:pPr>
      <w:r>
        <w:rPr>
          <w:rFonts w:hint="default" w:ascii="Times New Roman" w:hAnsi="Times New Roman" w:eastAsia="宋体" w:cs="Times New Roman"/>
          <w:color w:val="auto"/>
          <w:sz w:val="21"/>
          <w:szCs w:val="21"/>
          <w:lang w:bidi="ar"/>
        </w:rPr>
        <w:drawing>
          <wp:inline distT="0" distB="0" distL="114300" distR="114300">
            <wp:extent cx="1800225" cy="590550"/>
            <wp:effectExtent l="0" t="0" r="9525" b="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pic:cNvPicPr>
                  </pic:nvPicPr>
                  <pic:blipFill>
                    <a:blip r:embed="rId28"/>
                    <a:stretch>
                      <a:fillRect/>
                    </a:stretch>
                  </pic:blipFill>
                  <pic:spPr>
                    <a:xfrm>
                      <a:off x="0" y="0"/>
                      <a:ext cx="1800225" cy="590550"/>
                    </a:xfrm>
                    <a:prstGeom prst="rect">
                      <a:avLst/>
                    </a:prstGeom>
                    <a:noFill/>
                    <a:ln>
                      <a:noFill/>
                    </a:ln>
                  </pic:spPr>
                </pic:pic>
              </a:graphicData>
            </a:graphic>
          </wp:inline>
        </w:drawing>
      </w:r>
    </w:p>
    <w:p w14:paraId="7CE0502C">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式中：Q</w:t>
      </w:r>
      <w:r>
        <w:rPr>
          <w:rFonts w:hint="default" w:ascii="Times New Roman" w:hAnsi="Times New Roman" w:eastAsia="宋体" w:cs="Times New Roman"/>
          <w:color w:val="000000"/>
          <w:spacing w:val="10"/>
          <w:sz w:val="24"/>
          <w:szCs w:val="32"/>
          <w:vertAlign w:val="subscript"/>
          <w:lang w:val="en-US" w:eastAsia="zh-CN"/>
        </w:rPr>
        <w:t>2</w:t>
      </w:r>
      <w:r>
        <w:rPr>
          <w:rFonts w:hint="default" w:ascii="Times New Roman" w:hAnsi="Times New Roman" w:eastAsia="宋体" w:cs="Times New Roman"/>
          <w:color w:val="000000"/>
          <w:spacing w:val="10"/>
          <w:sz w:val="24"/>
          <w:szCs w:val="32"/>
          <w:lang w:val="en-US" w:eastAsia="zh-CN"/>
        </w:rPr>
        <w:t>——热量蒸发速率，kg/s；</w:t>
      </w:r>
    </w:p>
    <w:p w14:paraId="37390D3A">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T</w:t>
      </w:r>
      <w:r>
        <w:rPr>
          <w:rFonts w:hint="default" w:ascii="Times New Roman" w:hAnsi="Times New Roman" w:eastAsia="宋体" w:cs="Times New Roman"/>
          <w:color w:val="000000"/>
          <w:spacing w:val="10"/>
          <w:sz w:val="24"/>
          <w:szCs w:val="32"/>
          <w:vertAlign w:val="subscript"/>
          <w:lang w:val="en-US" w:eastAsia="zh-CN"/>
        </w:rPr>
        <w:t>0</w:t>
      </w:r>
      <w:r>
        <w:rPr>
          <w:rFonts w:hint="default" w:ascii="Times New Roman" w:hAnsi="Times New Roman" w:eastAsia="宋体" w:cs="Times New Roman"/>
          <w:color w:val="000000"/>
          <w:spacing w:val="10"/>
          <w:sz w:val="24"/>
          <w:szCs w:val="32"/>
          <w:lang w:val="en-US" w:eastAsia="zh-CN"/>
        </w:rPr>
        <w:t>——环境温度，K；</w:t>
      </w:r>
    </w:p>
    <w:p w14:paraId="2DF5B4D7">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T</w:t>
      </w:r>
      <w:r>
        <w:rPr>
          <w:rFonts w:hint="default" w:ascii="Times New Roman" w:hAnsi="Times New Roman" w:eastAsia="宋体" w:cs="Times New Roman"/>
          <w:color w:val="000000"/>
          <w:spacing w:val="10"/>
          <w:sz w:val="24"/>
          <w:szCs w:val="32"/>
          <w:vertAlign w:val="subscript"/>
          <w:lang w:val="en-US" w:eastAsia="zh-CN"/>
        </w:rPr>
        <w:t>b</w:t>
      </w:r>
      <w:r>
        <w:rPr>
          <w:rFonts w:hint="default" w:ascii="Times New Roman" w:hAnsi="Times New Roman" w:eastAsia="宋体" w:cs="Times New Roman"/>
          <w:color w:val="000000"/>
          <w:spacing w:val="10"/>
          <w:sz w:val="24"/>
          <w:szCs w:val="32"/>
          <w:lang w:val="en-US" w:eastAsia="zh-CN"/>
        </w:rPr>
        <w:t>——泄漏液体沸点，K；</w:t>
      </w:r>
    </w:p>
    <w:p w14:paraId="4D693C35">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H——液体汽化热，J/kg；</w:t>
      </w:r>
    </w:p>
    <w:p w14:paraId="086D89DA">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t——蒸发时间，s；</w:t>
      </w:r>
    </w:p>
    <w:p w14:paraId="606C167F">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λ——表面热导系数</w:t>
      </w:r>
      <w:r>
        <w:rPr>
          <w:rFonts w:hint="eastAsia"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水泥地取值1.1</w:t>
      </w:r>
      <w:r>
        <w:rPr>
          <w:rFonts w:hint="eastAsia"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，w/ (m·K)；</w:t>
      </w:r>
    </w:p>
    <w:p w14:paraId="571C4375">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S——液池面积，m</w:t>
      </w:r>
      <w:r>
        <w:rPr>
          <w:rFonts w:hint="default" w:ascii="Times New Roman" w:hAnsi="Times New Roman" w:eastAsia="宋体" w:cs="Times New Roman"/>
          <w:color w:val="000000"/>
          <w:spacing w:val="10"/>
          <w:sz w:val="24"/>
          <w:szCs w:val="32"/>
          <w:vertAlign w:val="superscript"/>
          <w:lang w:val="en-US" w:eastAsia="zh-CN"/>
        </w:rPr>
        <w:t>2</w:t>
      </w:r>
      <w:r>
        <w:rPr>
          <w:rFonts w:hint="default" w:ascii="Times New Roman" w:hAnsi="Times New Roman" w:eastAsia="宋体" w:cs="Times New Roman"/>
          <w:color w:val="000000"/>
          <w:spacing w:val="10"/>
          <w:sz w:val="24"/>
          <w:szCs w:val="32"/>
          <w:lang w:val="en-US" w:eastAsia="zh-CN"/>
        </w:rPr>
        <w:t>；</w:t>
      </w:r>
    </w:p>
    <w:p w14:paraId="698DAF32">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α——表面热扩散系数</w:t>
      </w:r>
      <w:r>
        <w:rPr>
          <w:rFonts w:hint="eastAsia"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水泥地取值1.29×10</w:t>
      </w:r>
      <w:r>
        <w:rPr>
          <w:rFonts w:hint="default" w:ascii="Times New Roman" w:hAnsi="Times New Roman" w:eastAsia="宋体" w:cs="Times New Roman"/>
          <w:color w:val="000000"/>
          <w:spacing w:val="10"/>
          <w:sz w:val="24"/>
          <w:szCs w:val="32"/>
          <w:vertAlign w:val="superscript"/>
          <w:lang w:val="en-US" w:eastAsia="zh-CN"/>
        </w:rPr>
        <w:t>-7</w:t>
      </w:r>
      <w:r>
        <w:rPr>
          <w:rFonts w:hint="eastAsia" w:cs="Times New Roman"/>
          <w:color w:val="000000"/>
          <w:spacing w:val="10"/>
          <w:sz w:val="24"/>
          <w:szCs w:val="32"/>
          <w:vertAlign w:val="superscript"/>
          <w:lang w:val="en-US" w:eastAsia="zh-CN"/>
        </w:rPr>
        <w:t>）</w:t>
      </w:r>
      <w:r>
        <w:rPr>
          <w:rFonts w:hint="default" w:ascii="Times New Roman" w:hAnsi="Times New Roman" w:eastAsia="宋体" w:cs="Times New Roman"/>
          <w:color w:val="000000"/>
          <w:spacing w:val="10"/>
          <w:sz w:val="24"/>
          <w:szCs w:val="32"/>
          <w:lang w:val="en-US" w:eastAsia="zh-CN"/>
        </w:rPr>
        <w:t>，m</w:t>
      </w:r>
      <w:r>
        <w:rPr>
          <w:rFonts w:hint="default" w:ascii="Times New Roman" w:hAnsi="Times New Roman" w:eastAsia="宋体" w:cs="Times New Roman"/>
          <w:color w:val="000000"/>
          <w:spacing w:val="10"/>
          <w:sz w:val="24"/>
          <w:szCs w:val="32"/>
          <w:vertAlign w:val="superscript"/>
          <w:lang w:val="en-US" w:eastAsia="zh-CN"/>
        </w:rPr>
        <w:t>2</w:t>
      </w:r>
      <w:r>
        <w:rPr>
          <w:rFonts w:hint="default" w:ascii="Times New Roman" w:hAnsi="Times New Roman" w:eastAsia="宋体" w:cs="Times New Roman"/>
          <w:color w:val="000000"/>
          <w:spacing w:val="10"/>
          <w:sz w:val="24"/>
          <w:szCs w:val="32"/>
          <w:lang w:val="en-US" w:eastAsia="zh-CN"/>
        </w:rPr>
        <w:t>/s。</w:t>
      </w:r>
    </w:p>
    <w:p w14:paraId="02F47381">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3、质量蒸发</w:t>
      </w:r>
    </w:p>
    <w:p w14:paraId="6EAAACDB">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质量蒸发速度按下式计算：</w:t>
      </w:r>
    </w:p>
    <w:p w14:paraId="1BB62B22">
      <w:pPr>
        <w:autoSpaceDE w:val="0"/>
        <w:autoSpaceDN w:val="0"/>
        <w:spacing w:line="360" w:lineRule="auto"/>
        <w:jc w:val="center"/>
        <w:rPr>
          <w:rFonts w:hint="default" w:ascii="Times New Roman" w:hAnsi="Times New Roman" w:cs="Times New Roman"/>
          <w:color w:val="auto"/>
          <w:position w:val="2"/>
          <w:sz w:val="24"/>
          <w:szCs w:val="24"/>
        </w:rPr>
      </w:pPr>
      <w:r>
        <w:rPr>
          <w:rFonts w:hint="default" w:ascii="Times New Roman" w:hAnsi="Times New Roman" w:eastAsia="宋体" w:cs="Times New Roman"/>
          <w:color w:val="auto"/>
          <w:sz w:val="24"/>
          <w:szCs w:val="24"/>
          <w:lang w:bidi="ar"/>
        </w:rPr>
        <w:drawing>
          <wp:inline distT="0" distB="0" distL="114300" distR="114300">
            <wp:extent cx="2333625" cy="619125"/>
            <wp:effectExtent l="0" t="0" r="9525" b="9525"/>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29"/>
                    <a:stretch>
                      <a:fillRect/>
                    </a:stretch>
                  </pic:blipFill>
                  <pic:spPr>
                    <a:xfrm>
                      <a:off x="0" y="0"/>
                      <a:ext cx="2333625" cy="619125"/>
                    </a:xfrm>
                    <a:prstGeom prst="rect">
                      <a:avLst/>
                    </a:prstGeom>
                    <a:noFill/>
                    <a:ln>
                      <a:noFill/>
                    </a:ln>
                  </pic:spPr>
                </pic:pic>
              </a:graphicData>
            </a:graphic>
          </wp:inline>
        </w:drawing>
      </w:r>
    </w:p>
    <w:p w14:paraId="74CE68B1">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式中：Q</w:t>
      </w:r>
      <w:r>
        <w:rPr>
          <w:rFonts w:hint="default" w:ascii="Times New Roman" w:hAnsi="Times New Roman" w:eastAsia="宋体" w:cs="Times New Roman"/>
          <w:color w:val="000000"/>
          <w:spacing w:val="10"/>
          <w:sz w:val="24"/>
          <w:szCs w:val="32"/>
          <w:vertAlign w:val="subscript"/>
          <w:lang w:val="en-US" w:eastAsia="zh-CN"/>
        </w:rPr>
        <w:t>3</w:t>
      </w:r>
      <w:r>
        <w:rPr>
          <w:rFonts w:hint="default" w:ascii="Times New Roman" w:hAnsi="Times New Roman" w:eastAsia="宋体" w:cs="Times New Roman"/>
          <w:color w:val="000000"/>
          <w:spacing w:val="10"/>
          <w:sz w:val="24"/>
          <w:szCs w:val="32"/>
          <w:lang w:val="en-US" w:eastAsia="zh-CN"/>
        </w:rPr>
        <w:t>——质量蒸发速度，kg/s；</w:t>
      </w:r>
    </w:p>
    <w:p w14:paraId="102E3F37">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p——液体表面蒸气压，Pa；</w:t>
      </w:r>
    </w:p>
    <w:p w14:paraId="15BD54CA">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R——气体常数；J/mol·k ；</w:t>
      </w:r>
    </w:p>
    <w:p w14:paraId="73C81BD5">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T</w:t>
      </w:r>
      <w:r>
        <w:rPr>
          <w:rFonts w:hint="default" w:ascii="Times New Roman" w:hAnsi="Times New Roman" w:eastAsia="宋体" w:cs="Times New Roman"/>
          <w:color w:val="000000"/>
          <w:spacing w:val="10"/>
          <w:sz w:val="24"/>
          <w:szCs w:val="32"/>
          <w:vertAlign w:val="subscript"/>
          <w:lang w:val="en-US" w:eastAsia="zh-CN"/>
        </w:rPr>
        <w:t>0</w:t>
      </w:r>
      <w:r>
        <w:rPr>
          <w:rFonts w:hint="default" w:ascii="Times New Roman" w:hAnsi="Times New Roman" w:eastAsia="宋体" w:cs="Times New Roman"/>
          <w:color w:val="000000"/>
          <w:spacing w:val="10"/>
          <w:sz w:val="24"/>
          <w:szCs w:val="32"/>
          <w:lang w:val="en-US" w:eastAsia="zh-CN"/>
        </w:rPr>
        <w:t>——环境温度，k；</w:t>
      </w:r>
    </w:p>
    <w:p w14:paraId="0D1AE60A">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M——物质的摩尔质量，kg/mol；</w:t>
      </w:r>
    </w:p>
    <w:p w14:paraId="4AE7AB22">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u——风速，m/s；</w:t>
      </w:r>
    </w:p>
    <w:p w14:paraId="67D94123">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r——液池半径，m。</w:t>
      </w:r>
    </w:p>
    <w:p w14:paraId="04CB9C80">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α，n——大气稳定度系数；</w:t>
      </w:r>
    </w:p>
    <w:p w14:paraId="47880BDD">
      <w:pPr>
        <w:pStyle w:val="4"/>
        <w:numPr>
          <w:ilvl w:val="3"/>
          <w:numId w:val="10"/>
        </w:numPr>
        <w:tabs>
          <w:tab w:val="left" w:pos="1358"/>
          <w:tab w:val="left" w:pos="2153"/>
          <w:tab w:val="left" w:pos="2183"/>
        </w:tabs>
        <w:autoSpaceDE w:val="0"/>
        <w:autoSpaceDN w:val="0"/>
        <w:spacing w:before="13"/>
        <w:ind w:left="1358"/>
        <w:rPr>
          <w:rFonts w:hint="default" w:ascii="Times New Roman" w:hAnsi="Times New Roman" w:cs="Times New Roman"/>
          <w:color w:val="auto"/>
          <w:sz w:val="4"/>
          <w:szCs w:val="24"/>
        </w:rPr>
      </w:pPr>
      <w:bookmarkStart w:id="80" w:name="_Toc26543"/>
      <w:r>
        <w:rPr>
          <w:rFonts w:hint="default" w:ascii="Times New Roman" w:hAnsi="Times New Roman" w:eastAsia="宋体" w:cs="Times New Roman"/>
          <w:color w:val="auto"/>
        </w:rPr>
        <w:t>液池蒸发模式参数</w:t>
      </w:r>
      <w:bookmarkEnd w:id="80"/>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2998"/>
        <w:gridCol w:w="2995"/>
      </w:tblGrid>
      <w:tr w14:paraId="7408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0" w:type="dxa"/>
            <w:tcBorders>
              <w:top w:val="single" w:color="auto" w:sz="4" w:space="0"/>
              <w:left w:val="single" w:color="auto" w:sz="4" w:space="0"/>
              <w:bottom w:val="single" w:color="auto" w:sz="4" w:space="0"/>
              <w:right w:val="single" w:color="auto" w:sz="4" w:space="0"/>
            </w:tcBorders>
            <w:noWrap w:val="0"/>
            <w:vAlign w:val="center"/>
          </w:tcPr>
          <w:p w14:paraId="758C867F">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大气稳定度</w:t>
            </w:r>
          </w:p>
        </w:tc>
        <w:tc>
          <w:tcPr>
            <w:tcW w:w="2998" w:type="dxa"/>
            <w:tcBorders>
              <w:top w:val="single" w:color="auto" w:sz="4" w:space="0"/>
              <w:left w:val="single" w:color="auto" w:sz="4" w:space="0"/>
              <w:bottom w:val="single" w:color="auto" w:sz="4" w:space="0"/>
              <w:right w:val="single" w:color="auto" w:sz="4" w:space="0"/>
            </w:tcBorders>
            <w:noWrap w:val="0"/>
            <w:vAlign w:val="center"/>
          </w:tcPr>
          <w:p w14:paraId="77AA3687">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n</w:t>
            </w:r>
          </w:p>
        </w:tc>
        <w:tc>
          <w:tcPr>
            <w:tcW w:w="2995" w:type="dxa"/>
            <w:tcBorders>
              <w:top w:val="single" w:color="auto" w:sz="4" w:space="0"/>
              <w:left w:val="single" w:color="auto" w:sz="4" w:space="0"/>
              <w:bottom w:val="single" w:color="auto" w:sz="4" w:space="0"/>
              <w:right w:val="single" w:color="auto" w:sz="4" w:space="0"/>
            </w:tcBorders>
            <w:noWrap w:val="0"/>
            <w:vAlign w:val="center"/>
          </w:tcPr>
          <w:p w14:paraId="25B4B045">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α</w:t>
            </w:r>
          </w:p>
        </w:tc>
      </w:tr>
      <w:tr w14:paraId="0F7A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0" w:type="dxa"/>
            <w:tcBorders>
              <w:top w:val="single" w:color="auto" w:sz="4" w:space="0"/>
              <w:left w:val="single" w:color="auto" w:sz="4" w:space="0"/>
              <w:bottom w:val="single" w:color="auto" w:sz="4" w:space="0"/>
              <w:right w:val="single" w:color="auto" w:sz="4" w:space="0"/>
            </w:tcBorders>
            <w:noWrap w:val="0"/>
            <w:vAlign w:val="center"/>
          </w:tcPr>
          <w:p w14:paraId="7D0D6F1E">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不稳定（A，B）</w:t>
            </w:r>
          </w:p>
        </w:tc>
        <w:tc>
          <w:tcPr>
            <w:tcW w:w="2998" w:type="dxa"/>
            <w:tcBorders>
              <w:top w:val="single" w:color="auto" w:sz="4" w:space="0"/>
              <w:left w:val="single" w:color="auto" w:sz="4" w:space="0"/>
              <w:bottom w:val="single" w:color="auto" w:sz="4" w:space="0"/>
              <w:right w:val="single" w:color="auto" w:sz="4" w:space="0"/>
            </w:tcBorders>
            <w:noWrap w:val="0"/>
            <w:vAlign w:val="center"/>
          </w:tcPr>
          <w:p w14:paraId="696FE6F1">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0.2</w:t>
            </w:r>
          </w:p>
        </w:tc>
        <w:tc>
          <w:tcPr>
            <w:tcW w:w="2995" w:type="dxa"/>
            <w:tcBorders>
              <w:top w:val="single" w:color="auto" w:sz="4" w:space="0"/>
              <w:left w:val="single" w:color="auto" w:sz="4" w:space="0"/>
              <w:bottom w:val="single" w:color="auto" w:sz="4" w:space="0"/>
              <w:right w:val="single" w:color="auto" w:sz="4" w:space="0"/>
            </w:tcBorders>
            <w:noWrap w:val="0"/>
            <w:vAlign w:val="center"/>
          </w:tcPr>
          <w:p w14:paraId="248EF9EE">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3.846×10</w:t>
            </w:r>
            <w:r>
              <w:rPr>
                <w:rFonts w:hint="default" w:ascii="Times New Roman" w:hAnsi="Times New Roman" w:eastAsia="宋体" w:cs="Times New Roman"/>
                <w:color w:val="auto"/>
                <w:spacing w:val="10"/>
                <w:kern w:val="2"/>
                <w:sz w:val="21"/>
                <w:szCs w:val="21"/>
                <w:u w:val="none"/>
                <w:vertAlign w:val="superscript"/>
                <w:lang w:val="en-US" w:eastAsia="zh-CN" w:bidi="ar"/>
              </w:rPr>
              <w:t>-3</w:t>
            </w:r>
          </w:p>
        </w:tc>
      </w:tr>
      <w:tr w14:paraId="0BA4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0" w:type="dxa"/>
            <w:tcBorders>
              <w:top w:val="single" w:color="auto" w:sz="4" w:space="0"/>
              <w:left w:val="single" w:color="auto" w:sz="4" w:space="0"/>
              <w:bottom w:val="single" w:color="auto" w:sz="4" w:space="0"/>
              <w:right w:val="single" w:color="auto" w:sz="4" w:space="0"/>
            </w:tcBorders>
            <w:noWrap w:val="0"/>
            <w:vAlign w:val="center"/>
          </w:tcPr>
          <w:p w14:paraId="719937DB">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中性（D）</w:t>
            </w:r>
          </w:p>
        </w:tc>
        <w:tc>
          <w:tcPr>
            <w:tcW w:w="2998" w:type="dxa"/>
            <w:tcBorders>
              <w:top w:val="single" w:color="auto" w:sz="4" w:space="0"/>
              <w:left w:val="single" w:color="auto" w:sz="4" w:space="0"/>
              <w:bottom w:val="single" w:color="auto" w:sz="4" w:space="0"/>
              <w:right w:val="single" w:color="auto" w:sz="4" w:space="0"/>
            </w:tcBorders>
            <w:noWrap w:val="0"/>
            <w:vAlign w:val="center"/>
          </w:tcPr>
          <w:p w14:paraId="44DDD2A3">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0.25</w:t>
            </w:r>
          </w:p>
        </w:tc>
        <w:tc>
          <w:tcPr>
            <w:tcW w:w="2995" w:type="dxa"/>
            <w:tcBorders>
              <w:top w:val="single" w:color="auto" w:sz="4" w:space="0"/>
              <w:left w:val="single" w:color="auto" w:sz="4" w:space="0"/>
              <w:bottom w:val="single" w:color="auto" w:sz="4" w:space="0"/>
              <w:right w:val="single" w:color="auto" w:sz="4" w:space="0"/>
            </w:tcBorders>
            <w:noWrap w:val="0"/>
            <w:vAlign w:val="center"/>
          </w:tcPr>
          <w:p w14:paraId="1A42012A">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4.685×10</w:t>
            </w:r>
            <w:r>
              <w:rPr>
                <w:rFonts w:hint="default" w:ascii="Times New Roman" w:hAnsi="Times New Roman" w:eastAsia="宋体" w:cs="Times New Roman"/>
                <w:color w:val="auto"/>
                <w:spacing w:val="10"/>
                <w:kern w:val="2"/>
                <w:sz w:val="21"/>
                <w:szCs w:val="21"/>
                <w:u w:val="none"/>
                <w:vertAlign w:val="superscript"/>
                <w:lang w:val="en-US" w:eastAsia="zh-CN" w:bidi="ar"/>
              </w:rPr>
              <w:t>-3</w:t>
            </w:r>
          </w:p>
        </w:tc>
      </w:tr>
      <w:tr w14:paraId="5962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0" w:type="dxa"/>
            <w:tcBorders>
              <w:top w:val="single" w:color="auto" w:sz="4" w:space="0"/>
              <w:left w:val="single" w:color="auto" w:sz="4" w:space="0"/>
              <w:bottom w:val="single" w:color="auto" w:sz="4" w:space="0"/>
              <w:right w:val="single" w:color="auto" w:sz="4" w:space="0"/>
            </w:tcBorders>
            <w:noWrap w:val="0"/>
            <w:vAlign w:val="center"/>
          </w:tcPr>
          <w:p w14:paraId="13435235">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稳定（E，F）</w:t>
            </w:r>
          </w:p>
        </w:tc>
        <w:tc>
          <w:tcPr>
            <w:tcW w:w="2998" w:type="dxa"/>
            <w:tcBorders>
              <w:top w:val="single" w:color="auto" w:sz="4" w:space="0"/>
              <w:left w:val="single" w:color="auto" w:sz="4" w:space="0"/>
              <w:bottom w:val="single" w:color="auto" w:sz="4" w:space="0"/>
              <w:right w:val="single" w:color="auto" w:sz="4" w:space="0"/>
            </w:tcBorders>
            <w:noWrap w:val="0"/>
            <w:vAlign w:val="center"/>
          </w:tcPr>
          <w:p w14:paraId="758F3723">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0.3</w:t>
            </w:r>
          </w:p>
        </w:tc>
        <w:tc>
          <w:tcPr>
            <w:tcW w:w="2995" w:type="dxa"/>
            <w:tcBorders>
              <w:top w:val="single" w:color="auto" w:sz="4" w:space="0"/>
              <w:left w:val="single" w:color="auto" w:sz="4" w:space="0"/>
              <w:bottom w:val="single" w:color="auto" w:sz="4" w:space="0"/>
              <w:right w:val="single" w:color="auto" w:sz="4" w:space="0"/>
            </w:tcBorders>
            <w:noWrap w:val="0"/>
            <w:vAlign w:val="center"/>
          </w:tcPr>
          <w:p w14:paraId="61811219">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5.285×10</w:t>
            </w:r>
            <w:r>
              <w:rPr>
                <w:rFonts w:hint="default" w:ascii="Times New Roman" w:hAnsi="Times New Roman" w:eastAsia="宋体" w:cs="Times New Roman"/>
                <w:color w:val="auto"/>
                <w:spacing w:val="10"/>
                <w:kern w:val="2"/>
                <w:sz w:val="21"/>
                <w:szCs w:val="21"/>
                <w:u w:val="none"/>
                <w:vertAlign w:val="superscript"/>
                <w:lang w:val="en-US" w:eastAsia="zh-CN" w:bidi="ar"/>
              </w:rPr>
              <w:t>-3</w:t>
            </w:r>
          </w:p>
        </w:tc>
      </w:tr>
    </w:tbl>
    <w:p w14:paraId="778DAFF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液池最大直径取决于泄漏点附近的地域构型、泄漏的连续性或瞬时性。有围堰时，以围堰最大等效半径为液池半径；无围堰时，设定液体瞬间扩散到最小厚度时，推算液池等效半径。</w:t>
      </w:r>
    </w:p>
    <w:p w14:paraId="1AA27D74">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4、液体蒸发总量</w:t>
      </w:r>
    </w:p>
    <w:p w14:paraId="2A4F553C">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液体蒸发总量按下式计算：</w:t>
      </w:r>
    </w:p>
    <w:p w14:paraId="17E332AC">
      <w:pPr>
        <w:pStyle w:val="17"/>
        <w:widowControl w:val="0"/>
        <w:spacing w:before="0" w:beforeAutospacing="0" w:after="0" w:afterAutospacing="0" w:line="360" w:lineRule="auto"/>
        <w:ind w:firstLine="450" w:firstLineChars="200"/>
        <w:jc w:val="center"/>
        <w:rPr>
          <w:rFonts w:hint="default" w:ascii="Times New Roman" w:hAnsi="Times New Roman" w:cs="Times New Roman"/>
          <w:color w:val="auto"/>
          <w:spacing w:val="-4"/>
        </w:rPr>
      </w:pPr>
      <w:r>
        <w:rPr>
          <w:rFonts w:hint="default" w:ascii="Times New Roman" w:hAnsi="Times New Roman" w:cs="Times New Roman"/>
          <w:color w:val="auto"/>
          <w:kern w:val="2"/>
          <w:szCs w:val="20"/>
          <w:lang w:bidi="ar"/>
        </w:rPr>
        <w:drawing>
          <wp:inline distT="0" distB="0" distL="114300" distR="114300">
            <wp:extent cx="2000250" cy="381000"/>
            <wp:effectExtent l="0" t="0" r="0" b="0"/>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pic:cNvPicPr>
                      <a:picLocks noChangeAspect="1"/>
                    </pic:cNvPicPr>
                  </pic:nvPicPr>
                  <pic:blipFill>
                    <a:blip r:embed="rId30"/>
                    <a:stretch>
                      <a:fillRect/>
                    </a:stretch>
                  </pic:blipFill>
                  <pic:spPr>
                    <a:xfrm>
                      <a:off x="0" y="0"/>
                      <a:ext cx="2000250" cy="381000"/>
                    </a:xfrm>
                    <a:prstGeom prst="rect">
                      <a:avLst/>
                    </a:prstGeom>
                    <a:noFill/>
                    <a:ln>
                      <a:noFill/>
                    </a:ln>
                  </pic:spPr>
                </pic:pic>
              </a:graphicData>
            </a:graphic>
          </wp:inline>
        </w:drawing>
      </w:r>
    </w:p>
    <w:p w14:paraId="3F7F9716">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式中：W</w:t>
      </w:r>
      <w:r>
        <w:rPr>
          <w:rFonts w:hint="default" w:ascii="Times New Roman" w:hAnsi="Times New Roman" w:eastAsia="宋体" w:cs="Times New Roman"/>
          <w:color w:val="000000"/>
          <w:spacing w:val="10"/>
          <w:sz w:val="24"/>
          <w:szCs w:val="32"/>
          <w:vertAlign w:val="subscript"/>
          <w:lang w:val="en-US" w:eastAsia="zh-CN"/>
        </w:rPr>
        <w:t>p</w:t>
      </w:r>
      <w:r>
        <w:rPr>
          <w:rFonts w:hint="default" w:ascii="Times New Roman" w:hAnsi="Times New Roman" w:eastAsia="宋体" w:cs="Times New Roman"/>
          <w:color w:val="000000"/>
          <w:spacing w:val="10"/>
          <w:sz w:val="24"/>
          <w:szCs w:val="32"/>
          <w:lang w:val="en-US" w:eastAsia="zh-CN"/>
        </w:rPr>
        <w:t>——液体蒸发总量，kg；</w:t>
      </w:r>
    </w:p>
    <w:p w14:paraId="5F0A12C7">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Q</w:t>
      </w:r>
      <w:r>
        <w:rPr>
          <w:rFonts w:hint="default" w:ascii="Times New Roman" w:hAnsi="Times New Roman" w:eastAsia="宋体" w:cs="Times New Roman"/>
          <w:color w:val="000000"/>
          <w:spacing w:val="10"/>
          <w:sz w:val="24"/>
          <w:szCs w:val="32"/>
          <w:vertAlign w:val="subscript"/>
          <w:lang w:val="en-US" w:eastAsia="zh-CN"/>
        </w:rPr>
        <w:t>1</w:t>
      </w:r>
      <w:r>
        <w:rPr>
          <w:rFonts w:hint="default" w:ascii="Times New Roman" w:hAnsi="Times New Roman" w:eastAsia="宋体" w:cs="Times New Roman"/>
          <w:color w:val="000000"/>
          <w:spacing w:val="10"/>
          <w:sz w:val="24"/>
          <w:szCs w:val="32"/>
          <w:lang w:val="en-US" w:eastAsia="zh-CN"/>
        </w:rPr>
        <w:t>——闪蒸液体蒸发速率，kg/s；</w:t>
      </w:r>
    </w:p>
    <w:p w14:paraId="41BAE7C6">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Q</w:t>
      </w:r>
      <w:r>
        <w:rPr>
          <w:rFonts w:hint="default" w:ascii="Times New Roman" w:hAnsi="Times New Roman" w:eastAsia="宋体" w:cs="Times New Roman"/>
          <w:color w:val="000000"/>
          <w:spacing w:val="10"/>
          <w:sz w:val="24"/>
          <w:szCs w:val="32"/>
          <w:vertAlign w:val="subscript"/>
          <w:lang w:val="en-US" w:eastAsia="zh-CN"/>
        </w:rPr>
        <w:t>2</w:t>
      </w:r>
      <w:r>
        <w:rPr>
          <w:rFonts w:hint="default" w:ascii="Times New Roman" w:hAnsi="Times New Roman" w:eastAsia="宋体" w:cs="Times New Roman"/>
          <w:color w:val="000000"/>
          <w:spacing w:val="10"/>
          <w:sz w:val="24"/>
          <w:szCs w:val="32"/>
          <w:lang w:val="en-US" w:eastAsia="zh-CN"/>
        </w:rPr>
        <w:t>——热量蒸发速率，kg/s；</w:t>
      </w:r>
    </w:p>
    <w:p w14:paraId="715A7B87">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Q</w:t>
      </w:r>
      <w:r>
        <w:rPr>
          <w:rFonts w:hint="default" w:ascii="Times New Roman" w:hAnsi="Times New Roman" w:eastAsia="宋体" w:cs="Times New Roman"/>
          <w:color w:val="000000"/>
          <w:spacing w:val="10"/>
          <w:sz w:val="24"/>
          <w:szCs w:val="32"/>
          <w:vertAlign w:val="subscript"/>
          <w:lang w:val="en-US" w:eastAsia="zh-CN"/>
        </w:rPr>
        <w:t>3</w:t>
      </w:r>
      <w:r>
        <w:rPr>
          <w:rFonts w:hint="default" w:ascii="Times New Roman" w:hAnsi="Times New Roman" w:eastAsia="宋体" w:cs="Times New Roman"/>
          <w:color w:val="000000"/>
          <w:spacing w:val="10"/>
          <w:sz w:val="24"/>
          <w:szCs w:val="32"/>
          <w:lang w:val="en-US" w:eastAsia="zh-CN"/>
        </w:rPr>
        <w:t>——质量蒸发速率，kg/s；</w:t>
      </w:r>
    </w:p>
    <w:p w14:paraId="65319FB3">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T</w:t>
      </w:r>
      <w:r>
        <w:rPr>
          <w:rFonts w:hint="default" w:ascii="Times New Roman" w:hAnsi="Times New Roman" w:eastAsia="宋体" w:cs="Times New Roman"/>
          <w:color w:val="000000"/>
          <w:spacing w:val="10"/>
          <w:sz w:val="24"/>
          <w:szCs w:val="32"/>
          <w:vertAlign w:val="subscript"/>
          <w:lang w:val="en-US" w:eastAsia="zh-CN"/>
        </w:rPr>
        <w:t>1</w:t>
      </w:r>
      <w:r>
        <w:rPr>
          <w:rFonts w:hint="default" w:ascii="Times New Roman" w:hAnsi="Times New Roman" w:eastAsia="宋体" w:cs="Times New Roman"/>
          <w:color w:val="000000"/>
          <w:spacing w:val="10"/>
          <w:sz w:val="24"/>
          <w:szCs w:val="32"/>
          <w:lang w:val="en-US" w:eastAsia="zh-CN"/>
        </w:rPr>
        <w:t>——闪蒸蒸发时间，s；</w:t>
      </w:r>
    </w:p>
    <w:p w14:paraId="5AA64925">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T</w:t>
      </w:r>
      <w:r>
        <w:rPr>
          <w:rFonts w:hint="default" w:ascii="Times New Roman" w:hAnsi="Times New Roman" w:eastAsia="宋体" w:cs="Times New Roman"/>
          <w:color w:val="000000"/>
          <w:spacing w:val="10"/>
          <w:sz w:val="24"/>
          <w:szCs w:val="32"/>
          <w:vertAlign w:val="subscript"/>
          <w:lang w:val="en-US" w:eastAsia="zh-CN"/>
        </w:rPr>
        <w:t>2</w:t>
      </w:r>
      <w:r>
        <w:rPr>
          <w:rFonts w:hint="default" w:ascii="Times New Roman" w:hAnsi="Times New Roman" w:eastAsia="宋体" w:cs="Times New Roman"/>
          <w:color w:val="000000"/>
          <w:spacing w:val="10"/>
          <w:sz w:val="24"/>
          <w:szCs w:val="32"/>
          <w:lang w:val="en-US" w:eastAsia="zh-CN"/>
        </w:rPr>
        <w:t>——热量蒸发时间，s；</w:t>
      </w:r>
    </w:p>
    <w:p w14:paraId="0E4D56A2">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T</w:t>
      </w:r>
      <w:r>
        <w:rPr>
          <w:rFonts w:hint="default" w:ascii="Times New Roman" w:hAnsi="Times New Roman" w:eastAsia="宋体" w:cs="Times New Roman"/>
          <w:color w:val="000000"/>
          <w:spacing w:val="10"/>
          <w:sz w:val="24"/>
          <w:szCs w:val="32"/>
          <w:vertAlign w:val="subscript"/>
          <w:lang w:val="en-US" w:eastAsia="zh-CN"/>
        </w:rPr>
        <w:t>3</w:t>
      </w:r>
      <w:r>
        <w:rPr>
          <w:rFonts w:hint="default" w:ascii="Times New Roman" w:hAnsi="Times New Roman" w:eastAsia="宋体" w:cs="Times New Roman"/>
          <w:color w:val="000000"/>
          <w:spacing w:val="10"/>
          <w:sz w:val="24"/>
          <w:szCs w:val="32"/>
          <w:lang w:val="en-US" w:eastAsia="zh-CN"/>
        </w:rPr>
        <w:t>——从液体泄漏到全部清理完毕的时间，s。</w:t>
      </w:r>
    </w:p>
    <w:p w14:paraId="724E3CA2">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根据前文，项目大气风险评价等级为</w:t>
      </w:r>
      <w:r>
        <w:rPr>
          <w:rFonts w:hint="eastAsia" w:ascii="Times New Roman" w:hAnsi="Times New Roman" w:eastAsia="宋体" w:cs="Times New Roman"/>
          <w:color w:val="000000"/>
          <w:spacing w:val="10"/>
          <w:sz w:val="24"/>
          <w:szCs w:val="32"/>
          <w:lang w:val="en-US" w:eastAsia="zh-CN"/>
        </w:rPr>
        <w:t>二</w:t>
      </w:r>
      <w:r>
        <w:rPr>
          <w:rFonts w:hint="default" w:ascii="Times New Roman" w:hAnsi="Times New Roman" w:eastAsia="宋体" w:cs="Times New Roman"/>
          <w:color w:val="000000"/>
          <w:spacing w:val="10"/>
          <w:sz w:val="24"/>
          <w:szCs w:val="32"/>
          <w:lang w:val="en-US" w:eastAsia="zh-CN"/>
        </w:rPr>
        <w:t>级，根据</w:t>
      </w:r>
      <w:r>
        <w:rPr>
          <w:rFonts w:hint="eastAsia" w:ascii="Times New Roman" w:hAnsi="Times New Roman" w:eastAsia="宋体" w:cs="Times New Roman"/>
          <w:color w:val="000000"/>
          <w:spacing w:val="10"/>
          <w:sz w:val="24"/>
          <w:szCs w:val="32"/>
          <w:lang w:val="en-US" w:eastAsia="zh-CN"/>
        </w:rPr>
        <w:t>HJ 169-2018</w:t>
      </w:r>
      <w:r>
        <w:rPr>
          <w:rFonts w:hint="default" w:ascii="Times New Roman" w:hAnsi="Times New Roman" w:eastAsia="宋体" w:cs="Times New Roman"/>
          <w:color w:val="000000"/>
          <w:spacing w:val="10"/>
          <w:sz w:val="24"/>
          <w:szCs w:val="32"/>
          <w:lang w:val="en-US" w:eastAsia="zh-CN"/>
        </w:rPr>
        <w:t>，</w:t>
      </w:r>
      <w:r>
        <w:rPr>
          <w:rFonts w:hint="eastAsia" w:ascii="Times New Roman" w:hAnsi="Times New Roman" w:eastAsia="宋体" w:cs="Times New Roman"/>
          <w:color w:val="000000"/>
          <w:spacing w:val="10"/>
          <w:sz w:val="24"/>
          <w:szCs w:val="32"/>
          <w:lang w:val="en-US" w:eastAsia="zh-CN"/>
        </w:rPr>
        <w:t>二</w:t>
      </w:r>
      <w:r>
        <w:rPr>
          <w:rFonts w:hint="default" w:ascii="Times New Roman" w:hAnsi="Times New Roman" w:eastAsia="宋体" w:cs="Times New Roman"/>
          <w:color w:val="000000"/>
          <w:spacing w:val="10"/>
          <w:sz w:val="24"/>
          <w:szCs w:val="32"/>
          <w:lang w:val="en-US" w:eastAsia="zh-CN"/>
        </w:rPr>
        <w:t>级评价需选取最不利气象条件进行后果预测。最不利气象条件取F类稳定度，1.5m/s风速，温度25℃，相对湿度50%。</w:t>
      </w:r>
    </w:p>
    <w:p w14:paraId="0DF4DA5F">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eastAsia" w:ascii="Times New Roman" w:hAnsi="Times New Roman" w:eastAsia="宋体" w:cs="Times New Roman"/>
          <w:b/>
          <w:bCs/>
          <w:color w:val="000000"/>
          <w:kern w:val="0"/>
          <w:sz w:val="24"/>
          <w:szCs w:val="24"/>
          <w:lang w:val="en-US" w:eastAsia="zh-CN"/>
        </w:rPr>
        <w:t>磷酸</w:t>
      </w:r>
      <w:r>
        <w:rPr>
          <w:rFonts w:hint="default" w:ascii="Times New Roman" w:hAnsi="Times New Roman" w:eastAsia="宋体" w:cs="Times New Roman"/>
          <w:b/>
          <w:bCs/>
          <w:color w:val="000000"/>
          <w:kern w:val="0"/>
          <w:sz w:val="24"/>
          <w:szCs w:val="24"/>
          <w:lang w:val="en-US" w:eastAsia="zh-CN"/>
        </w:rPr>
        <w:t>泄漏源强</w:t>
      </w:r>
    </w:p>
    <w:p w14:paraId="1B9FBA93">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磷酸主要储存在</w:t>
      </w:r>
      <w:r>
        <w:rPr>
          <w:rFonts w:hint="eastAsia" w:ascii="Times New Roman" w:hAnsi="Times New Roman" w:eastAsia="宋体" w:cs="Times New Roman"/>
          <w:color w:val="000000"/>
          <w:spacing w:val="10"/>
          <w:sz w:val="24"/>
          <w:szCs w:val="32"/>
          <w:lang w:val="en-US" w:eastAsia="zh-CN"/>
        </w:rPr>
        <w:t>5号</w:t>
      </w:r>
      <w:r>
        <w:rPr>
          <w:rFonts w:hint="default" w:ascii="Times New Roman" w:hAnsi="Times New Roman" w:eastAsia="宋体" w:cs="Times New Roman"/>
          <w:color w:val="000000"/>
          <w:spacing w:val="10"/>
          <w:sz w:val="24"/>
          <w:szCs w:val="32"/>
          <w:lang w:val="en-US" w:eastAsia="zh-CN"/>
        </w:rPr>
        <w:t>仓库的20L磷酸桶，泄漏按泄漏孔径为10mm孔径泄漏考虑，泄漏时间10min。</w:t>
      </w:r>
    </w:p>
    <w:p w14:paraId="7E81C45C">
      <w:pPr>
        <w:pStyle w:val="4"/>
        <w:numPr>
          <w:ilvl w:val="3"/>
          <w:numId w:val="10"/>
        </w:numPr>
        <w:tabs>
          <w:tab w:val="left" w:pos="1358"/>
          <w:tab w:val="left" w:pos="2153"/>
          <w:tab w:val="left" w:pos="2183"/>
        </w:tabs>
        <w:ind w:left="1358"/>
        <w:rPr>
          <w:rFonts w:hint="default" w:ascii="Times New Roman" w:hAnsi="Times New Roman" w:cs="Times New Roman"/>
          <w:color w:val="auto"/>
        </w:rPr>
      </w:pPr>
      <w:r>
        <w:rPr>
          <w:rFonts w:hint="default" w:ascii="Times New Roman" w:hAnsi="Times New Roman" w:cs="Times New Roman"/>
          <w:color w:val="auto"/>
        </w:rPr>
        <w:t xml:space="preserve"> </w:t>
      </w:r>
      <w:r>
        <w:rPr>
          <w:rFonts w:hint="default" w:ascii="Times New Roman" w:hAnsi="Times New Roman" w:eastAsia="宋体" w:cs="Times New Roman"/>
          <w:color w:val="auto"/>
          <w:lang w:val="en-US" w:eastAsia="zh-CN"/>
        </w:rPr>
        <w:t>磷酸</w:t>
      </w:r>
      <w:r>
        <w:rPr>
          <w:rFonts w:hint="default" w:ascii="Times New Roman" w:hAnsi="Times New Roman" w:eastAsia="宋体" w:cs="Times New Roman"/>
          <w:color w:val="auto"/>
        </w:rPr>
        <w:t>泄漏量计算参数表</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92"/>
        <w:gridCol w:w="5396"/>
      </w:tblGrid>
      <w:tr w14:paraId="5479B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022693B2">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计算参数</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6768DDA9">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20L磷酸桶（磷酸）</w:t>
            </w:r>
          </w:p>
        </w:tc>
      </w:tr>
      <w:tr w14:paraId="704C7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2952B8E0">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假设裂口面积</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1374C117">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0.785cm</w:t>
            </w:r>
            <w:r>
              <w:rPr>
                <w:rFonts w:hint="default" w:ascii="Times New Roman" w:hAnsi="Times New Roman" w:eastAsia="宋体" w:cs="Times New Roman"/>
                <w:color w:val="auto"/>
                <w:spacing w:val="10"/>
                <w:kern w:val="2"/>
                <w:sz w:val="21"/>
                <w:szCs w:val="21"/>
                <w:u w:val="none"/>
                <w:vertAlign w:val="superscript"/>
                <w:lang w:val="en-US" w:eastAsia="zh-CN" w:bidi="ar"/>
              </w:rPr>
              <w:t>2</w:t>
            </w:r>
            <w:r>
              <w:rPr>
                <w:rFonts w:hint="default" w:ascii="Times New Roman" w:hAnsi="Times New Roman" w:eastAsia="宋体" w:cs="Times New Roman"/>
                <w:color w:val="auto"/>
                <w:spacing w:val="10"/>
                <w:kern w:val="2"/>
                <w:sz w:val="21"/>
                <w:szCs w:val="21"/>
                <w:u w:val="none"/>
                <w:lang w:val="en-US" w:eastAsia="zh-CN" w:bidi="ar"/>
              </w:rPr>
              <w:t>（直径为1cm）</w:t>
            </w:r>
          </w:p>
        </w:tc>
      </w:tr>
      <w:tr w14:paraId="63173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2E1A822A">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地面情况</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165BC6ED">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水泥</w:t>
            </w:r>
          </w:p>
        </w:tc>
      </w:tr>
      <w:tr w14:paraId="30A0A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77506D33">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容器内压力P</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35ADB662">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101.08kPa</w:t>
            </w:r>
          </w:p>
        </w:tc>
      </w:tr>
      <w:tr w14:paraId="46CB8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067509AE">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容器内温度</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10CBBECC">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20℃</w:t>
            </w:r>
          </w:p>
        </w:tc>
      </w:tr>
      <w:tr w14:paraId="0E3FF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7209C683">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液池面积m</w:t>
            </w:r>
            <w:r>
              <w:rPr>
                <w:rFonts w:hint="default" w:ascii="Times New Roman" w:hAnsi="Times New Roman" w:eastAsia="宋体" w:cs="Times New Roman"/>
                <w:color w:val="auto"/>
                <w:spacing w:val="10"/>
                <w:kern w:val="2"/>
                <w:sz w:val="21"/>
                <w:szCs w:val="21"/>
                <w:u w:val="none"/>
                <w:vertAlign w:val="superscript"/>
                <w:lang w:val="en-US" w:eastAsia="zh-CN" w:bidi="ar"/>
              </w:rPr>
              <w:t>2</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1A1588BE">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2</w:t>
            </w:r>
            <w:r>
              <w:rPr>
                <w:rFonts w:hint="default" w:ascii="Times New Roman" w:hAnsi="Times New Roman" w:eastAsia="宋体" w:cs="Times New Roman"/>
                <w:color w:val="auto"/>
                <w:spacing w:val="10"/>
                <w:kern w:val="2"/>
                <w:sz w:val="21"/>
                <w:szCs w:val="21"/>
                <w:u w:val="none"/>
                <w:lang w:val="en-US" w:eastAsia="zh-CN" w:bidi="ar"/>
              </w:rPr>
              <w:t>5</w:t>
            </w:r>
          </w:p>
        </w:tc>
      </w:tr>
      <w:tr w14:paraId="464AD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54BAA466">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液池温度</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77ADFD94">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22.33℃</w:t>
            </w:r>
          </w:p>
        </w:tc>
      </w:tr>
      <w:tr w14:paraId="32256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7C627477">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容器裂口之上液位高度</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5287B547">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0.4m</w:t>
            </w:r>
          </w:p>
        </w:tc>
      </w:tr>
      <w:tr w14:paraId="7B304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vMerge w:val="restart"/>
            <w:tcBorders>
              <w:top w:val="single" w:color="000000" w:sz="4" w:space="0"/>
              <w:left w:val="single" w:color="000000" w:sz="4" w:space="0"/>
              <w:bottom w:val="single" w:color="000000" w:sz="4" w:space="0"/>
              <w:right w:val="single" w:color="000000" w:sz="4" w:space="0"/>
            </w:tcBorders>
            <w:noWrap w:val="0"/>
            <w:vAlign w:val="center"/>
          </w:tcPr>
          <w:p w14:paraId="02BC0309">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液体泄漏速度（kg/s）</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0853FD15">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大气稳定度F</w:t>
            </w:r>
          </w:p>
        </w:tc>
      </w:tr>
      <w:tr w14:paraId="42DC5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DBAFA8">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3790DE78">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0.1419</w:t>
            </w:r>
          </w:p>
        </w:tc>
      </w:tr>
      <w:tr w14:paraId="00630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vMerge w:val="restart"/>
            <w:tcBorders>
              <w:top w:val="single" w:color="000000" w:sz="4" w:space="0"/>
              <w:left w:val="single" w:color="000000" w:sz="4" w:space="0"/>
              <w:bottom w:val="single" w:color="000000" w:sz="4" w:space="0"/>
              <w:right w:val="single" w:color="000000" w:sz="4" w:space="0"/>
            </w:tcBorders>
            <w:noWrap w:val="0"/>
            <w:vAlign w:val="center"/>
          </w:tcPr>
          <w:p w14:paraId="0CE23806">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蒸发速率Q（kg/s）</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4BD05F45">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大气稳定度F</w:t>
            </w:r>
          </w:p>
        </w:tc>
      </w:tr>
      <w:tr w14:paraId="5A33B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22E9C0">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5604A15D">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w:t>
            </w:r>
          </w:p>
        </w:tc>
      </w:tr>
    </w:tbl>
    <w:p w14:paraId="680B55B8">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eastAsia" w:ascii="Times New Roman" w:hAnsi="Times New Roman" w:eastAsia="宋体" w:cs="Times New Roman"/>
          <w:b/>
          <w:bCs/>
          <w:color w:val="000000"/>
          <w:kern w:val="0"/>
          <w:sz w:val="24"/>
          <w:szCs w:val="24"/>
          <w:lang w:val="en-US" w:eastAsia="zh-CN"/>
        </w:rPr>
        <w:t>盐酸</w:t>
      </w:r>
      <w:r>
        <w:rPr>
          <w:rFonts w:hint="default" w:ascii="Times New Roman" w:hAnsi="Times New Roman" w:eastAsia="宋体" w:cs="Times New Roman"/>
          <w:b/>
          <w:bCs/>
          <w:color w:val="000000"/>
          <w:kern w:val="0"/>
          <w:sz w:val="24"/>
          <w:szCs w:val="24"/>
          <w:lang w:val="en-US" w:eastAsia="zh-CN"/>
        </w:rPr>
        <w:t>泄漏源强</w:t>
      </w:r>
    </w:p>
    <w:p w14:paraId="4EACFFC3">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eastAsia" w:ascii="Times New Roman" w:hAnsi="Times New Roman" w:eastAsia="宋体" w:cs="Times New Roman"/>
          <w:color w:val="000000"/>
          <w:spacing w:val="10"/>
          <w:sz w:val="24"/>
          <w:szCs w:val="32"/>
          <w:lang w:val="en-US" w:eastAsia="zh-CN"/>
        </w:rPr>
        <w:t>盐酸</w:t>
      </w:r>
      <w:r>
        <w:rPr>
          <w:rFonts w:hint="default" w:ascii="Times New Roman" w:hAnsi="Times New Roman" w:eastAsia="宋体" w:cs="Times New Roman"/>
          <w:color w:val="000000"/>
          <w:spacing w:val="10"/>
          <w:sz w:val="24"/>
          <w:szCs w:val="32"/>
          <w:lang w:val="en-US" w:eastAsia="zh-CN"/>
        </w:rPr>
        <w:t>主要储存在</w:t>
      </w:r>
      <w:r>
        <w:rPr>
          <w:rFonts w:hint="eastAsia" w:ascii="Times New Roman" w:hAnsi="Times New Roman" w:eastAsia="宋体" w:cs="Times New Roman"/>
          <w:color w:val="000000"/>
          <w:spacing w:val="10"/>
          <w:sz w:val="24"/>
          <w:szCs w:val="32"/>
          <w:lang w:val="en-US" w:eastAsia="zh-CN"/>
        </w:rPr>
        <w:t>5号</w:t>
      </w:r>
      <w:r>
        <w:rPr>
          <w:rFonts w:hint="default" w:ascii="Times New Roman" w:hAnsi="Times New Roman" w:eastAsia="宋体" w:cs="Times New Roman"/>
          <w:color w:val="000000"/>
          <w:spacing w:val="10"/>
          <w:sz w:val="24"/>
          <w:szCs w:val="32"/>
          <w:lang w:val="en-US" w:eastAsia="zh-CN"/>
        </w:rPr>
        <w:t>仓库的20L</w:t>
      </w:r>
      <w:r>
        <w:rPr>
          <w:rFonts w:hint="eastAsia" w:ascii="Times New Roman" w:hAnsi="Times New Roman" w:eastAsia="宋体" w:cs="Times New Roman"/>
          <w:color w:val="000000"/>
          <w:spacing w:val="10"/>
          <w:sz w:val="24"/>
          <w:szCs w:val="32"/>
          <w:lang w:val="en-US" w:eastAsia="zh-CN"/>
        </w:rPr>
        <w:t>盐酸</w:t>
      </w:r>
      <w:r>
        <w:rPr>
          <w:rFonts w:hint="default" w:ascii="Times New Roman" w:hAnsi="Times New Roman" w:eastAsia="宋体" w:cs="Times New Roman"/>
          <w:color w:val="000000"/>
          <w:spacing w:val="10"/>
          <w:sz w:val="24"/>
          <w:szCs w:val="32"/>
          <w:lang w:val="en-US" w:eastAsia="zh-CN"/>
        </w:rPr>
        <w:t>桶，泄漏按泄漏孔径为10mm孔径泄漏考虑，泄漏时间10min。</w:t>
      </w:r>
    </w:p>
    <w:p w14:paraId="04FB3D88">
      <w:pPr>
        <w:pStyle w:val="4"/>
        <w:numPr>
          <w:ilvl w:val="3"/>
          <w:numId w:val="10"/>
        </w:numPr>
        <w:tabs>
          <w:tab w:val="left" w:pos="1358"/>
          <w:tab w:val="left" w:pos="2153"/>
          <w:tab w:val="left" w:pos="2183"/>
        </w:tabs>
        <w:ind w:left="1358"/>
        <w:rPr>
          <w:rFonts w:hint="default" w:ascii="Times New Roman" w:hAnsi="Times New Roman" w:cs="Times New Roman"/>
          <w:color w:val="auto"/>
        </w:rPr>
      </w:pPr>
      <w:r>
        <w:rPr>
          <w:rFonts w:hint="default" w:ascii="Times New Roman" w:hAnsi="Times New Roman" w:cs="Times New Roman"/>
          <w:color w:val="auto"/>
        </w:rPr>
        <w:t xml:space="preserve"> </w:t>
      </w:r>
      <w:r>
        <w:rPr>
          <w:rFonts w:hint="eastAsia" w:ascii="Times New Roman" w:hAnsi="Times New Roman" w:eastAsia="宋体" w:cs="Times New Roman"/>
          <w:color w:val="auto"/>
          <w:lang w:val="en-US" w:eastAsia="zh-CN"/>
        </w:rPr>
        <w:t>盐酸</w:t>
      </w:r>
      <w:r>
        <w:rPr>
          <w:rFonts w:hint="default" w:ascii="Times New Roman" w:hAnsi="Times New Roman" w:eastAsia="宋体" w:cs="Times New Roman"/>
          <w:color w:val="auto"/>
        </w:rPr>
        <w:t>泄漏量计算参数表</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92"/>
        <w:gridCol w:w="5396"/>
      </w:tblGrid>
      <w:tr w14:paraId="2375B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212B6D63">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计算参数</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6520BD7C">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20L</w:t>
            </w:r>
            <w:r>
              <w:rPr>
                <w:rFonts w:hint="eastAsia" w:ascii="Times New Roman" w:hAnsi="Times New Roman" w:eastAsia="宋体" w:cs="Times New Roman"/>
                <w:color w:val="auto"/>
                <w:spacing w:val="10"/>
                <w:kern w:val="2"/>
                <w:sz w:val="21"/>
                <w:szCs w:val="21"/>
                <w:u w:val="none"/>
                <w:lang w:val="en-US" w:eastAsia="zh-CN" w:bidi="ar"/>
              </w:rPr>
              <w:t>盐酸</w:t>
            </w:r>
            <w:r>
              <w:rPr>
                <w:rFonts w:hint="default" w:ascii="Times New Roman" w:hAnsi="Times New Roman" w:eastAsia="宋体" w:cs="Times New Roman"/>
                <w:color w:val="auto"/>
                <w:spacing w:val="10"/>
                <w:kern w:val="2"/>
                <w:sz w:val="21"/>
                <w:szCs w:val="21"/>
                <w:u w:val="none"/>
                <w:lang w:val="en-US" w:eastAsia="zh-CN" w:bidi="ar"/>
              </w:rPr>
              <w:t>桶（</w:t>
            </w:r>
            <w:r>
              <w:rPr>
                <w:rFonts w:hint="eastAsia" w:ascii="Times New Roman" w:hAnsi="Times New Roman" w:eastAsia="宋体" w:cs="Times New Roman"/>
                <w:color w:val="auto"/>
                <w:spacing w:val="10"/>
                <w:kern w:val="2"/>
                <w:sz w:val="21"/>
                <w:szCs w:val="21"/>
                <w:u w:val="none"/>
                <w:lang w:val="en-US" w:eastAsia="zh-CN" w:bidi="ar"/>
              </w:rPr>
              <w:t>盐酸</w:t>
            </w:r>
            <w:r>
              <w:rPr>
                <w:rFonts w:hint="default" w:ascii="Times New Roman" w:hAnsi="Times New Roman" w:eastAsia="宋体" w:cs="Times New Roman"/>
                <w:color w:val="auto"/>
                <w:spacing w:val="10"/>
                <w:kern w:val="2"/>
                <w:sz w:val="21"/>
                <w:szCs w:val="21"/>
                <w:u w:val="none"/>
                <w:lang w:val="en-US" w:eastAsia="zh-CN" w:bidi="ar"/>
              </w:rPr>
              <w:t>）</w:t>
            </w:r>
          </w:p>
        </w:tc>
      </w:tr>
      <w:tr w14:paraId="7A4F3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41EBC873">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假设裂口面积</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5357E1F8">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0.785cm</w:t>
            </w:r>
            <w:r>
              <w:rPr>
                <w:rFonts w:hint="default" w:ascii="Times New Roman" w:hAnsi="Times New Roman" w:eastAsia="宋体" w:cs="Times New Roman"/>
                <w:color w:val="auto"/>
                <w:spacing w:val="10"/>
                <w:kern w:val="2"/>
                <w:sz w:val="21"/>
                <w:szCs w:val="21"/>
                <w:u w:val="none"/>
                <w:vertAlign w:val="superscript"/>
                <w:lang w:val="en-US" w:eastAsia="zh-CN" w:bidi="ar"/>
              </w:rPr>
              <w:t>2</w:t>
            </w:r>
            <w:r>
              <w:rPr>
                <w:rFonts w:hint="default" w:ascii="Times New Roman" w:hAnsi="Times New Roman" w:eastAsia="宋体" w:cs="Times New Roman"/>
                <w:color w:val="auto"/>
                <w:spacing w:val="10"/>
                <w:kern w:val="2"/>
                <w:sz w:val="21"/>
                <w:szCs w:val="21"/>
                <w:u w:val="none"/>
                <w:lang w:val="en-US" w:eastAsia="zh-CN" w:bidi="ar"/>
              </w:rPr>
              <w:t>（直径为1cm）</w:t>
            </w:r>
          </w:p>
        </w:tc>
      </w:tr>
      <w:tr w14:paraId="67F90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553C9213">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地面情况</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60C4E28B">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水泥</w:t>
            </w:r>
          </w:p>
        </w:tc>
      </w:tr>
      <w:tr w14:paraId="53BD9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5B5F1C72">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容器内压力P</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3A90CA0C">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101.08kPa</w:t>
            </w:r>
          </w:p>
        </w:tc>
      </w:tr>
      <w:tr w14:paraId="79195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4329AE13">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容器内温度</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604C3B42">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20℃</w:t>
            </w:r>
          </w:p>
        </w:tc>
      </w:tr>
      <w:tr w14:paraId="03830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16E272F7">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液池面积m</w:t>
            </w:r>
            <w:r>
              <w:rPr>
                <w:rFonts w:hint="default" w:ascii="Times New Roman" w:hAnsi="Times New Roman" w:eastAsia="宋体" w:cs="Times New Roman"/>
                <w:color w:val="auto"/>
                <w:spacing w:val="10"/>
                <w:kern w:val="2"/>
                <w:sz w:val="21"/>
                <w:szCs w:val="21"/>
                <w:u w:val="none"/>
                <w:vertAlign w:val="superscript"/>
                <w:lang w:val="en-US" w:eastAsia="zh-CN" w:bidi="ar"/>
              </w:rPr>
              <w:t>2</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4FDBA313">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2</w:t>
            </w:r>
            <w:r>
              <w:rPr>
                <w:rFonts w:hint="default" w:ascii="Times New Roman" w:hAnsi="Times New Roman" w:eastAsia="宋体" w:cs="Times New Roman"/>
                <w:color w:val="auto"/>
                <w:spacing w:val="10"/>
                <w:kern w:val="2"/>
                <w:sz w:val="21"/>
                <w:szCs w:val="21"/>
                <w:u w:val="none"/>
                <w:lang w:val="en-US" w:eastAsia="zh-CN" w:bidi="ar"/>
              </w:rPr>
              <w:t>5</w:t>
            </w:r>
          </w:p>
        </w:tc>
      </w:tr>
      <w:tr w14:paraId="2CE48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75A77B3F">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液池温度</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546EBF22">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22.33℃</w:t>
            </w:r>
          </w:p>
        </w:tc>
      </w:tr>
      <w:tr w14:paraId="29B7F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tcBorders>
              <w:top w:val="single" w:color="000000" w:sz="4" w:space="0"/>
              <w:left w:val="single" w:color="000000" w:sz="4" w:space="0"/>
              <w:bottom w:val="single" w:color="000000" w:sz="4" w:space="0"/>
              <w:right w:val="single" w:color="000000" w:sz="4" w:space="0"/>
            </w:tcBorders>
            <w:noWrap w:val="0"/>
            <w:vAlign w:val="center"/>
          </w:tcPr>
          <w:p w14:paraId="69F35C49">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容器裂口之上液位高度</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7A6E2CE5">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0.4m</w:t>
            </w:r>
          </w:p>
        </w:tc>
      </w:tr>
      <w:tr w14:paraId="63778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vMerge w:val="restart"/>
            <w:tcBorders>
              <w:top w:val="single" w:color="000000" w:sz="4" w:space="0"/>
              <w:left w:val="single" w:color="000000" w:sz="4" w:space="0"/>
              <w:bottom w:val="single" w:color="000000" w:sz="4" w:space="0"/>
              <w:right w:val="single" w:color="000000" w:sz="4" w:space="0"/>
            </w:tcBorders>
            <w:noWrap w:val="0"/>
            <w:vAlign w:val="center"/>
          </w:tcPr>
          <w:p w14:paraId="27671454">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液体泄漏速度（kg/s）</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0BE8C4CB">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大气稳定度F</w:t>
            </w:r>
          </w:p>
        </w:tc>
      </w:tr>
      <w:tr w14:paraId="0CA84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30AC4A">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3E7003CF">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0.1715</w:t>
            </w:r>
          </w:p>
        </w:tc>
      </w:tr>
      <w:tr w14:paraId="050F2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vMerge w:val="restart"/>
            <w:tcBorders>
              <w:top w:val="single" w:color="000000" w:sz="4" w:space="0"/>
              <w:left w:val="single" w:color="000000" w:sz="4" w:space="0"/>
              <w:bottom w:val="single" w:color="000000" w:sz="4" w:space="0"/>
              <w:right w:val="single" w:color="000000" w:sz="4" w:space="0"/>
            </w:tcBorders>
            <w:noWrap w:val="0"/>
            <w:vAlign w:val="center"/>
          </w:tcPr>
          <w:p w14:paraId="2C875311">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蒸发速率Q（kg/s）</w:t>
            </w: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7EA402C5">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大气稳定度F</w:t>
            </w:r>
          </w:p>
        </w:tc>
      </w:tr>
      <w:tr w14:paraId="02DBE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E7F20A">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p>
        </w:tc>
        <w:tc>
          <w:tcPr>
            <w:tcW w:w="5396" w:type="dxa"/>
            <w:tcBorders>
              <w:top w:val="single" w:color="000000" w:sz="4" w:space="0"/>
              <w:left w:val="single" w:color="000000" w:sz="4" w:space="0"/>
              <w:bottom w:val="single" w:color="000000" w:sz="4" w:space="0"/>
              <w:right w:val="single" w:color="000000" w:sz="4" w:space="0"/>
            </w:tcBorders>
            <w:noWrap w:val="0"/>
            <w:vAlign w:val="center"/>
          </w:tcPr>
          <w:p w14:paraId="44FC7BDC">
            <w:pPr>
              <w:widowControl w:val="0"/>
              <w:spacing w:before="0" w:beforeAutospacing="0" w:after="0" w:afterAutospacing="0" w:line="240" w:lineRule="exact"/>
              <w:jc w:val="center"/>
              <w:rPr>
                <w:rFonts w:hint="default" w:ascii="Times New Roman" w:hAnsi="Times New Roman" w:eastAsia="宋体" w:cs="Times New Roman"/>
                <w:color w:val="FF0000"/>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0.1715</w:t>
            </w:r>
          </w:p>
        </w:tc>
      </w:tr>
    </w:tbl>
    <w:p w14:paraId="6C123C89">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项目环境风险源项汇总</w:t>
      </w:r>
    </w:p>
    <w:p w14:paraId="24C20B43">
      <w:pPr>
        <w:pStyle w:val="4"/>
        <w:numPr>
          <w:ilvl w:val="3"/>
          <w:numId w:val="10"/>
        </w:numPr>
        <w:tabs>
          <w:tab w:val="left" w:pos="1276"/>
          <w:tab w:val="left" w:pos="1358"/>
          <w:tab w:val="left" w:pos="2153"/>
          <w:tab w:val="left" w:pos="2183"/>
        </w:tabs>
        <w:spacing w:before="15"/>
        <w:ind w:left="1358"/>
        <w:rPr>
          <w:rFonts w:hint="default" w:ascii="Times New Roman" w:hAnsi="Times New Roman" w:eastAsia="宋体" w:cs="Times New Roman"/>
          <w:color w:val="auto"/>
        </w:rPr>
      </w:pPr>
      <w:bookmarkStart w:id="81" w:name="_Toc2715"/>
      <w:r>
        <w:rPr>
          <w:rFonts w:hint="default" w:ascii="Times New Roman" w:hAnsi="Times New Roman" w:eastAsia="宋体" w:cs="Times New Roman"/>
          <w:color w:val="auto"/>
        </w:rPr>
        <w:t>建设项目风险源强一览表</w:t>
      </w:r>
      <w:bookmarkEnd w:id="81"/>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4"/>
        <w:gridCol w:w="1256"/>
        <w:gridCol w:w="1018"/>
        <w:gridCol w:w="1000"/>
        <w:gridCol w:w="999"/>
        <w:gridCol w:w="1000"/>
        <w:gridCol w:w="999"/>
        <w:gridCol w:w="1002"/>
        <w:gridCol w:w="1000"/>
      </w:tblGrid>
      <w:tr w14:paraId="23EC3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14" w:type="dxa"/>
            <w:tcBorders>
              <w:top w:val="single" w:color="000000" w:sz="4" w:space="0"/>
              <w:left w:val="single" w:color="000000" w:sz="4" w:space="0"/>
              <w:bottom w:val="single" w:color="000000" w:sz="4" w:space="0"/>
              <w:right w:val="single" w:color="000000" w:sz="4" w:space="0"/>
            </w:tcBorders>
            <w:noWrap w:val="0"/>
            <w:vAlign w:val="center"/>
          </w:tcPr>
          <w:p w14:paraId="274B493B">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序号</w:t>
            </w:r>
          </w:p>
        </w:tc>
        <w:tc>
          <w:tcPr>
            <w:tcW w:w="1256" w:type="dxa"/>
            <w:tcBorders>
              <w:top w:val="single" w:color="000000" w:sz="4" w:space="0"/>
              <w:left w:val="single" w:color="000000" w:sz="4" w:space="0"/>
              <w:bottom w:val="single" w:color="000000" w:sz="4" w:space="0"/>
              <w:right w:val="single" w:color="000000" w:sz="4" w:space="0"/>
            </w:tcBorders>
            <w:noWrap w:val="0"/>
            <w:vAlign w:val="center"/>
          </w:tcPr>
          <w:p w14:paraId="125765DF">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风险事故情形描述</w:t>
            </w:r>
          </w:p>
        </w:tc>
        <w:tc>
          <w:tcPr>
            <w:tcW w:w="1018" w:type="dxa"/>
            <w:tcBorders>
              <w:top w:val="single" w:color="000000" w:sz="4" w:space="0"/>
              <w:left w:val="single" w:color="000000" w:sz="4" w:space="0"/>
              <w:bottom w:val="single" w:color="000000" w:sz="4" w:space="0"/>
              <w:right w:val="single" w:color="000000" w:sz="4" w:space="0"/>
            </w:tcBorders>
            <w:noWrap w:val="0"/>
            <w:vAlign w:val="center"/>
          </w:tcPr>
          <w:p w14:paraId="36109F65">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危险单元</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0BDDD8D9">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危险物质</w:t>
            </w:r>
          </w:p>
        </w:tc>
        <w:tc>
          <w:tcPr>
            <w:tcW w:w="999" w:type="dxa"/>
            <w:tcBorders>
              <w:top w:val="single" w:color="000000" w:sz="4" w:space="0"/>
              <w:left w:val="single" w:color="000000" w:sz="4" w:space="0"/>
              <w:bottom w:val="single" w:color="000000" w:sz="4" w:space="0"/>
              <w:right w:val="single" w:color="000000" w:sz="4" w:space="0"/>
            </w:tcBorders>
            <w:noWrap w:val="0"/>
            <w:vAlign w:val="center"/>
          </w:tcPr>
          <w:p w14:paraId="444AF74C">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大气稳定度</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4FCFF73C">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释放或泄漏速率kg/s</w:t>
            </w:r>
          </w:p>
        </w:tc>
        <w:tc>
          <w:tcPr>
            <w:tcW w:w="999" w:type="dxa"/>
            <w:tcBorders>
              <w:top w:val="single" w:color="000000" w:sz="4" w:space="0"/>
              <w:left w:val="single" w:color="000000" w:sz="4" w:space="0"/>
              <w:bottom w:val="single" w:color="000000" w:sz="4" w:space="0"/>
              <w:right w:val="single" w:color="000000" w:sz="4" w:space="0"/>
            </w:tcBorders>
            <w:noWrap w:val="0"/>
            <w:vAlign w:val="center"/>
          </w:tcPr>
          <w:p w14:paraId="0F2F23A3">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释放或泄漏时间min</w:t>
            </w:r>
          </w:p>
        </w:tc>
        <w:tc>
          <w:tcPr>
            <w:tcW w:w="1002" w:type="dxa"/>
            <w:tcBorders>
              <w:top w:val="single" w:color="000000" w:sz="4" w:space="0"/>
              <w:left w:val="single" w:color="000000" w:sz="4" w:space="0"/>
              <w:bottom w:val="single" w:color="000000" w:sz="4" w:space="0"/>
              <w:right w:val="single" w:color="000000" w:sz="4" w:space="0"/>
            </w:tcBorders>
            <w:noWrap w:val="0"/>
            <w:vAlign w:val="center"/>
          </w:tcPr>
          <w:p w14:paraId="11CF4EC9">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蒸发速率kg/s</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7AA01F83">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蒸发时间min</w:t>
            </w:r>
          </w:p>
        </w:tc>
      </w:tr>
      <w:tr w14:paraId="7198F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14" w:type="dxa"/>
            <w:tcBorders>
              <w:left w:val="single" w:color="000000" w:sz="4" w:space="0"/>
              <w:right w:val="single" w:color="000000" w:sz="4" w:space="0"/>
            </w:tcBorders>
            <w:noWrap w:val="0"/>
            <w:vAlign w:val="center"/>
          </w:tcPr>
          <w:p w14:paraId="5AA35D57">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1</w:t>
            </w:r>
          </w:p>
        </w:tc>
        <w:tc>
          <w:tcPr>
            <w:tcW w:w="1256" w:type="dxa"/>
            <w:tcBorders>
              <w:left w:val="single" w:color="000000" w:sz="4" w:space="0"/>
              <w:right w:val="single" w:color="000000" w:sz="4" w:space="0"/>
            </w:tcBorders>
            <w:noWrap w:val="0"/>
            <w:vAlign w:val="center"/>
          </w:tcPr>
          <w:p w14:paraId="55BF8D5B">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物质泄漏</w:t>
            </w:r>
          </w:p>
        </w:tc>
        <w:tc>
          <w:tcPr>
            <w:tcW w:w="1018" w:type="dxa"/>
            <w:tcBorders>
              <w:left w:val="single" w:color="000000" w:sz="4" w:space="0"/>
              <w:right w:val="single" w:color="000000" w:sz="4" w:space="0"/>
            </w:tcBorders>
            <w:noWrap w:val="0"/>
            <w:vAlign w:val="center"/>
          </w:tcPr>
          <w:p w14:paraId="67C64519">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20L磷酸桶</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3B448084">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磷酸</w:t>
            </w:r>
          </w:p>
        </w:tc>
        <w:tc>
          <w:tcPr>
            <w:tcW w:w="999" w:type="dxa"/>
            <w:tcBorders>
              <w:top w:val="single" w:color="000000" w:sz="4" w:space="0"/>
              <w:left w:val="single" w:color="000000" w:sz="4" w:space="0"/>
              <w:bottom w:val="single" w:color="000000" w:sz="4" w:space="0"/>
              <w:right w:val="single" w:color="000000" w:sz="4" w:space="0"/>
            </w:tcBorders>
            <w:noWrap w:val="0"/>
            <w:vAlign w:val="center"/>
          </w:tcPr>
          <w:p w14:paraId="36D3666F">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F</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62084E3B">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0.1419</w:t>
            </w:r>
          </w:p>
        </w:tc>
        <w:tc>
          <w:tcPr>
            <w:tcW w:w="999" w:type="dxa"/>
            <w:tcBorders>
              <w:top w:val="single" w:color="000000" w:sz="4" w:space="0"/>
              <w:left w:val="single" w:color="000000" w:sz="4" w:space="0"/>
              <w:bottom w:val="single" w:color="000000" w:sz="4" w:space="0"/>
              <w:right w:val="single" w:color="000000" w:sz="4" w:space="0"/>
            </w:tcBorders>
            <w:noWrap w:val="0"/>
            <w:vAlign w:val="center"/>
          </w:tcPr>
          <w:p w14:paraId="6AEECFB2">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10</w:t>
            </w:r>
          </w:p>
        </w:tc>
        <w:tc>
          <w:tcPr>
            <w:tcW w:w="1002" w:type="dxa"/>
            <w:tcBorders>
              <w:top w:val="single" w:color="000000" w:sz="4" w:space="0"/>
              <w:left w:val="single" w:color="000000" w:sz="4" w:space="0"/>
              <w:bottom w:val="single" w:color="000000" w:sz="4" w:space="0"/>
              <w:right w:val="single" w:color="000000" w:sz="4" w:space="0"/>
            </w:tcBorders>
            <w:noWrap w:val="0"/>
            <w:vAlign w:val="center"/>
          </w:tcPr>
          <w:p w14:paraId="0F026878">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01EFDCD7">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1</w:t>
            </w:r>
            <w:r>
              <w:rPr>
                <w:rFonts w:hint="eastAsia" w:ascii="Times New Roman" w:hAnsi="Times New Roman" w:eastAsia="宋体" w:cs="Times New Roman"/>
                <w:color w:val="auto"/>
                <w:spacing w:val="10"/>
                <w:kern w:val="2"/>
                <w:sz w:val="21"/>
                <w:szCs w:val="21"/>
                <w:u w:val="none"/>
                <w:lang w:val="en-US" w:eastAsia="zh-CN" w:bidi="ar"/>
              </w:rPr>
              <w:t>5</w:t>
            </w:r>
          </w:p>
        </w:tc>
      </w:tr>
      <w:tr w14:paraId="0C5BF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14" w:type="dxa"/>
            <w:tcBorders>
              <w:left w:val="single" w:color="000000" w:sz="4" w:space="0"/>
              <w:bottom w:val="single" w:color="000000" w:sz="4" w:space="0"/>
              <w:right w:val="single" w:color="000000" w:sz="4" w:space="0"/>
            </w:tcBorders>
            <w:noWrap w:val="0"/>
            <w:vAlign w:val="center"/>
          </w:tcPr>
          <w:p w14:paraId="1F388E97">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2</w:t>
            </w:r>
          </w:p>
        </w:tc>
        <w:tc>
          <w:tcPr>
            <w:tcW w:w="1256" w:type="dxa"/>
            <w:tcBorders>
              <w:left w:val="single" w:color="000000" w:sz="4" w:space="0"/>
              <w:bottom w:val="single" w:color="000000" w:sz="4" w:space="0"/>
              <w:right w:val="single" w:color="000000" w:sz="4" w:space="0"/>
            </w:tcBorders>
            <w:noWrap w:val="0"/>
            <w:vAlign w:val="center"/>
          </w:tcPr>
          <w:p w14:paraId="66EB3D4E">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物质泄漏</w:t>
            </w:r>
          </w:p>
        </w:tc>
        <w:tc>
          <w:tcPr>
            <w:tcW w:w="1018" w:type="dxa"/>
            <w:tcBorders>
              <w:left w:val="single" w:color="000000" w:sz="4" w:space="0"/>
              <w:bottom w:val="single" w:color="000000" w:sz="4" w:space="0"/>
              <w:right w:val="single" w:color="000000" w:sz="4" w:space="0"/>
            </w:tcBorders>
            <w:noWrap w:val="0"/>
            <w:vAlign w:val="center"/>
          </w:tcPr>
          <w:p w14:paraId="532CE40E">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20L</w:t>
            </w:r>
            <w:r>
              <w:rPr>
                <w:rFonts w:hint="eastAsia" w:ascii="Times New Roman" w:hAnsi="Times New Roman" w:eastAsia="宋体" w:cs="Times New Roman"/>
                <w:color w:val="auto"/>
                <w:spacing w:val="10"/>
                <w:kern w:val="2"/>
                <w:sz w:val="21"/>
                <w:szCs w:val="21"/>
                <w:u w:val="none"/>
                <w:lang w:val="en-US" w:eastAsia="zh-CN" w:bidi="ar"/>
              </w:rPr>
              <w:t>盐酸</w:t>
            </w:r>
            <w:r>
              <w:rPr>
                <w:rFonts w:hint="default" w:ascii="Times New Roman" w:hAnsi="Times New Roman" w:eastAsia="宋体" w:cs="Times New Roman"/>
                <w:color w:val="auto"/>
                <w:spacing w:val="10"/>
                <w:kern w:val="2"/>
                <w:sz w:val="21"/>
                <w:szCs w:val="21"/>
                <w:u w:val="none"/>
                <w:lang w:val="en-US" w:eastAsia="zh-CN" w:bidi="ar"/>
              </w:rPr>
              <w:t>桶</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0A96E683">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盐酸</w:t>
            </w:r>
          </w:p>
        </w:tc>
        <w:tc>
          <w:tcPr>
            <w:tcW w:w="999" w:type="dxa"/>
            <w:tcBorders>
              <w:top w:val="single" w:color="000000" w:sz="4" w:space="0"/>
              <w:left w:val="single" w:color="000000" w:sz="4" w:space="0"/>
              <w:bottom w:val="single" w:color="000000" w:sz="4" w:space="0"/>
              <w:right w:val="single" w:color="000000" w:sz="4" w:space="0"/>
            </w:tcBorders>
            <w:noWrap w:val="0"/>
            <w:vAlign w:val="center"/>
          </w:tcPr>
          <w:p w14:paraId="37816F77">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F</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2CD55F14">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0.1715</w:t>
            </w:r>
          </w:p>
        </w:tc>
        <w:tc>
          <w:tcPr>
            <w:tcW w:w="999" w:type="dxa"/>
            <w:tcBorders>
              <w:top w:val="single" w:color="000000" w:sz="4" w:space="0"/>
              <w:left w:val="single" w:color="000000" w:sz="4" w:space="0"/>
              <w:bottom w:val="single" w:color="000000" w:sz="4" w:space="0"/>
              <w:right w:val="single" w:color="000000" w:sz="4" w:space="0"/>
            </w:tcBorders>
            <w:noWrap w:val="0"/>
            <w:vAlign w:val="center"/>
          </w:tcPr>
          <w:p w14:paraId="29CC1C3B">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10</w:t>
            </w:r>
          </w:p>
        </w:tc>
        <w:tc>
          <w:tcPr>
            <w:tcW w:w="1002" w:type="dxa"/>
            <w:tcBorders>
              <w:top w:val="single" w:color="000000" w:sz="4" w:space="0"/>
              <w:left w:val="single" w:color="000000" w:sz="4" w:space="0"/>
              <w:bottom w:val="single" w:color="000000" w:sz="4" w:space="0"/>
              <w:right w:val="single" w:color="000000" w:sz="4" w:space="0"/>
            </w:tcBorders>
            <w:noWrap w:val="0"/>
            <w:vAlign w:val="center"/>
          </w:tcPr>
          <w:p w14:paraId="22C3AF12">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0.1715</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158DDD9F">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1</w:t>
            </w:r>
            <w:r>
              <w:rPr>
                <w:rFonts w:hint="eastAsia" w:ascii="Times New Roman" w:hAnsi="Times New Roman" w:eastAsia="宋体" w:cs="Times New Roman"/>
                <w:color w:val="auto"/>
                <w:spacing w:val="10"/>
                <w:kern w:val="2"/>
                <w:sz w:val="21"/>
                <w:szCs w:val="21"/>
                <w:u w:val="none"/>
                <w:lang w:val="en-US" w:eastAsia="zh-CN" w:bidi="ar"/>
              </w:rPr>
              <w:t>5</w:t>
            </w:r>
          </w:p>
        </w:tc>
      </w:tr>
    </w:tbl>
    <w:p w14:paraId="5405ADAB">
      <w:pPr>
        <w:pStyle w:val="3"/>
        <w:numPr>
          <w:ilvl w:val="1"/>
          <w:numId w:val="9"/>
        </w:numPr>
        <w:spacing w:before="210" w:after="210" w:line="500" w:lineRule="exact"/>
        <w:ind w:left="567" w:leftChars="0" w:hanging="567" w:firstLineChars="0"/>
        <w:rPr>
          <w:rFonts w:hint="default" w:ascii="Times New Roman" w:hAnsi="Times New Roman" w:eastAsia="宋体" w:cs="Times New Roman"/>
          <w:b/>
          <w:bCs w:val="0"/>
          <w:color w:val="000000"/>
          <w:sz w:val="28"/>
          <w:szCs w:val="22"/>
          <w:lang w:val="zh-CN" w:eastAsia="zh-CN"/>
        </w:rPr>
      </w:pPr>
      <w:bookmarkStart w:id="82" w:name="_Toc31291"/>
      <w:r>
        <w:rPr>
          <w:rFonts w:hint="default" w:ascii="Times New Roman" w:hAnsi="Times New Roman" w:eastAsia="宋体" w:cs="Times New Roman"/>
          <w:b/>
          <w:bCs w:val="0"/>
          <w:color w:val="000000"/>
          <w:sz w:val="28"/>
          <w:szCs w:val="22"/>
          <w:lang w:val="zh-CN" w:eastAsia="zh-CN"/>
        </w:rPr>
        <w:t>风险预测与评价</w:t>
      </w:r>
      <w:bookmarkEnd w:id="82"/>
    </w:p>
    <w:p w14:paraId="62A6322B">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大气环境风险影响分析</w:t>
      </w:r>
    </w:p>
    <w:p w14:paraId="6A45CC25">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1、预测模型</w:t>
      </w:r>
    </w:p>
    <w:p w14:paraId="6AFF7081">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采用风险导则附录G中G.2推荐的理查德数Ri用为标准判断</w:t>
      </w:r>
      <w:r>
        <w:rPr>
          <w:rFonts w:hint="eastAsia" w:cs="Times New Roman"/>
          <w:color w:val="000000"/>
          <w:spacing w:val="10"/>
          <w:sz w:val="24"/>
          <w:szCs w:val="32"/>
          <w:lang w:val="en-US" w:eastAsia="zh-CN"/>
        </w:rPr>
        <w:t>盐酸雾</w:t>
      </w:r>
      <w:r>
        <w:rPr>
          <w:rFonts w:hint="default" w:ascii="Times New Roman" w:hAnsi="Times New Roman" w:eastAsia="宋体" w:cs="Times New Roman"/>
          <w:color w:val="000000"/>
          <w:spacing w:val="10"/>
          <w:sz w:val="24"/>
          <w:szCs w:val="32"/>
          <w:lang w:val="en-US" w:eastAsia="zh-CN"/>
        </w:rPr>
        <w:t>是否为重质气体。Ri的概念公式为：</w:t>
      </w:r>
    </w:p>
    <w:p w14:paraId="3779982C">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drawing>
          <wp:anchor distT="0" distB="0" distL="114300" distR="114300" simplePos="0" relativeHeight="251662336" behindDoc="0" locked="0" layoutInCell="1" allowOverlap="1">
            <wp:simplePos x="0" y="0"/>
            <wp:positionH relativeFrom="page">
              <wp:posOffset>2448560</wp:posOffset>
            </wp:positionH>
            <wp:positionV relativeFrom="paragraph">
              <wp:posOffset>39370</wp:posOffset>
            </wp:positionV>
            <wp:extent cx="1508125" cy="371475"/>
            <wp:effectExtent l="0" t="0" r="15875" b="9525"/>
            <wp:wrapTopAndBottom/>
            <wp:docPr id="29"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2.jpeg"/>
                    <pic:cNvPicPr>
                      <a:picLocks noChangeAspect="1"/>
                    </pic:cNvPicPr>
                  </pic:nvPicPr>
                  <pic:blipFill>
                    <a:blip r:embed="rId31"/>
                    <a:stretch>
                      <a:fillRect/>
                    </a:stretch>
                  </pic:blipFill>
                  <pic:spPr>
                    <a:xfrm>
                      <a:off x="0" y="0"/>
                      <a:ext cx="1508125" cy="371475"/>
                    </a:xfrm>
                    <a:prstGeom prst="rect">
                      <a:avLst/>
                    </a:prstGeom>
                    <a:noFill/>
                    <a:ln>
                      <a:noFill/>
                    </a:ln>
                  </pic:spPr>
                </pic:pic>
              </a:graphicData>
            </a:graphic>
          </wp:anchor>
        </w:drawing>
      </w:r>
      <w:r>
        <w:rPr>
          <w:rFonts w:hint="default" w:ascii="Times New Roman" w:hAnsi="Times New Roman" w:eastAsia="宋体" w:cs="Times New Roman"/>
          <w:color w:val="000000"/>
          <w:spacing w:val="10"/>
          <w:sz w:val="24"/>
          <w:szCs w:val="32"/>
          <w:lang w:val="en-US" w:eastAsia="zh-CN"/>
        </w:rPr>
        <w:t>Ri是个流体动力学参数。根据不同的排放性质，理查德森数的计算公式不同。一般地，依据排放类型，</w:t>
      </w:r>
      <w:r>
        <w:rPr>
          <w:rFonts w:hint="default" w:ascii="Times New Roman" w:hAnsi="Times New Roman" w:eastAsia="宋体" w:cs="Times New Roman"/>
          <w:color w:val="000000"/>
          <w:spacing w:val="10"/>
          <w:sz w:val="24"/>
          <w:szCs w:val="32"/>
          <w:highlight w:val="none"/>
          <w:lang w:val="en-US" w:eastAsia="zh-CN"/>
        </w:rPr>
        <w:t>理查</w:t>
      </w:r>
      <w:r>
        <w:rPr>
          <w:rFonts w:hint="eastAsia" w:ascii="Times New Roman" w:hAnsi="Times New Roman" w:eastAsia="宋体" w:cs="Times New Roman"/>
          <w:color w:val="000000"/>
          <w:spacing w:val="10"/>
          <w:sz w:val="24"/>
          <w:szCs w:val="32"/>
          <w:highlight w:val="none"/>
          <w:lang w:val="en-US" w:eastAsia="zh-CN"/>
        </w:rPr>
        <w:t>德</w:t>
      </w:r>
      <w:r>
        <w:rPr>
          <w:rFonts w:hint="default" w:ascii="Times New Roman" w:hAnsi="Times New Roman" w:eastAsia="宋体" w:cs="Times New Roman"/>
          <w:color w:val="000000"/>
          <w:spacing w:val="10"/>
          <w:sz w:val="24"/>
          <w:szCs w:val="32"/>
          <w:lang w:val="en-US" w:eastAsia="zh-CN"/>
        </w:rPr>
        <w:t>森数的计算分连续排放、瞬时排放两种形式：</w:t>
      </w:r>
    </w:p>
    <w:p w14:paraId="75A4C29F">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连续排放：</w:t>
      </w:r>
    </w:p>
    <w:p w14:paraId="0AF7EC12">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drawing>
          <wp:anchor distT="0" distB="0" distL="114300" distR="114300" simplePos="0" relativeHeight="251663360" behindDoc="0" locked="0" layoutInCell="1" allowOverlap="1">
            <wp:simplePos x="0" y="0"/>
            <wp:positionH relativeFrom="page">
              <wp:posOffset>2703195</wp:posOffset>
            </wp:positionH>
            <wp:positionV relativeFrom="paragraph">
              <wp:posOffset>158115</wp:posOffset>
            </wp:positionV>
            <wp:extent cx="2303780" cy="695325"/>
            <wp:effectExtent l="0" t="0" r="1270" b="9525"/>
            <wp:wrapTopAndBottom/>
            <wp:docPr id="30"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3.png"/>
                    <pic:cNvPicPr>
                      <a:picLocks noChangeAspect="1"/>
                    </pic:cNvPicPr>
                  </pic:nvPicPr>
                  <pic:blipFill>
                    <a:blip r:embed="rId32"/>
                    <a:stretch>
                      <a:fillRect/>
                    </a:stretch>
                  </pic:blipFill>
                  <pic:spPr>
                    <a:xfrm>
                      <a:off x="0" y="0"/>
                      <a:ext cx="2303780" cy="695325"/>
                    </a:xfrm>
                    <a:prstGeom prst="rect">
                      <a:avLst/>
                    </a:prstGeom>
                    <a:noFill/>
                    <a:ln>
                      <a:noFill/>
                    </a:ln>
                  </pic:spPr>
                </pic:pic>
              </a:graphicData>
            </a:graphic>
          </wp:anchor>
        </w:drawing>
      </w:r>
      <w:r>
        <w:rPr>
          <w:rFonts w:hint="default" w:ascii="Times New Roman" w:hAnsi="Times New Roman" w:eastAsia="宋体" w:cs="Times New Roman"/>
          <w:color w:val="000000"/>
          <w:spacing w:val="10"/>
          <w:sz w:val="24"/>
          <w:szCs w:val="32"/>
          <w:lang w:val="en-US" w:eastAsia="zh-CN"/>
        </w:rPr>
        <w:t>瞬时排放：</w:t>
      </w:r>
    </w:p>
    <w:p w14:paraId="38260E75">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drawing>
          <wp:anchor distT="0" distB="0" distL="114300" distR="114300" simplePos="0" relativeHeight="251664384" behindDoc="0" locked="0" layoutInCell="1" allowOverlap="1">
            <wp:simplePos x="0" y="0"/>
            <wp:positionH relativeFrom="page">
              <wp:posOffset>2835910</wp:posOffset>
            </wp:positionH>
            <wp:positionV relativeFrom="paragraph">
              <wp:posOffset>139065</wp:posOffset>
            </wp:positionV>
            <wp:extent cx="2069465" cy="542925"/>
            <wp:effectExtent l="0" t="0" r="6985" b="9525"/>
            <wp:wrapTopAndBottom/>
            <wp:docPr id="2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4.png"/>
                    <pic:cNvPicPr>
                      <a:picLocks noChangeAspect="1"/>
                    </pic:cNvPicPr>
                  </pic:nvPicPr>
                  <pic:blipFill>
                    <a:blip r:embed="rId33"/>
                    <a:stretch>
                      <a:fillRect/>
                    </a:stretch>
                  </pic:blipFill>
                  <pic:spPr>
                    <a:xfrm>
                      <a:off x="0" y="0"/>
                      <a:ext cx="2069465" cy="542925"/>
                    </a:xfrm>
                    <a:prstGeom prst="rect">
                      <a:avLst/>
                    </a:prstGeom>
                    <a:noFill/>
                    <a:ln>
                      <a:noFill/>
                    </a:ln>
                  </pic:spPr>
                </pic:pic>
              </a:graphicData>
            </a:graphic>
          </wp:anchor>
        </w:drawing>
      </w:r>
      <w:r>
        <w:rPr>
          <w:rFonts w:hint="default" w:ascii="Times New Roman" w:hAnsi="Times New Roman" w:eastAsia="宋体" w:cs="Times New Roman"/>
          <w:color w:val="000000"/>
          <w:spacing w:val="10"/>
          <w:sz w:val="24"/>
          <w:szCs w:val="32"/>
          <w:lang w:val="en-US" w:eastAsia="zh-CN"/>
        </w:rPr>
        <w:t>式中：ρ</w:t>
      </w:r>
      <w:r>
        <w:rPr>
          <w:rFonts w:hint="default" w:ascii="Times New Roman" w:hAnsi="Times New Roman" w:eastAsia="宋体" w:cs="Times New Roman"/>
          <w:color w:val="000000"/>
          <w:spacing w:val="10"/>
          <w:sz w:val="24"/>
          <w:szCs w:val="32"/>
          <w:vertAlign w:val="subscript"/>
          <w:lang w:val="en-US" w:eastAsia="zh-CN"/>
        </w:rPr>
        <w:t>rel</w:t>
      </w:r>
      <w:r>
        <w:rPr>
          <w:rFonts w:hint="default" w:ascii="Times New Roman" w:hAnsi="Times New Roman" w:eastAsia="宋体" w:cs="Times New Roman"/>
          <w:color w:val="000000"/>
          <w:spacing w:val="10"/>
          <w:sz w:val="24"/>
          <w:szCs w:val="32"/>
          <w:lang w:val="en-US" w:eastAsia="zh-CN"/>
        </w:rPr>
        <w:t>——排放物质进入大气的初始密度，kg/m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w:t>
      </w:r>
    </w:p>
    <w:p w14:paraId="317D2558">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ρ</w:t>
      </w:r>
      <w:r>
        <w:rPr>
          <w:rFonts w:hint="default" w:ascii="Times New Roman" w:hAnsi="Times New Roman" w:eastAsia="宋体" w:cs="Times New Roman"/>
          <w:color w:val="000000"/>
          <w:spacing w:val="10"/>
          <w:sz w:val="24"/>
          <w:szCs w:val="32"/>
          <w:vertAlign w:val="subscript"/>
          <w:lang w:val="en-US" w:eastAsia="zh-CN"/>
        </w:rPr>
        <w:t>a</w:t>
      </w:r>
      <w:r>
        <w:rPr>
          <w:rFonts w:hint="default" w:ascii="Times New Roman" w:hAnsi="Times New Roman" w:eastAsia="宋体" w:cs="Times New Roman"/>
          <w:color w:val="000000"/>
          <w:spacing w:val="10"/>
          <w:sz w:val="24"/>
          <w:szCs w:val="32"/>
          <w:lang w:val="en-US" w:eastAsia="zh-CN"/>
        </w:rPr>
        <w:t>——环境空气密度，kg/m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w:t>
      </w:r>
    </w:p>
    <w:p w14:paraId="29A70EA1">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Q——连续排放烟羽的排放速率，kg/s；</w:t>
      </w:r>
    </w:p>
    <w:p w14:paraId="222F1815">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Qt——瞬时排放的物质质量，kg；</w:t>
      </w:r>
    </w:p>
    <w:p w14:paraId="534D1771">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ρ</w:t>
      </w:r>
      <w:r>
        <w:rPr>
          <w:rFonts w:hint="default" w:ascii="Times New Roman" w:hAnsi="Times New Roman" w:eastAsia="宋体" w:cs="Times New Roman"/>
          <w:color w:val="000000"/>
          <w:spacing w:val="10"/>
          <w:sz w:val="24"/>
          <w:szCs w:val="32"/>
          <w:vertAlign w:val="subscript"/>
          <w:lang w:val="en-US" w:eastAsia="zh-CN"/>
        </w:rPr>
        <w:t>rel</w:t>
      </w:r>
      <w:r>
        <w:rPr>
          <w:rFonts w:hint="default" w:ascii="Times New Roman" w:hAnsi="Times New Roman" w:eastAsia="宋体" w:cs="Times New Roman"/>
          <w:color w:val="000000"/>
          <w:spacing w:val="10"/>
          <w:sz w:val="24"/>
          <w:szCs w:val="32"/>
          <w:lang w:val="en-US" w:eastAsia="zh-CN"/>
        </w:rPr>
        <w:t>——初始的烟团宽度，即源直径，m；</w:t>
      </w:r>
    </w:p>
    <w:p w14:paraId="26D6AED5">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Ur——10m高处风速，m/s。</w:t>
      </w:r>
    </w:p>
    <w:p w14:paraId="0484BD7B">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判定连续排放还是瞬时排放，可以通过对比排放时间Td和污染物到达最近的受体点（网格点或敏感点）的时间T确定。</w:t>
      </w:r>
    </w:p>
    <w:p w14:paraId="6E2BCCE0">
      <w:pPr>
        <w:autoSpaceDE w:val="0"/>
        <w:autoSpaceDN w:val="0"/>
        <w:spacing w:line="362" w:lineRule="auto"/>
        <w:ind w:left="536" w:right="891" w:firstLine="48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838200" cy="295275"/>
            <wp:effectExtent l="0" t="0" r="0" b="952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4"/>
                    <a:stretch>
                      <a:fillRect/>
                    </a:stretch>
                  </pic:blipFill>
                  <pic:spPr>
                    <a:xfrm>
                      <a:off x="0" y="0"/>
                      <a:ext cx="838200" cy="295275"/>
                    </a:xfrm>
                    <a:prstGeom prst="rect">
                      <a:avLst/>
                    </a:prstGeom>
                    <a:noFill/>
                    <a:ln>
                      <a:noFill/>
                    </a:ln>
                  </pic:spPr>
                </pic:pic>
              </a:graphicData>
            </a:graphic>
          </wp:inline>
        </w:drawing>
      </w:r>
    </w:p>
    <w:p w14:paraId="36838E4F">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式中：X——事故发生地与计算点的距离，m；</w:t>
      </w:r>
    </w:p>
    <w:p w14:paraId="0C863DB6">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Ur——10m高处风速，m/s。假设风速和风向在T时间段内保持不变，按导则推荐最不利风速1.5m/s取值。</w:t>
      </w:r>
    </w:p>
    <w:p w14:paraId="641EE591">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当Td＞T时，可被认为是连续排放；当Td≤T时，可被认为是瞬时排放。</w:t>
      </w:r>
    </w:p>
    <w:p w14:paraId="3EE1BCAB">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对于连续排放，Ri≥1/6为重质气体，Ri＜1/6为轻质气体；对于瞬时排放，Ri＞0.04为重质气体，Ri≤0.04为轻质气体。当Ri处于临界值附近时，说明烟团/烟羽既不是典型的重质气体扩散，也不是典型的轻质气体扩散。可以进行敏感性分析，分别采用重质气体和轻质气体模型进行模拟，选取影响范围最大的结果。</w:t>
      </w:r>
    </w:p>
    <w:p w14:paraId="172C88B6">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根据计算，</w:t>
      </w:r>
      <w:r>
        <w:rPr>
          <w:rFonts w:hint="eastAsia" w:ascii="Times New Roman" w:hAnsi="Times New Roman" w:eastAsia="宋体" w:cs="Times New Roman"/>
          <w:color w:val="auto"/>
          <w:spacing w:val="10"/>
          <w:sz w:val="24"/>
          <w:szCs w:val="32"/>
          <w:lang w:val="en-US" w:eastAsia="zh-CN"/>
        </w:rPr>
        <w:t>盐酸</w:t>
      </w:r>
      <w:r>
        <w:rPr>
          <w:rFonts w:hint="default" w:ascii="Times New Roman" w:hAnsi="Times New Roman" w:eastAsia="宋体" w:cs="Times New Roman"/>
          <w:color w:val="auto"/>
          <w:spacing w:val="10"/>
          <w:sz w:val="24"/>
          <w:szCs w:val="32"/>
          <w:lang w:val="en-US" w:eastAsia="zh-CN"/>
        </w:rPr>
        <w:t>采用风险导则中推荐的SLAB模型进行预测。SLAB模型适用于平坦地形下</w:t>
      </w:r>
      <w:r>
        <w:rPr>
          <w:rFonts w:hint="eastAsia" w:ascii="Times New Roman" w:hAnsi="Times New Roman" w:eastAsia="宋体" w:cs="Times New Roman"/>
          <w:color w:val="auto"/>
          <w:spacing w:val="10"/>
          <w:sz w:val="24"/>
          <w:szCs w:val="32"/>
          <w:lang w:val="en-US" w:eastAsia="zh-CN"/>
        </w:rPr>
        <w:t>重</w:t>
      </w:r>
      <w:r>
        <w:rPr>
          <w:rFonts w:hint="default" w:ascii="Times New Roman" w:hAnsi="Times New Roman" w:eastAsia="宋体" w:cs="Times New Roman"/>
          <w:color w:val="auto"/>
          <w:spacing w:val="10"/>
          <w:sz w:val="24"/>
          <w:szCs w:val="32"/>
          <w:lang w:val="en-US" w:eastAsia="zh-CN"/>
        </w:rPr>
        <w:t>质气体</w:t>
      </w:r>
      <w:r>
        <w:rPr>
          <w:rFonts w:hint="eastAsia" w:ascii="Times New Roman" w:hAnsi="Times New Roman" w:eastAsia="宋体" w:cs="Times New Roman"/>
          <w:color w:val="auto"/>
          <w:spacing w:val="10"/>
          <w:sz w:val="24"/>
          <w:szCs w:val="32"/>
          <w:lang w:val="en-US" w:eastAsia="zh-CN"/>
        </w:rPr>
        <w:t>排放</w:t>
      </w:r>
      <w:r>
        <w:rPr>
          <w:rFonts w:hint="default" w:ascii="Times New Roman" w:hAnsi="Times New Roman" w:eastAsia="宋体" w:cs="Times New Roman"/>
          <w:color w:val="auto"/>
          <w:spacing w:val="10"/>
          <w:sz w:val="24"/>
          <w:szCs w:val="32"/>
          <w:lang w:val="en-US" w:eastAsia="zh-CN"/>
        </w:rPr>
        <w:t>的扩散</w:t>
      </w:r>
      <w:r>
        <w:rPr>
          <w:rFonts w:hint="eastAsia" w:ascii="Times New Roman" w:hAnsi="Times New Roman" w:eastAsia="宋体" w:cs="Times New Roman"/>
          <w:color w:val="auto"/>
          <w:spacing w:val="10"/>
          <w:sz w:val="24"/>
          <w:szCs w:val="32"/>
          <w:lang w:val="en-US" w:eastAsia="zh-CN"/>
        </w:rPr>
        <w:t>模拟</w:t>
      </w:r>
      <w:r>
        <w:rPr>
          <w:rFonts w:hint="default" w:ascii="Times New Roman" w:hAnsi="Times New Roman" w:eastAsia="宋体" w:cs="Times New Roman"/>
          <w:color w:val="auto"/>
          <w:spacing w:val="10"/>
          <w:sz w:val="24"/>
          <w:szCs w:val="32"/>
          <w:lang w:val="en-US" w:eastAsia="zh-CN"/>
        </w:rPr>
        <w:t>，SLAB模型处理的排放类型包括地面水平挥发池、抬升水平喷射、烟囱或抬升垂直喷射以及瞬时体源。</w:t>
      </w:r>
    </w:p>
    <w:p w14:paraId="17355A0B">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项目环境风险预测选取模型一览表见表1-</w:t>
      </w:r>
      <w:r>
        <w:rPr>
          <w:rFonts w:hint="eastAsia" w:ascii="Times New Roman" w:hAnsi="Times New Roman" w:eastAsia="宋体" w:cs="Times New Roman"/>
          <w:color w:val="000000"/>
          <w:spacing w:val="10"/>
          <w:sz w:val="24"/>
          <w:szCs w:val="32"/>
          <w:lang w:val="en-US" w:eastAsia="zh-CN"/>
        </w:rPr>
        <w:t>3</w:t>
      </w:r>
      <w:r>
        <w:rPr>
          <w:rFonts w:hint="eastAsia" w:cs="Times New Roman"/>
          <w:color w:val="000000"/>
          <w:spacing w:val="10"/>
          <w:sz w:val="24"/>
          <w:szCs w:val="32"/>
          <w:lang w:val="en-US" w:eastAsia="zh-CN"/>
        </w:rPr>
        <w:t>1</w:t>
      </w:r>
      <w:r>
        <w:rPr>
          <w:rFonts w:hint="default" w:ascii="Times New Roman" w:hAnsi="Times New Roman" w:eastAsia="宋体" w:cs="Times New Roman"/>
          <w:color w:val="000000"/>
          <w:spacing w:val="10"/>
          <w:sz w:val="24"/>
          <w:szCs w:val="32"/>
          <w:lang w:val="en-US" w:eastAsia="zh-CN"/>
        </w:rPr>
        <w:t>。</w:t>
      </w:r>
    </w:p>
    <w:p w14:paraId="79D2AA3A">
      <w:pPr>
        <w:pStyle w:val="4"/>
        <w:numPr>
          <w:ilvl w:val="3"/>
          <w:numId w:val="10"/>
        </w:numPr>
        <w:tabs>
          <w:tab w:val="left" w:pos="1276"/>
          <w:tab w:val="left" w:pos="1358"/>
          <w:tab w:val="left" w:pos="2153"/>
          <w:tab w:val="left" w:pos="2183"/>
        </w:tabs>
        <w:spacing w:before="15"/>
        <w:ind w:left="1358"/>
        <w:rPr>
          <w:rFonts w:hint="default" w:ascii="Times New Roman" w:hAnsi="Times New Roman" w:eastAsia="宋体" w:cs="Times New Roman"/>
          <w:color w:val="auto"/>
        </w:rPr>
      </w:pPr>
      <w:bookmarkStart w:id="83" w:name="_Toc28490"/>
      <w:r>
        <w:rPr>
          <w:rFonts w:hint="default" w:ascii="Times New Roman" w:hAnsi="Times New Roman" w:eastAsia="宋体" w:cs="Times New Roman"/>
          <w:color w:val="auto"/>
        </w:rPr>
        <w:t>环境风险预测选取模型一览表</w:t>
      </w:r>
      <w:bookmarkEnd w:id="83"/>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1"/>
        <w:gridCol w:w="583"/>
        <w:gridCol w:w="674"/>
        <w:gridCol w:w="877"/>
        <w:gridCol w:w="1055"/>
        <w:gridCol w:w="1055"/>
        <w:gridCol w:w="712"/>
        <w:gridCol w:w="969"/>
        <w:gridCol w:w="837"/>
        <w:gridCol w:w="561"/>
        <w:gridCol w:w="964"/>
      </w:tblGrid>
      <w:tr w14:paraId="05AAC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527F3388">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风险源</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6F9BE758">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气体名</w:t>
            </w:r>
          </w:p>
          <w:p w14:paraId="7D5E9CA2">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称</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40328A15">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最近敏感点距离m</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50A696BD">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大气稳定度</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CD73329">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到达时</w:t>
            </w:r>
          </w:p>
          <w:p w14:paraId="36972558">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间T（min）</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6D819D95">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排放时</w:t>
            </w:r>
          </w:p>
          <w:p w14:paraId="257AB07B">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间Td（min）</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14:paraId="07C41E61">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排放形</w:t>
            </w:r>
          </w:p>
          <w:p w14:paraId="7A34D36B">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式</w:t>
            </w:r>
          </w:p>
        </w:tc>
        <w:tc>
          <w:tcPr>
            <w:tcW w:w="969" w:type="dxa"/>
            <w:tcBorders>
              <w:top w:val="single" w:color="000000" w:sz="4" w:space="0"/>
              <w:left w:val="single" w:color="000000" w:sz="4" w:space="0"/>
              <w:bottom w:val="single" w:color="000000" w:sz="4" w:space="0"/>
              <w:right w:val="single" w:color="000000" w:sz="4" w:space="0"/>
            </w:tcBorders>
            <w:noWrap w:val="0"/>
            <w:vAlign w:val="center"/>
          </w:tcPr>
          <w:p w14:paraId="22FF232B">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理查德</w:t>
            </w:r>
          </w:p>
          <w:p w14:paraId="45B063C3">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森数</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67CE9CB">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判断标准</w:t>
            </w:r>
          </w:p>
        </w:tc>
        <w:tc>
          <w:tcPr>
            <w:tcW w:w="561" w:type="dxa"/>
            <w:tcBorders>
              <w:top w:val="single" w:color="000000" w:sz="4" w:space="0"/>
              <w:left w:val="single" w:color="000000" w:sz="4" w:space="0"/>
              <w:bottom w:val="single" w:color="000000" w:sz="4" w:space="0"/>
              <w:right w:val="single" w:color="000000" w:sz="4" w:space="0"/>
            </w:tcBorders>
            <w:noWrap w:val="0"/>
            <w:vAlign w:val="center"/>
          </w:tcPr>
          <w:p w14:paraId="1816174E">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气体性</w:t>
            </w:r>
          </w:p>
          <w:p w14:paraId="0EDB8ADF">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质</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1696D967">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选取预</w:t>
            </w:r>
          </w:p>
          <w:p w14:paraId="5736C42C">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测模型</w:t>
            </w:r>
          </w:p>
        </w:tc>
      </w:tr>
      <w:tr w14:paraId="00EC9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01" w:type="dxa"/>
            <w:tcBorders>
              <w:top w:val="single" w:color="000000" w:sz="4" w:space="0"/>
              <w:left w:val="single" w:color="000000" w:sz="4" w:space="0"/>
              <w:right w:val="single" w:color="000000" w:sz="4" w:space="0"/>
            </w:tcBorders>
            <w:noWrap w:val="0"/>
            <w:vAlign w:val="center"/>
          </w:tcPr>
          <w:p w14:paraId="3D48CCF2">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20L盐酸桶</w:t>
            </w:r>
          </w:p>
        </w:tc>
        <w:tc>
          <w:tcPr>
            <w:tcW w:w="583" w:type="dxa"/>
            <w:tcBorders>
              <w:top w:val="single" w:color="000000" w:sz="4" w:space="0"/>
              <w:left w:val="single" w:color="000000" w:sz="4" w:space="0"/>
              <w:right w:val="single" w:color="000000" w:sz="4" w:space="0"/>
            </w:tcBorders>
            <w:noWrap w:val="0"/>
            <w:vAlign w:val="center"/>
          </w:tcPr>
          <w:p w14:paraId="0DDF7032">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HCl</w:t>
            </w:r>
          </w:p>
        </w:tc>
        <w:tc>
          <w:tcPr>
            <w:tcW w:w="674" w:type="dxa"/>
            <w:tcBorders>
              <w:top w:val="single" w:color="000000" w:sz="4" w:space="0"/>
              <w:left w:val="single" w:color="000000" w:sz="4" w:space="0"/>
              <w:right w:val="single" w:color="000000" w:sz="4" w:space="0"/>
            </w:tcBorders>
            <w:noWrap w:val="0"/>
            <w:vAlign w:val="center"/>
          </w:tcPr>
          <w:p w14:paraId="747461F3">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530</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06294679">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F，风速1.5m/s</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5A7E7439">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11.8</w:t>
            </w:r>
          </w:p>
        </w:tc>
        <w:tc>
          <w:tcPr>
            <w:tcW w:w="1055" w:type="dxa"/>
            <w:tcBorders>
              <w:top w:val="single" w:color="000000" w:sz="4" w:space="0"/>
              <w:left w:val="single" w:color="000000" w:sz="4" w:space="0"/>
              <w:bottom w:val="single" w:color="000000" w:sz="4" w:space="0"/>
              <w:right w:val="single" w:color="000000" w:sz="4" w:space="0"/>
            </w:tcBorders>
            <w:noWrap w:val="0"/>
            <w:vAlign w:val="center"/>
          </w:tcPr>
          <w:p w14:paraId="262E60B4">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10</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14:paraId="416EA75F">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瞬时排放</w:t>
            </w:r>
          </w:p>
        </w:tc>
        <w:tc>
          <w:tcPr>
            <w:tcW w:w="969" w:type="dxa"/>
            <w:tcBorders>
              <w:top w:val="single" w:color="000000" w:sz="4" w:space="0"/>
              <w:left w:val="single" w:color="000000" w:sz="4" w:space="0"/>
              <w:bottom w:val="single" w:color="000000" w:sz="4" w:space="0"/>
              <w:right w:val="single" w:color="000000" w:sz="4" w:space="0"/>
            </w:tcBorders>
            <w:noWrap w:val="0"/>
            <w:vAlign w:val="center"/>
          </w:tcPr>
          <w:p w14:paraId="444B11DC">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auto"/>
                <w:spacing w:val="10"/>
                <w:kern w:val="2"/>
                <w:sz w:val="21"/>
                <w:szCs w:val="21"/>
                <w:u w:val="none"/>
                <w:lang w:val="en-US" w:eastAsia="zh-CN" w:bidi="ar"/>
              </w:rPr>
              <w:t>2.8088</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8087D2B">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Ri</w:t>
            </w:r>
            <w:r>
              <w:rPr>
                <w:rFonts w:hint="eastAsia" w:cs="Times New Roman"/>
                <w:color w:val="auto"/>
                <w:spacing w:val="10"/>
                <w:kern w:val="2"/>
                <w:sz w:val="21"/>
                <w:szCs w:val="21"/>
                <w:u w:val="none"/>
                <w:lang w:val="en-US" w:eastAsia="zh-CN" w:bidi="ar"/>
              </w:rPr>
              <w:t>&gt;</w:t>
            </w:r>
            <w:r>
              <w:rPr>
                <w:rFonts w:hint="default" w:ascii="Times New Roman" w:hAnsi="Times New Roman" w:eastAsia="宋体" w:cs="Times New Roman"/>
                <w:color w:val="auto"/>
                <w:spacing w:val="10"/>
                <w:kern w:val="2"/>
                <w:sz w:val="21"/>
                <w:szCs w:val="21"/>
                <w:u w:val="none"/>
                <w:lang w:val="en-US" w:eastAsia="zh-CN" w:bidi="ar"/>
              </w:rPr>
              <w:t>0.04</w:t>
            </w:r>
          </w:p>
        </w:tc>
        <w:tc>
          <w:tcPr>
            <w:tcW w:w="561" w:type="dxa"/>
            <w:tcBorders>
              <w:top w:val="single" w:color="000000" w:sz="4" w:space="0"/>
              <w:left w:val="single" w:color="000000" w:sz="4" w:space="0"/>
              <w:bottom w:val="single" w:color="000000" w:sz="4" w:space="0"/>
              <w:right w:val="single" w:color="000000" w:sz="4" w:space="0"/>
            </w:tcBorders>
            <w:noWrap w:val="0"/>
            <w:vAlign w:val="center"/>
          </w:tcPr>
          <w:p w14:paraId="5972EDF9">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重气体</w:t>
            </w:r>
          </w:p>
        </w:tc>
        <w:tc>
          <w:tcPr>
            <w:tcW w:w="964" w:type="dxa"/>
            <w:tcBorders>
              <w:top w:val="single" w:color="000000" w:sz="4" w:space="0"/>
              <w:left w:val="single" w:color="000000" w:sz="4" w:space="0"/>
              <w:bottom w:val="single" w:color="000000" w:sz="4" w:space="0"/>
              <w:right w:val="single" w:color="000000" w:sz="4" w:space="0"/>
            </w:tcBorders>
            <w:noWrap w:val="0"/>
            <w:vAlign w:val="center"/>
          </w:tcPr>
          <w:p w14:paraId="4FE8A4CD">
            <w:pPr>
              <w:widowControl w:val="0"/>
              <w:spacing w:before="0" w:beforeAutospacing="0" w:after="0" w:afterAutospacing="0" w:line="240" w:lineRule="exact"/>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auto"/>
                <w:spacing w:val="10"/>
                <w:kern w:val="2"/>
                <w:sz w:val="21"/>
                <w:szCs w:val="21"/>
                <w:u w:val="none"/>
                <w:lang w:val="en-US" w:eastAsia="zh-CN" w:bidi="ar"/>
              </w:rPr>
              <w:t>SLAB</w:t>
            </w:r>
          </w:p>
        </w:tc>
      </w:tr>
    </w:tbl>
    <w:p w14:paraId="6505D244">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2、事故源参数</w:t>
      </w:r>
    </w:p>
    <w:p w14:paraId="10BAEE0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事故源强具体见表1-</w:t>
      </w:r>
      <w:r>
        <w:rPr>
          <w:rFonts w:hint="eastAsia" w:cs="Times New Roman"/>
          <w:color w:val="000000"/>
          <w:spacing w:val="10"/>
          <w:sz w:val="24"/>
          <w:szCs w:val="32"/>
          <w:lang w:val="en-US" w:eastAsia="zh-CN"/>
        </w:rPr>
        <w:t>41</w:t>
      </w:r>
      <w:r>
        <w:rPr>
          <w:rFonts w:hint="default" w:ascii="Times New Roman" w:hAnsi="Times New Roman" w:eastAsia="宋体" w:cs="Times New Roman"/>
          <w:color w:val="000000"/>
          <w:spacing w:val="10"/>
          <w:sz w:val="24"/>
          <w:szCs w:val="32"/>
          <w:lang w:val="en-US" w:eastAsia="zh-CN"/>
        </w:rPr>
        <w:t>。</w:t>
      </w:r>
    </w:p>
    <w:p w14:paraId="099A5F15">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3、气象参数</w:t>
      </w:r>
    </w:p>
    <w:p w14:paraId="4A6F28D2">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最不利气象条件F类稳定度，1.5m/s风速，温度25℃，相对湿度50%进行后果预测。</w:t>
      </w:r>
    </w:p>
    <w:p w14:paraId="19D1457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4、预测参数及预测结果</w:t>
      </w:r>
    </w:p>
    <w:p w14:paraId="46416BFF">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⑴20L</w:t>
      </w:r>
      <w:r>
        <w:rPr>
          <w:rFonts w:hint="eastAsia" w:ascii="Times New Roman" w:hAnsi="Times New Roman" w:eastAsia="宋体" w:cs="Times New Roman"/>
          <w:color w:val="000000"/>
          <w:spacing w:val="10"/>
          <w:sz w:val="24"/>
          <w:szCs w:val="32"/>
          <w:lang w:val="en-US" w:eastAsia="zh-CN"/>
        </w:rPr>
        <w:t>盐酸桶盐酸</w:t>
      </w:r>
      <w:r>
        <w:rPr>
          <w:rFonts w:hint="default" w:ascii="Times New Roman" w:hAnsi="Times New Roman" w:eastAsia="宋体" w:cs="Times New Roman"/>
          <w:color w:val="000000"/>
          <w:spacing w:val="10"/>
          <w:sz w:val="24"/>
          <w:szCs w:val="32"/>
          <w:lang w:val="en-US" w:eastAsia="zh-CN"/>
        </w:rPr>
        <w:t xml:space="preserve">泄漏 </w:t>
      </w:r>
    </w:p>
    <w:p w14:paraId="7A8E68E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eastAsia" w:cs="Times New Roman"/>
          <w:color w:val="000000"/>
          <w:spacing w:val="10"/>
          <w:sz w:val="24"/>
          <w:szCs w:val="32"/>
          <w:lang w:val="en-US" w:eastAsia="zh-CN"/>
        </w:rPr>
        <w:t>5号仓库</w:t>
      </w:r>
      <w:r>
        <w:rPr>
          <w:rFonts w:hint="default" w:ascii="Times New Roman" w:hAnsi="Times New Roman" w:eastAsia="宋体" w:cs="Times New Roman"/>
          <w:color w:val="000000"/>
          <w:spacing w:val="10"/>
          <w:sz w:val="24"/>
          <w:szCs w:val="32"/>
          <w:lang w:val="en-US" w:eastAsia="zh-CN"/>
        </w:rPr>
        <w:t>20L盐酸桶盐酸泄漏，污染物释放进入大气环境，造成大气环境风险事故，影响预测结果见表1-</w:t>
      </w:r>
      <w:r>
        <w:rPr>
          <w:rFonts w:hint="eastAsia" w:cs="Times New Roman"/>
          <w:color w:val="000000"/>
          <w:spacing w:val="10"/>
          <w:sz w:val="24"/>
          <w:szCs w:val="32"/>
          <w:lang w:val="en-US" w:eastAsia="zh-CN"/>
        </w:rPr>
        <w:t>43</w:t>
      </w:r>
      <w:r>
        <w:rPr>
          <w:rFonts w:hint="default" w:ascii="Times New Roman" w:hAnsi="Times New Roman" w:eastAsia="宋体" w:cs="Times New Roman"/>
          <w:color w:val="000000"/>
          <w:spacing w:val="10"/>
          <w:sz w:val="24"/>
          <w:szCs w:val="32"/>
          <w:lang w:val="en-US" w:eastAsia="zh-CN"/>
        </w:rPr>
        <w:t>。</w:t>
      </w:r>
    </w:p>
    <w:p w14:paraId="2B6A2E94">
      <w:pPr>
        <w:pStyle w:val="4"/>
        <w:numPr>
          <w:ilvl w:val="3"/>
          <w:numId w:val="10"/>
        </w:numPr>
        <w:tabs>
          <w:tab w:val="left" w:pos="1358"/>
          <w:tab w:val="left" w:pos="2153"/>
          <w:tab w:val="left" w:pos="2183"/>
        </w:tabs>
        <w:ind w:left="1358"/>
        <w:rPr>
          <w:rFonts w:hint="default" w:ascii="Times New Roman" w:hAnsi="Times New Roman" w:eastAsia="宋体" w:cs="Times New Roman"/>
          <w:b/>
          <w:color w:val="auto"/>
          <w:u w:val="none"/>
        </w:rPr>
      </w:pPr>
      <w:bookmarkStart w:id="84" w:name="_Toc27394"/>
      <w:r>
        <w:rPr>
          <w:rFonts w:hint="default" w:ascii="Times New Roman" w:hAnsi="Times New Roman" w:eastAsia="宋体" w:cs="Times New Roman"/>
          <w:b/>
          <w:color w:val="auto"/>
          <w:u w:val="none"/>
        </w:rPr>
        <w:t>大气风险预测模型主要参数表</w:t>
      </w:r>
      <w:bookmarkEnd w:id="84"/>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854"/>
        <w:gridCol w:w="2063"/>
        <w:gridCol w:w="1841"/>
        <w:gridCol w:w="1800"/>
      </w:tblGrid>
      <w:tr w14:paraId="5376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trPr>
        <w:tc>
          <w:tcPr>
            <w:tcW w:w="1431" w:type="dxa"/>
            <w:tcBorders>
              <w:top w:val="single" w:color="auto" w:sz="4" w:space="0"/>
              <w:left w:val="single" w:color="auto" w:sz="4" w:space="0"/>
              <w:bottom w:val="single" w:color="auto" w:sz="4" w:space="0"/>
              <w:right w:val="single" w:color="auto" w:sz="4" w:space="0"/>
            </w:tcBorders>
            <w:noWrap w:val="0"/>
            <w:vAlign w:val="center"/>
          </w:tcPr>
          <w:p w14:paraId="37A2703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参数类型</w:t>
            </w:r>
          </w:p>
        </w:tc>
        <w:tc>
          <w:tcPr>
            <w:tcW w:w="1854" w:type="dxa"/>
            <w:tcBorders>
              <w:top w:val="single" w:color="auto" w:sz="4" w:space="0"/>
              <w:left w:val="single" w:color="auto" w:sz="4" w:space="0"/>
              <w:bottom w:val="single" w:color="auto" w:sz="4" w:space="0"/>
              <w:right w:val="single" w:color="auto" w:sz="4" w:space="0"/>
            </w:tcBorders>
            <w:noWrap w:val="0"/>
            <w:vAlign w:val="center"/>
          </w:tcPr>
          <w:p w14:paraId="1751E10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选项</w:t>
            </w:r>
          </w:p>
        </w:tc>
        <w:tc>
          <w:tcPr>
            <w:tcW w:w="5704" w:type="dxa"/>
            <w:gridSpan w:val="3"/>
            <w:tcBorders>
              <w:top w:val="single" w:color="auto" w:sz="4" w:space="0"/>
              <w:left w:val="single" w:color="auto" w:sz="4" w:space="0"/>
              <w:bottom w:val="single" w:color="auto" w:sz="4" w:space="0"/>
              <w:right w:val="single" w:color="auto" w:sz="4" w:space="0"/>
            </w:tcBorders>
            <w:noWrap w:val="0"/>
            <w:vAlign w:val="center"/>
          </w:tcPr>
          <w:p w14:paraId="06CEB21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参数</w:t>
            </w:r>
          </w:p>
        </w:tc>
      </w:tr>
      <w:tr w14:paraId="6D28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1" w:type="dxa"/>
            <w:vMerge w:val="restart"/>
            <w:tcBorders>
              <w:top w:val="single" w:color="auto" w:sz="4" w:space="0"/>
              <w:left w:val="single" w:color="auto" w:sz="4" w:space="0"/>
              <w:right w:val="single" w:color="auto" w:sz="4" w:space="0"/>
            </w:tcBorders>
            <w:noWrap w:val="0"/>
            <w:vAlign w:val="center"/>
          </w:tcPr>
          <w:p w14:paraId="2AA1354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基本情况</w:t>
            </w:r>
          </w:p>
        </w:tc>
        <w:tc>
          <w:tcPr>
            <w:tcW w:w="1854" w:type="dxa"/>
            <w:tcBorders>
              <w:top w:val="single" w:color="auto" w:sz="4" w:space="0"/>
              <w:left w:val="single" w:color="auto" w:sz="4" w:space="0"/>
              <w:bottom w:val="single" w:color="auto" w:sz="4" w:space="0"/>
              <w:right w:val="single" w:color="auto" w:sz="4" w:space="0"/>
            </w:tcBorders>
            <w:noWrap w:val="0"/>
            <w:vAlign w:val="center"/>
          </w:tcPr>
          <w:p w14:paraId="351AF3F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事故源经度/（°）</w:t>
            </w:r>
          </w:p>
        </w:tc>
        <w:tc>
          <w:tcPr>
            <w:tcW w:w="2063" w:type="dxa"/>
            <w:tcBorders>
              <w:top w:val="single" w:color="auto" w:sz="4" w:space="0"/>
              <w:left w:val="single" w:color="auto" w:sz="4" w:space="0"/>
              <w:bottom w:val="single" w:color="auto" w:sz="4" w:space="0"/>
              <w:right w:val="single" w:color="auto" w:sz="4" w:space="0"/>
            </w:tcBorders>
            <w:noWrap w:val="0"/>
            <w:vAlign w:val="center"/>
          </w:tcPr>
          <w:p w14:paraId="7871DA6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108.634217</w:t>
            </w:r>
          </w:p>
        </w:tc>
        <w:tc>
          <w:tcPr>
            <w:tcW w:w="1841" w:type="dxa"/>
            <w:tcBorders>
              <w:top w:val="single" w:color="auto" w:sz="4" w:space="0"/>
              <w:left w:val="single" w:color="auto" w:sz="4" w:space="0"/>
              <w:bottom w:val="single" w:color="auto" w:sz="4" w:space="0"/>
              <w:right w:val="single" w:color="auto" w:sz="4" w:space="0"/>
            </w:tcBorders>
            <w:noWrap w:val="0"/>
            <w:vAlign w:val="center"/>
          </w:tcPr>
          <w:p w14:paraId="165A0EE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事故源经度/（°）</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77E37C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kern w:val="2"/>
                <w:sz w:val="21"/>
                <w:szCs w:val="21"/>
                <w:u w:val="none"/>
                <w:lang w:val="en-US" w:eastAsia="zh-CN" w:bidi="ar"/>
              </w:rPr>
              <w:t>—</w:t>
            </w:r>
          </w:p>
        </w:tc>
      </w:tr>
      <w:tr w14:paraId="01C5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1" w:type="dxa"/>
            <w:vMerge w:val="continue"/>
            <w:tcBorders>
              <w:left w:val="single" w:color="auto" w:sz="4" w:space="0"/>
              <w:right w:val="single" w:color="auto" w:sz="4" w:space="0"/>
            </w:tcBorders>
            <w:noWrap w:val="0"/>
            <w:vAlign w:val="center"/>
          </w:tcPr>
          <w:p w14:paraId="1DF74D41">
            <w:pPr>
              <w:widowControl/>
              <w:jc w:val="left"/>
              <w:rPr>
                <w:rFonts w:hint="default" w:ascii="Times New Roman" w:hAnsi="Times New Roman" w:eastAsia="宋体" w:cs="Times New Roman"/>
                <w:color w:val="auto"/>
                <w:sz w:val="21"/>
                <w:szCs w:val="21"/>
              </w:rPr>
            </w:pPr>
          </w:p>
        </w:tc>
        <w:tc>
          <w:tcPr>
            <w:tcW w:w="1854" w:type="dxa"/>
            <w:tcBorders>
              <w:top w:val="single" w:color="auto" w:sz="4" w:space="0"/>
              <w:left w:val="single" w:color="auto" w:sz="4" w:space="0"/>
              <w:bottom w:val="single" w:color="auto" w:sz="4" w:space="0"/>
              <w:right w:val="single" w:color="auto" w:sz="4" w:space="0"/>
            </w:tcBorders>
            <w:noWrap w:val="0"/>
            <w:vAlign w:val="center"/>
          </w:tcPr>
          <w:p w14:paraId="7BCD2D2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事故源纬度/（°）</w:t>
            </w:r>
          </w:p>
        </w:tc>
        <w:tc>
          <w:tcPr>
            <w:tcW w:w="2063" w:type="dxa"/>
            <w:tcBorders>
              <w:top w:val="single" w:color="auto" w:sz="4" w:space="0"/>
              <w:left w:val="single" w:color="auto" w:sz="4" w:space="0"/>
              <w:bottom w:val="single" w:color="auto" w:sz="4" w:space="0"/>
              <w:right w:val="single" w:color="auto" w:sz="4" w:space="0"/>
            </w:tcBorders>
            <w:noWrap w:val="0"/>
            <w:vAlign w:val="center"/>
          </w:tcPr>
          <w:p w14:paraId="5C28478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21.743842</w:t>
            </w:r>
          </w:p>
        </w:tc>
        <w:tc>
          <w:tcPr>
            <w:tcW w:w="1841" w:type="dxa"/>
            <w:tcBorders>
              <w:top w:val="single" w:color="auto" w:sz="4" w:space="0"/>
              <w:left w:val="single" w:color="auto" w:sz="4" w:space="0"/>
              <w:bottom w:val="single" w:color="auto" w:sz="4" w:space="0"/>
              <w:right w:val="single" w:color="auto" w:sz="4" w:space="0"/>
            </w:tcBorders>
            <w:noWrap w:val="0"/>
            <w:vAlign w:val="center"/>
          </w:tcPr>
          <w:p w14:paraId="23D429A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事故源纬度/（°）</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725E94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kern w:val="2"/>
                <w:sz w:val="21"/>
                <w:szCs w:val="21"/>
                <w:u w:val="none"/>
                <w:lang w:val="en-US" w:eastAsia="zh-CN" w:bidi="ar"/>
              </w:rPr>
              <w:t>—</w:t>
            </w:r>
          </w:p>
        </w:tc>
      </w:tr>
      <w:tr w14:paraId="2F23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1" w:type="dxa"/>
            <w:vMerge w:val="continue"/>
            <w:tcBorders>
              <w:left w:val="single" w:color="auto" w:sz="4" w:space="0"/>
              <w:right w:val="single" w:color="auto" w:sz="4" w:space="0"/>
            </w:tcBorders>
            <w:noWrap w:val="0"/>
            <w:vAlign w:val="center"/>
          </w:tcPr>
          <w:p w14:paraId="134242C5">
            <w:pPr>
              <w:widowControl/>
              <w:jc w:val="left"/>
              <w:rPr>
                <w:rFonts w:hint="default" w:ascii="Times New Roman" w:hAnsi="Times New Roman" w:eastAsia="宋体" w:cs="Times New Roman"/>
                <w:color w:val="auto"/>
                <w:sz w:val="21"/>
                <w:szCs w:val="21"/>
              </w:rPr>
            </w:pPr>
          </w:p>
        </w:tc>
        <w:tc>
          <w:tcPr>
            <w:tcW w:w="1854" w:type="dxa"/>
            <w:tcBorders>
              <w:top w:val="single" w:color="auto" w:sz="4" w:space="0"/>
              <w:left w:val="single" w:color="auto" w:sz="4" w:space="0"/>
              <w:bottom w:val="single" w:color="auto" w:sz="4" w:space="0"/>
              <w:right w:val="single" w:color="auto" w:sz="4" w:space="0"/>
            </w:tcBorders>
            <w:noWrap w:val="0"/>
            <w:vAlign w:val="center"/>
          </w:tcPr>
          <w:p w14:paraId="6DC12F7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事故源类型</w:t>
            </w:r>
          </w:p>
        </w:tc>
        <w:tc>
          <w:tcPr>
            <w:tcW w:w="2063" w:type="dxa"/>
            <w:tcBorders>
              <w:top w:val="single" w:color="auto" w:sz="4" w:space="0"/>
              <w:left w:val="single" w:color="auto" w:sz="4" w:space="0"/>
              <w:bottom w:val="single" w:color="auto" w:sz="4" w:space="0"/>
              <w:right w:val="single" w:color="auto" w:sz="4" w:space="0"/>
            </w:tcBorders>
            <w:noWrap w:val="0"/>
            <w:vAlign w:val="center"/>
          </w:tcPr>
          <w:p w14:paraId="2F84373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20L盐酸桶盐酸泄漏进入大气环境</w:t>
            </w:r>
          </w:p>
        </w:tc>
        <w:tc>
          <w:tcPr>
            <w:tcW w:w="1841" w:type="dxa"/>
            <w:tcBorders>
              <w:top w:val="single" w:color="auto" w:sz="4" w:space="0"/>
              <w:left w:val="single" w:color="auto" w:sz="4" w:space="0"/>
              <w:bottom w:val="single" w:color="auto" w:sz="4" w:space="0"/>
              <w:right w:val="single" w:color="auto" w:sz="4" w:space="0"/>
            </w:tcBorders>
            <w:noWrap w:val="0"/>
            <w:vAlign w:val="center"/>
          </w:tcPr>
          <w:p w14:paraId="2A4F188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事故源类型</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905950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kern w:val="2"/>
                <w:sz w:val="21"/>
                <w:szCs w:val="21"/>
                <w:u w:val="none"/>
                <w:lang w:val="en-US" w:eastAsia="zh-CN" w:bidi="ar"/>
              </w:rPr>
              <w:t>—</w:t>
            </w:r>
          </w:p>
        </w:tc>
      </w:tr>
      <w:tr w14:paraId="3C3B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1" w:type="dxa"/>
            <w:vMerge w:val="restart"/>
            <w:tcBorders>
              <w:top w:val="single" w:color="auto" w:sz="4" w:space="0"/>
              <w:left w:val="single" w:color="auto" w:sz="4" w:space="0"/>
              <w:bottom w:val="single" w:color="auto" w:sz="4" w:space="0"/>
              <w:right w:val="single" w:color="auto" w:sz="4" w:space="0"/>
            </w:tcBorders>
            <w:noWrap w:val="0"/>
            <w:vAlign w:val="center"/>
          </w:tcPr>
          <w:p w14:paraId="61BA1AA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气象参数</w:t>
            </w:r>
          </w:p>
        </w:tc>
        <w:tc>
          <w:tcPr>
            <w:tcW w:w="1854" w:type="dxa"/>
            <w:tcBorders>
              <w:top w:val="single" w:color="auto" w:sz="4" w:space="0"/>
              <w:left w:val="single" w:color="auto" w:sz="4" w:space="0"/>
              <w:bottom w:val="single" w:color="auto" w:sz="4" w:space="0"/>
              <w:right w:val="single" w:color="auto" w:sz="4" w:space="0"/>
            </w:tcBorders>
            <w:noWrap w:val="0"/>
            <w:vAlign w:val="center"/>
          </w:tcPr>
          <w:p w14:paraId="3F0D4D6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气象条件类型</w:t>
            </w:r>
          </w:p>
        </w:tc>
        <w:tc>
          <w:tcPr>
            <w:tcW w:w="5704" w:type="dxa"/>
            <w:gridSpan w:val="3"/>
            <w:tcBorders>
              <w:top w:val="single" w:color="auto" w:sz="4" w:space="0"/>
              <w:left w:val="single" w:color="auto" w:sz="4" w:space="0"/>
              <w:bottom w:val="single" w:color="auto" w:sz="4" w:space="0"/>
              <w:right w:val="single" w:color="auto" w:sz="4" w:space="0"/>
            </w:tcBorders>
            <w:noWrap w:val="0"/>
            <w:vAlign w:val="center"/>
          </w:tcPr>
          <w:p w14:paraId="15BAE27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最不利气象</w:t>
            </w:r>
          </w:p>
        </w:tc>
      </w:tr>
      <w:tr w14:paraId="5C77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1" w:type="dxa"/>
            <w:vMerge w:val="continue"/>
            <w:tcBorders>
              <w:top w:val="single" w:color="auto" w:sz="4" w:space="0"/>
              <w:left w:val="single" w:color="auto" w:sz="4" w:space="0"/>
              <w:bottom w:val="single" w:color="auto" w:sz="4" w:space="0"/>
              <w:right w:val="single" w:color="auto" w:sz="4" w:space="0"/>
            </w:tcBorders>
            <w:noWrap w:val="0"/>
            <w:vAlign w:val="center"/>
          </w:tcPr>
          <w:p w14:paraId="0DA6553D">
            <w:pPr>
              <w:widowControl/>
              <w:jc w:val="left"/>
              <w:rPr>
                <w:rFonts w:hint="default" w:ascii="Times New Roman" w:hAnsi="Times New Roman" w:eastAsia="宋体" w:cs="Times New Roman"/>
                <w:color w:val="auto"/>
                <w:sz w:val="21"/>
                <w:szCs w:val="21"/>
              </w:rPr>
            </w:pPr>
          </w:p>
        </w:tc>
        <w:tc>
          <w:tcPr>
            <w:tcW w:w="1854" w:type="dxa"/>
            <w:tcBorders>
              <w:top w:val="single" w:color="auto" w:sz="4" w:space="0"/>
              <w:left w:val="single" w:color="auto" w:sz="4" w:space="0"/>
              <w:bottom w:val="single" w:color="auto" w:sz="4" w:space="0"/>
              <w:right w:val="single" w:color="auto" w:sz="4" w:space="0"/>
            </w:tcBorders>
            <w:noWrap w:val="0"/>
            <w:vAlign w:val="center"/>
          </w:tcPr>
          <w:p w14:paraId="1C0AB98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风速/（m/s）</w:t>
            </w:r>
          </w:p>
        </w:tc>
        <w:tc>
          <w:tcPr>
            <w:tcW w:w="5704" w:type="dxa"/>
            <w:gridSpan w:val="3"/>
            <w:tcBorders>
              <w:top w:val="single" w:color="auto" w:sz="4" w:space="0"/>
              <w:left w:val="single" w:color="auto" w:sz="4" w:space="0"/>
              <w:bottom w:val="single" w:color="auto" w:sz="4" w:space="0"/>
              <w:right w:val="single" w:color="auto" w:sz="4" w:space="0"/>
            </w:tcBorders>
            <w:noWrap w:val="0"/>
            <w:vAlign w:val="center"/>
          </w:tcPr>
          <w:p w14:paraId="5428291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1.5</w:t>
            </w:r>
          </w:p>
        </w:tc>
      </w:tr>
      <w:tr w14:paraId="7C74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1" w:type="dxa"/>
            <w:vMerge w:val="continue"/>
            <w:tcBorders>
              <w:top w:val="single" w:color="auto" w:sz="4" w:space="0"/>
              <w:left w:val="single" w:color="auto" w:sz="4" w:space="0"/>
              <w:bottom w:val="single" w:color="auto" w:sz="4" w:space="0"/>
              <w:right w:val="single" w:color="auto" w:sz="4" w:space="0"/>
            </w:tcBorders>
            <w:noWrap w:val="0"/>
            <w:vAlign w:val="center"/>
          </w:tcPr>
          <w:p w14:paraId="1778FE37">
            <w:pPr>
              <w:widowControl/>
              <w:jc w:val="left"/>
              <w:rPr>
                <w:rFonts w:hint="default" w:ascii="Times New Roman" w:hAnsi="Times New Roman" w:eastAsia="宋体" w:cs="Times New Roman"/>
                <w:color w:val="auto"/>
                <w:sz w:val="21"/>
                <w:szCs w:val="21"/>
              </w:rPr>
            </w:pPr>
          </w:p>
        </w:tc>
        <w:tc>
          <w:tcPr>
            <w:tcW w:w="1854" w:type="dxa"/>
            <w:tcBorders>
              <w:top w:val="single" w:color="auto" w:sz="4" w:space="0"/>
              <w:left w:val="single" w:color="auto" w:sz="4" w:space="0"/>
              <w:bottom w:val="single" w:color="auto" w:sz="4" w:space="0"/>
              <w:right w:val="single" w:color="auto" w:sz="4" w:space="0"/>
            </w:tcBorders>
            <w:noWrap w:val="0"/>
            <w:vAlign w:val="center"/>
          </w:tcPr>
          <w:p w14:paraId="1AE710B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环境温度/℃</w:t>
            </w:r>
          </w:p>
        </w:tc>
        <w:tc>
          <w:tcPr>
            <w:tcW w:w="5704" w:type="dxa"/>
            <w:gridSpan w:val="3"/>
            <w:tcBorders>
              <w:top w:val="single" w:color="auto" w:sz="4" w:space="0"/>
              <w:left w:val="single" w:color="auto" w:sz="4" w:space="0"/>
              <w:bottom w:val="single" w:color="auto" w:sz="4" w:space="0"/>
              <w:right w:val="single" w:color="auto" w:sz="4" w:space="0"/>
            </w:tcBorders>
            <w:noWrap w:val="0"/>
            <w:vAlign w:val="center"/>
          </w:tcPr>
          <w:p w14:paraId="310CA7E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25</w:t>
            </w:r>
          </w:p>
        </w:tc>
      </w:tr>
      <w:tr w14:paraId="157A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1" w:type="dxa"/>
            <w:vMerge w:val="continue"/>
            <w:tcBorders>
              <w:top w:val="single" w:color="auto" w:sz="4" w:space="0"/>
              <w:left w:val="single" w:color="auto" w:sz="4" w:space="0"/>
              <w:bottom w:val="single" w:color="auto" w:sz="4" w:space="0"/>
              <w:right w:val="single" w:color="auto" w:sz="4" w:space="0"/>
            </w:tcBorders>
            <w:noWrap w:val="0"/>
            <w:vAlign w:val="center"/>
          </w:tcPr>
          <w:p w14:paraId="74045CFA">
            <w:pPr>
              <w:widowControl/>
              <w:jc w:val="left"/>
              <w:rPr>
                <w:rFonts w:hint="default" w:ascii="Times New Roman" w:hAnsi="Times New Roman" w:eastAsia="宋体" w:cs="Times New Roman"/>
                <w:color w:val="auto"/>
                <w:sz w:val="21"/>
                <w:szCs w:val="21"/>
              </w:rPr>
            </w:pPr>
          </w:p>
        </w:tc>
        <w:tc>
          <w:tcPr>
            <w:tcW w:w="1854" w:type="dxa"/>
            <w:tcBorders>
              <w:top w:val="single" w:color="auto" w:sz="4" w:space="0"/>
              <w:left w:val="single" w:color="auto" w:sz="4" w:space="0"/>
              <w:bottom w:val="single" w:color="auto" w:sz="4" w:space="0"/>
              <w:right w:val="single" w:color="auto" w:sz="4" w:space="0"/>
            </w:tcBorders>
            <w:noWrap w:val="0"/>
            <w:vAlign w:val="center"/>
          </w:tcPr>
          <w:p w14:paraId="119D696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相对湿度/%</w:t>
            </w:r>
          </w:p>
        </w:tc>
        <w:tc>
          <w:tcPr>
            <w:tcW w:w="5704" w:type="dxa"/>
            <w:gridSpan w:val="3"/>
            <w:tcBorders>
              <w:top w:val="single" w:color="auto" w:sz="4" w:space="0"/>
              <w:left w:val="single" w:color="auto" w:sz="4" w:space="0"/>
              <w:bottom w:val="single" w:color="auto" w:sz="4" w:space="0"/>
              <w:right w:val="single" w:color="auto" w:sz="4" w:space="0"/>
            </w:tcBorders>
            <w:noWrap w:val="0"/>
            <w:vAlign w:val="center"/>
          </w:tcPr>
          <w:p w14:paraId="52CA4BB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w:t>
            </w:r>
          </w:p>
        </w:tc>
      </w:tr>
      <w:tr w14:paraId="08F6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1" w:type="dxa"/>
            <w:vMerge w:val="continue"/>
            <w:tcBorders>
              <w:top w:val="single" w:color="auto" w:sz="4" w:space="0"/>
              <w:left w:val="single" w:color="auto" w:sz="4" w:space="0"/>
              <w:bottom w:val="single" w:color="auto" w:sz="4" w:space="0"/>
              <w:right w:val="single" w:color="auto" w:sz="4" w:space="0"/>
            </w:tcBorders>
            <w:noWrap w:val="0"/>
            <w:vAlign w:val="center"/>
          </w:tcPr>
          <w:p w14:paraId="4CDE0579">
            <w:pPr>
              <w:widowControl/>
              <w:jc w:val="left"/>
              <w:rPr>
                <w:rFonts w:hint="default" w:ascii="Times New Roman" w:hAnsi="Times New Roman" w:eastAsia="宋体" w:cs="Times New Roman"/>
                <w:color w:val="auto"/>
                <w:sz w:val="21"/>
                <w:szCs w:val="21"/>
              </w:rPr>
            </w:pPr>
          </w:p>
        </w:tc>
        <w:tc>
          <w:tcPr>
            <w:tcW w:w="1854" w:type="dxa"/>
            <w:tcBorders>
              <w:top w:val="single" w:color="auto" w:sz="4" w:space="0"/>
              <w:left w:val="single" w:color="auto" w:sz="4" w:space="0"/>
              <w:bottom w:val="single" w:color="auto" w:sz="4" w:space="0"/>
              <w:right w:val="single" w:color="auto" w:sz="4" w:space="0"/>
            </w:tcBorders>
            <w:noWrap w:val="0"/>
            <w:vAlign w:val="center"/>
          </w:tcPr>
          <w:p w14:paraId="4944EF2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稳定度</w:t>
            </w:r>
          </w:p>
        </w:tc>
        <w:tc>
          <w:tcPr>
            <w:tcW w:w="5704" w:type="dxa"/>
            <w:gridSpan w:val="3"/>
            <w:tcBorders>
              <w:top w:val="single" w:color="auto" w:sz="4" w:space="0"/>
              <w:left w:val="single" w:color="auto" w:sz="4" w:space="0"/>
              <w:bottom w:val="single" w:color="auto" w:sz="4" w:space="0"/>
              <w:right w:val="single" w:color="auto" w:sz="4" w:space="0"/>
            </w:tcBorders>
            <w:noWrap w:val="0"/>
            <w:vAlign w:val="center"/>
          </w:tcPr>
          <w:p w14:paraId="22047743">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F</w:t>
            </w:r>
          </w:p>
        </w:tc>
      </w:tr>
      <w:tr w14:paraId="443F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1" w:type="dxa"/>
            <w:vMerge w:val="restart"/>
            <w:tcBorders>
              <w:top w:val="single" w:color="auto" w:sz="4" w:space="0"/>
              <w:left w:val="single" w:color="auto" w:sz="4" w:space="0"/>
              <w:bottom w:val="single" w:color="auto" w:sz="4" w:space="0"/>
              <w:right w:val="single" w:color="auto" w:sz="4" w:space="0"/>
            </w:tcBorders>
            <w:noWrap w:val="0"/>
            <w:vAlign w:val="center"/>
          </w:tcPr>
          <w:p w14:paraId="20A9B81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其他参数</w:t>
            </w:r>
          </w:p>
        </w:tc>
        <w:tc>
          <w:tcPr>
            <w:tcW w:w="1854" w:type="dxa"/>
            <w:tcBorders>
              <w:top w:val="single" w:color="auto" w:sz="4" w:space="0"/>
              <w:left w:val="single" w:color="auto" w:sz="4" w:space="0"/>
              <w:bottom w:val="single" w:color="auto" w:sz="4" w:space="0"/>
              <w:right w:val="single" w:color="auto" w:sz="4" w:space="0"/>
            </w:tcBorders>
            <w:noWrap w:val="0"/>
            <w:vAlign w:val="center"/>
          </w:tcPr>
          <w:p w14:paraId="4E9C6A7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地表粗糙度/m</w:t>
            </w:r>
          </w:p>
        </w:tc>
        <w:tc>
          <w:tcPr>
            <w:tcW w:w="5704" w:type="dxa"/>
            <w:gridSpan w:val="3"/>
            <w:tcBorders>
              <w:top w:val="single" w:color="auto" w:sz="4" w:space="0"/>
              <w:left w:val="single" w:color="auto" w:sz="4" w:space="0"/>
              <w:bottom w:val="single" w:color="auto" w:sz="4" w:space="0"/>
              <w:right w:val="single" w:color="auto" w:sz="4" w:space="0"/>
            </w:tcBorders>
            <w:noWrap w:val="0"/>
            <w:vAlign w:val="center"/>
          </w:tcPr>
          <w:p w14:paraId="41D00C4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0.40</w:t>
            </w:r>
          </w:p>
        </w:tc>
      </w:tr>
      <w:tr w14:paraId="75AD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1" w:type="dxa"/>
            <w:vMerge w:val="continue"/>
            <w:tcBorders>
              <w:top w:val="single" w:color="auto" w:sz="4" w:space="0"/>
              <w:left w:val="single" w:color="auto" w:sz="4" w:space="0"/>
              <w:bottom w:val="single" w:color="auto" w:sz="4" w:space="0"/>
              <w:right w:val="single" w:color="auto" w:sz="4" w:space="0"/>
            </w:tcBorders>
            <w:noWrap w:val="0"/>
            <w:vAlign w:val="center"/>
          </w:tcPr>
          <w:p w14:paraId="776E4B14">
            <w:pPr>
              <w:widowControl/>
              <w:jc w:val="left"/>
              <w:rPr>
                <w:rFonts w:hint="default" w:ascii="Times New Roman" w:hAnsi="Times New Roman" w:eastAsia="宋体" w:cs="Times New Roman"/>
                <w:color w:val="auto"/>
                <w:sz w:val="21"/>
                <w:szCs w:val="21"/>
              </w:rPr>
            </w:pPr>
          </w:p>
        </w:tc>
        <w:tc>
          <w:tcPr>
            <w:tcW w:w="1854" w:type="dxa"/>
            <w:tcBorders>
              <w:top w:val="single" w:color="auto" w:sz="4" w:space="0"/>
              <w:left w:val="single" w:color="auto" w:sz="4" w:space="0"/>
              <w:bottom w:val="single" w:color="auto" w:sz="4" w:space="0"/>
              <w:right w:val="single" w:color="auto" w:sz="4" w:space="0"/>
            </w:tcBorders>
            <w:noWrap w:val="0"/>
            <w:vAlign w:val="center"/>
          </w:tcPr>
          <w:p w14:paraId="24ACC4A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是否考虑地形</w:t>
            </w:r>
          </w:p>
        </w:tc>
        <w:tc>
          <w:tcPr>
            <w:tcW w:w="5704" w:type="dxa"/>
            <w:gridSpan w:val="3"/>
            <w:tcBorders>
              <w:top w:val="single" w:color="auto" w:sz="4" w:space="0"/>
              <w:left w:val="single" w:color="auto" w:sz="4" w:space="0"/>
              <w:bottom w:val="single" w:color="auto" w:sz="4" w:space="0"/>
              <w:right w:val="single" w:color="auto" w:sz="4" w:space="0"/>
            </w:tcBorders>
            <w:noWrap w:val="0"/>
            <w:vAlign w:val="center"/>
          </w:tcPr>
          <w:p w14:paraId="37E85F2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否</w:t>
            </w:r>
          </w:p>
        </w:tc>
      </w:tr>
      <w:tr w14:paraId="3042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31" w:type="dxa"/>
            <w:vMerge w:val="continue"/>
            <w:tcBorders>
              <w:top w:val="single" w:color="auto" w:sz="4" w:space="0"/>
              <w:left w:val="single" w:color="auto" w:sz="4" w:space="0"/>
              <w:bottom w:val="single" w:color="auto" w:sz="4" w:space="0"/>
              <w:right w:val="single" w:color="auto" w:sz="4" w:space="0"/>
            </w:tcBorders>
            <w:noWrap w:val="0"/>
            <w:vAlign w:val="center"/>
          </w:tcPr>
          <w:p w14:paraId="7314A0D5">
            <w:pPr>
              <w:widowControl/>
              <w:jc w:val="left"/>
              <w:rPr>
                <w:rFonts w:hint="default" w:ascii="Times New Roman" w:hAnsi="Times New Roman" w:eastAsia="宋体" w:cs="Times New Roman"/>
                <w:color w:val="auto"/>
                <w:sz w:val="21"/>
                <w:szCs w:val="21"/>
              </w:rPr>
            </w:pPr>
          </w:p>
        </w:tc>
        <w:tc>
          <w:tcPr>
            <w:tcW w:w="1854" w:type="dxa"/>
            <w:tcBorders>
              <w:top w:val="single" w:color="auto" w:sz="4" w:space="0"/>
              <w:left w:val="single" w:color="auto" w:sz="4" w:space="0"/>
              <w:bottom w:val="single" w:color="auto" w:sz="4" w:space="0"/>
              <w:right w:val="single" w:color="auto" w:sz="4" w:space="0"/>
            </w:tcBorders>
            <w:noWrap w:val="0"/>
            <w:vAlign w:val="center"/>
          </w:tcPr>
          <w:p w14:paraId="2FCD35A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地形数据精度/m</w:t>
            </w:r>
          </w:p>
        </w:tc>
        <w:tc>
          <w:tcPr>
            <w:tcW w:w="5704" w:type="dxa"/>
            <w:gridSpan w:val="3"/>
            <w:tcBorders>
              <w:top w:val="single" w:color="auto" w:sz="4" w:space="0"/>
              <w:left w:val="single" w:color="auto" w:sz="4" w:space="0"/>
              <w:bottom w:val="single" w:color="auto" w:sz="4" w:space="0"/>
              <w:right w:val="single" w:color="auto" w:sz="4" w:space="0"/>
            </w:tcBorders>
            <w:noWrap w:val="0"/>
            <w:vAlign w:val="center"/>
          </w:tcPr>
          <w:p w14:paraId="0236180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r>
    </w:tbl>
    <w:p w14:paraId="25E665A9">
      <w:pPr>
        <w:pStyle w:val="4"/>
        <w:numPr>
          <w:ilvl w:val="3"/>
          <w:numId w:val="10"/>
        </w:numPr>
        <w:tabs>
          <w:tab w:val="left" w:pos="1358"/>
          <w:tab w:val="left" w:pos="2153"/>
          <w:tab w:val="left" w:pos="2183"/>
        </w:tabs>
        <w:ind w:left="1358"/>
        <w:rPr>
          <w:rFonts w:hint="default" w:ascii="Times New Roman" w:hAnsi="Times New Roman" w:cs="Times New Roman"/>
          <w:color w:val="auto"/>
          <w:u w:val="none"/>
        </w:rPr>
      </w:pPr>
      <w:bookmarkStart w:id="85" w:name="_Toc13071"/>
      <w:r>
        <w:rPr>
          <w:rFonts w:hint="eastAsia" w:ascii="Times New Roman" w:hAnsi="Times New Roman" w:eastAsia="宋体" w:cs="Times New Roman"/>
          <w:color w:val="auto"/>
          <w:u w:val="none"/>
          <w:lang w:val="en-US" w:eastAsia="zh-CN"/>
        </w:rPr>
        <w:t>盐酸</w:t>
      </w:r>
      <w:r>
        <w:rPr>
          <w:rFonts w:hint="default" w:ascii="Times New Roman" w:hAnsi="Times New Roman" w:eastAsia="宋体" w:cs="Times New Roman"/>
          <w:color w:val="auto"/>
          <w:u w:val="none"/>
        </w:rPr>
        <w:t>泄漏排放下风向轴线预测结果表</w:t>
      </w:r>
      <w:bookmarkEnd w:id="85"/>
    </w:p>
    <w:tbl>
      <w:tblPr>
        <w:tblStyle w:val="19"/>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68"/>
        <w:gridCol w:w="1178"/>
        <w:gridCol w:w="1287"/>
        <w:gridCol w:w="1018"/>
        <w:gridCol w:w="973"/>
        <w:gridCol w:w="2364"/>
      </w:tblGrid>
      <w:tr w14:paraId="1F00A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206" w:type="pct"/>
            <w:vMerge w:val="restart"/>
            <w:tcBorders>
              <w:top w:val="single" w:color="000000" w:sz="4" w:space="0"/>
              <w:left w:val="single" w:color="000000" w:sz="4" w:space="0"/>
              <w:bottom w:val="single" w:color="000000" w:sz="4" w:space="0"/>
              <w:right w:val="single" w:color="000000" w:sz="4" w:space="0"/>
            </w:tcBorders>
            <w:noWrap w:val="0"/>
            <w:vAlign w:val="center"/>
          </w:tcPr>
          <w:p w14:paraId="19F5433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距离m</w:t>
            </w:r>
          </w:p>
        </w:tc>
        <w:tc>
          <w:tcPr>
            <w:tcW w:w="3793" w:type="pct"/>
            <w:gridSpan w:val="5"/>
            <w:tcBorders>
              <w:top w:val="single" w:color="000000" w:sz="4" w:space="0"/>
              <w:left w:val="single" w:color="000000" w:sz="4" w:space="0"/>
              <w:bottom w:val="single" w:color="000000" w:sz="4" w:space="0"/>
              <w:right w:val="single" w:color="000000" w:sz="4" w:space="0"/>
            </w:tcBorders>
            <w:noWrap w:val="0"/>
            <w:vAlign w:val="center"/>
          </w:tcPr>
          <w:p w14:paraId="2720D28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最不利气象条件（大气稳定度F）</w:t>
            </w:r>
          </w:p>
        </w:tc>
      </w:tr>
      <w:tr w14:paraId="2303F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20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A4936F">
            <w:pPr>
              <w:adjustRightInd w:val="0"/>
              <w:snapToGrid w:val="0"/>
              <w:jc w:val="center"/>
              <w:rPr>
                <w:rFonts w:hint="default" w:ascii="Times New Roman" w:hAnsi="Times New Roman" w:eastAsia="宋体" w:cs="Times New Roman"/>
                <w:color w:val="auto"/>
                <w:sz w:val="21"/>
                <w:szCs w:val="21"/>
              </w:rPr>
            </w:pPr>
          </w:p>
        </w:tc>
        <w:tc>
          <w:tcPr>
            <w:tcW w:w="1371" w:type="pct"/>
            <w:gridSpan w:val="2"/>
            <w:tcBorders>
              <w:top w:val="single" w:color="000000" w:sz="4" w:space="0"/>
              <w:left w:val="single" w:color="000000" w:sz="4" w:space="0"/>
              <w:bottom w:val="single" w:color="000000" w:sz="4" w:space="0"/>
              <w:right w:val="single" w:color="000000" w:sz="4" w:space="0"/>
            </w:tcBorders>
            <w:noWrap w:val="0"/>
            <w:vAlign w:val="center"/>
          </w:tcPr>
          <w:p w14:paraId="7B869A7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浓度出现时间min</w:t>
            </w:r>
          </w:p>
        </w:tc>
        <w:tc>
          <w:tcPr>
            <w:tcW w:w="1107" w:type="pct"/>
            <w:gridSpan w:val="2"/>
            <w:tcBorders>
              <w:top w:val="single" w:color="000000" w:sz="4" w:space="0"/>
              <w:left w:val="single" w:color="000000" w:sz="4" w:space="0"/>
              <w:bottom w:val="single" w:color="000000" w:sz="4" w:space="0"/>
              <w:right w:val="single" w:color="000000" w:sz="4" w:space="0"/>
            </w:tcBorders>
            <w:noWrap w:val="0"/>
            <w:vAlign w:val="center"/>
          </w:tcPr>
          <w:p w14:paraId="52D4194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高峰浓度mg/m</w:t>
            </w:r>
            <w:r>
              <w:rPr>
                <w:rFonts w:hint="default" w:ascii="Times New Roman" w:hAnsi="Times New Roman" w:eastAsia="宋体" w:cs="Times New Roman"/>
                <w:color w:val="auto"/>
                <w:sz w:val="21"/>
                <w:szCs w:val="21"/>
                <w:vertAlign w:val="superscript"/>
              </w:rPr>
              <w:t>3</w:t>
            </w:r>
          </w:p>
        </w:tc>
        <w:tc>
          <w:tcPr>
            <w:tcW w:w="1315" w:type="pct"/>
            <w:tcBorders>
              <w:top w:val="single" w:color="000000" w:sz="4" w:space="0"/>
              <w:left w:val="single" w:color="000000" w:sz="4" w:space="0"/>
              <w:bottom w:val="single" w:color="000000" w:sz="4" w:space="0"/>
              <w:right w:val="single" w:color="000000" w:sz="4" w:space="0"/>
            </w:tcBorders>
            <w:noWrap w:val="0"/>
            <w:vAlign w:val="center"/>
          </w:tcPr>
          <w:p w14:paraId="17D931D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质心浓度</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r w14:paraId="78DD1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04F9C70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371" w:type="pct"/>
            <w:gridSpan w:val="2"/>
            <w:tcBorders>
              <w:top w:val="single" w:color="000000" w:sz="4" w:space="0"/>
              <w:left w:val="single" w:color="000000" w:sz="4" w:space="0"/>
              <w:bottom w:val="single" w:color="000000" w:sz="4" w:space="0"/>
              <w:right w:val="single" w:color="000000" w:sz="4" w:space="0"/>
            </w:tcBorders>
            <w:noWrap w:val="0"/>
            <w:vAlign w:val="center"/>
          </w:tcPr>
          <w:p w14:paraId="5D79D49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0.86</w:t>
            </w:r>
          </w:p>
        </w:tc>
        <w:tc>
          <w:tcPr>
            <w:tcW w:w="1107" w:type="pct"/>
            <w:gridSpan w:val="2"/>
            <w:tcBorders>
              <w:top w:val="single" w:color="000000" w:sz="4" w:space="0"/>
              <w:left w:val="single" w:color="000000" w:sz="4" w:space="0"/>
              <w:bottom w:val="single" w:color="000000" w:sz="4" w:space="0"/>
              <w:right w:val="single" w:color="000000" w:sz="4" w:space="0"/>
            </w:tcBorders>
            <w:noWrap w:val="0"/>
            <w:vAlign w:val="center"/>
          </w:tcPr>
          <w:p w14:paraId="65C1D17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3.9986E+03</w:t>
            </w:r>
          </w:p>
        </w:tc>
        <w:tc>
          <w:tcPr>
            <w:tcW w:w="2364" w:type="dxa"/>
            <w:tcBorders>
              <w:top w:val="single" w:color="000000" w:sz="4" w:space="0"/>
              <w:left w:val="single" w:color="000000" w:sz="4" w:space="0"/>
              <w:bottom w:val="single" w:color="000000" w:sz="4" w:space="0"/>
              <w:right w:val="single" w:color="000000" w:sz="4" w:space="0"/>
            </w:tcBorders>
            <w:noWrap w:val="0"/>
            <w:vAlign w:val="center"/>
          </w:tcPr>
          <w:p w14:paraId="7C25C2B6">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3.9986E+03</w:t>
            </w:r>
          </w:p>
        </w:tc>
      </w:tr>
      <w:tr w14:paraId="66AB7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6DEF29A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371" w:type="pct"/>
            <w:gridSpan w:val="2"/>
            <w:tcBorders>
              <w:top w:val="single" w:color="000000" w:sz="4" w:space="0"/>
              <w:left w:val="single" w:color="000000" w:sz="4" w:space="0"/>
              <w:bottom w:val="single" w:color="000000" w:sz="4" w:space="0"/>
              <w:right w:val="single" w:color="000000" w:sz="4" w:space="0"/>
            </w:tcBorders>
            <w:noWrap w:val="0"/>
            <w:vAlign w:val="center"/>
          </w:tcPr>
          <w:p w14:paraId="55B149E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2.42</w:t>
            </w:r>
          </w:p>
        </w:tc>
        <w:tc>
          <w:tcPr>
            <w:tcW w:w="1107" w:type="pct"/>
            <w:gridSpan w:val="2"/>
            <w:tcBorders>
              <w:top w:val="single" w:color="000000" w:sz="4" w:space="0"/>
              <w:left w:val="single" w:color="000000" w:sz="4" w:space="0"/>
              <w:bottom w:val="single" w:color="000000" w:sz="4" w:space="0"/>
              <w:right w:val="single" w:color="000000" w:sz="4" w:space="0"/>
            </w:tcBorders>
            <w:noWrap w:val="0"/>
            <w:vAlign w:val="center"/>
          </w:tcPr>
          <w:p w14:paraId="1F992CC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7.4341E+02</w:t>
            </w:r>
          </w:p>
        </w:tc>
        <w:tc>
          <w:tcPr>
            <w:tcW w:w="2364" w:type="dxa"/>
            <w:tcBorders>
              <w:top w:val="single" w:color="000000" w:sz="4" w:space="0"/>
              <w:left w:val="single" w:color="000000" w:sz="4" w:space="0"/>
              <w:bottom w:val="single" w:color="000000" w:sz="4" w:space="0"/>
              <w:right w:val="single" w:color="000000" w:sz="4" w:space="0"/>
            </w:tcBorders>
            <w:noWrap w:val="0"/>
            <w:vAlign w:val="center"/>
          </w:tcPr>
          <w:p w14:paraId="3664E37D">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7.4341E+02</w:t>
            </w:r>
          </w:p>
        </w:tc>
      </w:tr>
      <w:tr w14:paraId="7E589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1C3BF04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371" w:type="pct"/>
            <w:gridSpan w:val="2"/>
            <w:tcBorders>
              <w:top w:val="single" w:color="000000" w:sz="4" w:space="0"/>
              <w:left w:val="single" w:color="000000" w:sz="4" w:space="0"/>
              <w:bottom w:val="single" w:color="000000" w:sz="4" w:space="0"/>
              <w:right w:val="single" w:color="000000" w:sz="4" w:space="0"/>
            </w:tcBorders>
            <w:noWrap w:val="0"/>
            <w:vAlign w:val="center"/>
          </w:tcPr>
          <w:p w14:paraId="2C39157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3.80</w:t>
            </w:r>
          </w:p>
        </w:tc>
        <w:tc>
          <w:tcPr>
            <w:tcW w:w="1107" w:type="pct"/>
            <w:gridSpan w:val="2"/>
            <w:tcBorders>
              <w:top w:val="single" w:color="000000" w:sz="4" w:space="0"/>
              <w:left w:val="single" w:color="000000" w:sz="4" w:space="0"/>
              <w:bottom w:val="single" w:color="000000" w:sz="4" w:space="0"/>
              <w:right w:val="single" w:color="000000" w:sz="4" w:space="0"/>
            </w:tcBorders>
            <w:noWrap w:val="0"/>
            <w:vAlign w:val="center"/>
          </w:tcPr>
          <w:p w14:paraId="4F6ADCB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3.6632E+02</w:t>
            </w:r>
          </w:p>
        </w:tc>
        <w:tc>
          <w:tcPr>
            <w:tcW w:w="2364" w:type="dxa"/>
            <w:tcBorders>
              <w:top w:val="single" w:color="000000" w:sz="4" w:space="0"/>
              <w:left w:val="single" w:color="000000" w:sz="4" w:space="0"/>
              <w:bottom w:val="single" w:color="000000" w:sz="4" w:space="0"/>
              <w:right w:val="single" w:color="000000" w:sz="4" w:space="0"/>
            </w:tcBorders>
            <w:noWrap w:val="0"/>
            <w:vAlign w:val="center"/>
          </w:tcPr>
          <w:p w14:paraId="13717073">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3.6632E+02</w:t>
            </w:r>
          </w:p>
        </w:tc>
      </w:tr>
      <w:tr w14:paraId="6ADEC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78CDEE6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371" w:type="pct"/>
            <w:gridSpan w:val="2"/>
            <w:tcBorders>
              <w:top w:val="single" w:color="000000" w:sz="4" w:space="0"/>
              <w:left w:val="single" w:color="000000" w:sz="4" w:space="0"/>
              <w:bottom w:val="single" w:color="000000" w:sz="4" w:space="0"/>
              <w:right w:val="single" w:color="000000" w:sz="4" w:space="0"/>
            </w:tcBorders>
            <w:noWrap w:val="0"/>
            <w:vAlign w:val="center"/>
          </w:tcPr>
          <w:p w14:paraId="1A8DEBB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11.29</w:t>
            </w:r>
          </w:p>
        </w:tc>
        <w:tc>
          <w:tcPr>
            <w:tcW w:w="1107" w:type="pct"/>
            <w:gridSpan w:val="2"/>
            <w:tcBorders>
              <w:top w:val="single" w:color="000000" w:sz="4" w:space="0"/>
              <w:left w:val="single" w:color="000000" w:sz="4" w:space="0"/>
              <w:bottom w:val="single" w:color="000000" w:sz="4" w:space="0"/>
              <w:right w:val="single" w:color="000000" w:sz="4" w:space="0"/>
            </w:tcBorders>
            <w:noWrap w:val="0"/>
            <w:vAlign w:val="center"/>
          </w:tcPr>
          <w:p w14:paraId="385D1FC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5.6841E+01</w:t>
            </w:r>
          </w:p>
        </w:tc>
        <w:tc>
          <w:tcPr>
            <w:tcW w:w="2364" w:type="dxa"/>
            <w:tcBorders>
              <w:top w:val="single" w:color="000000" w:sz="4" w:space="0"/>
              <w:left w:val="single" w:color="000000" w:sz="4" w:space="0"/>
              <w:bottom w:val="single" w:color="000000" w:sz="4" w:space="0"/>
              <w:right w:val="single" w:color="000000" w:sz="4" w:space="0"/>
            </w:tcBorders>
            <w:noWrap w:val="0"/>
            <w:vAlign w:val="center"/>
          </w:tcPr>
          <w:p w14:paraId="5F2477D8">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5.6841E+01</w:t>
            </w:r>
          </w:p>
        </w:tc>
      </w:tr>
      <w:tr w14:paraId="371CB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76EBF81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371" w:type="pct"/>
            <w:gridSpan w:val="2"/>
            <w:tcBorders>
              <w:top w:val="single" w:color="000000" w:sz="4" w:space="0"/>
              <w:left w:val="single" w:color="000000" w:sz="4" w:space="0"/>
              <w:bottom w:val="single" w:color="000000" w:sz="4" w:space="0"/>
              <w:right w:val="single" w:color="000000" w:sz="4" w:space="0"/>
            </w:tcBorders>
            <w:noWrap w:val="0"/>
            <w:vAlign w:val="center"/>
          </w:tcPr>
          <w:p w14:paraId="6DF88B1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18.44</w:t>
            </w:r>
          </w:p>
        </w:tc>
        <w:tc>
          <w:tcPr>
            <w:tcW w:w="1107" w:type="pct"/>
            <w:gridSpan w:val="2"/>
            <w:tcBorders>
              <w:top w:val="single" w:color="000000" w:sz="4" w:space="0"/>
              <w:left w:val="single" w:color="000000" w:sz="4" w:space="0"/>
              <w:bottom w:val="single" w:color="000000" w:sz="4" w:space="0"/>
              <w:right w:val="single" w:color="000000" w:sz="4" w:space="0"/>
            </w:tcBorders>
            <w:noWrap w:val="0"/>
            <w:vAlign w:val="center"/>
          </w:tcPr>
          <w:p w14:paraId="36E5AD6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1.9505E+01</w:t>
            </w:r>
          </w:p>
        </w:tc>
        <w:tc>
          <w:tcPr>
            <w:tcW w:w="2364" w:type="dxa"/>
            <w:tcBorders>
              <w:top w:val="single" w:color="000000" w:sz="4" w:space="0"/>
              <w:left w:val="single" w:color="000000" w:sz="4" w:space="0"/>
              <w:bottom w:val="single" w:color="000000" w:sz="4" w:space="0"/>
              <w:right w:val="single" w:color="000000" w:sz="4" w:space="0"/>
            </w:tcBorders>
            <w:noWrap w:val="0"/>
            <w:vAlign w:val="center"/>
          </w:tcPr>
          <w:p w14:paraId="35AC505E">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1.9505E+01</w:t>
            </w:r>
          </w:p>
        </w:tc>
      </w:tr>
      <w:tr w14:paraId="23BC4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45EAD12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w:t>
            </w:r>
          </w:p>
        </w:tc>
        <w:tc>
          <w:tcPr>
            <w:tcW w:w="1371" w:type="pct"/>
            <w:gridSpan w:val="2"/>
            <w:tcBorders>
              <w:top w:val="single" w:color="000000" w:sz="4" w:space="0"/>
              <w:left w:val="single" w:color="000000" w:sz="4" w:space="0"/>
              <w:bottom w:val="single" w:color="000000" w:sz="4" w:space="0"/>
              <w:right w:val="single" w:color="000000" w:sz="4" w:space="0"/>
            </w:tcBorders>
            <w:noWrap w:val="0"/>
            <w:vAlign w:val="center"/>
          </w:tcPr>
          <w:p w14:paraId="1394829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24.73</w:t>
            </w:r>
          </w:p>
        </w:tc>
        <w:tc>
          <w:tcPr>
            <w:tcW w:w="1107" w:type="pct"/>
            <w:gridSpan w:val="2"/>
            <w:tcBorders>
              <w:top w:val="single" w:color="000000" w:sz="4" w:space="0"/>
              <w:left w:val="single" w:color="000000" w:sz="4" w:space="0"/>
              <w:bottom w:val="single" w:color="000000" w:sz="4" w:space="0"/>
              <w:right w:val="single" w:color="000000" w:sz="4" w:space="0"/>
            </w:tcBorders>
            <w:noWrap w:val="0"/>
            <w:vAlign w:val="center"/>
          </w:tcPr>
          <w:p w14:paraId="5FA1453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9.5341E+00</w:t>
            </w:r>
          </w:p>
        </w:tc>
        <w:tc>
          <w:tcPr>
            <w:tcW w:w="2364" w:type="dxa"/>
            <w:tcBorders>
              <w:top w:val="single" w:color="000000" w:sz="4" w:space="0"/>
              <w:left w:val="single" w:color="000000" w:sz="4" w:space="0"/>
              <w:bottom w:val="single" w:color="000000" w:sz="4" w:space="0"/>
              <w:right w:val="single" w:color="000000" w:sz="4" w:space="0"/>
            </w:tcBorders>
            <w:noWrap w:val="0"/>
            <w:vAlign w:val="center"/>
          </w:tcPr>
          <w:p w14:paraId="14666EB7">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9.5341E+00</w:t>
            </w:r>
          </w:p>
        </w:tc>
      </w:tr>
      <w:tr w14:paraId="46D6D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59A6007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371" w:type="pct"/>
            <w:gridSpan w:val="2"/>
            <w:tcBorders>
              <w:top w:val="single" w:color="000000" w:sz="4" w:space="0"/>
              <w:left w:val="single" w:color="000000" w:sz="4" w:space="0"/>
              <w:bottom w:val="single" w:color="000000" w:sz="4" w:space="0"/>
              <w:right w:val="single" w:color="000000" w:sz="4" w:space="0"/>
            </w:tcBorders>
            <w:noWrap w:val="0"/>
            <w:vAlign w:val="center"/>
          </w:tcPr>
          <w:p w14:paraId="6D1304B9">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30.53</w:t>
            </w:r>
          </w:p>
        </w:tc>
        <w:tc>
          <w:tcPr>
            <w:tcW w:w="1107" w:type="pct"/>
            <w:gridSpan w:val="2"/>
            <w:tcBorders>
              <w:top w:val="single" w:color="000000" w:sz="4" w:space="0"/>
              <w:left w:val="single" w:color="000000" w:sz="4" w:space="0"/>
              <w:bottom w:val="single" w:color="000000" w:sz="4" w:space="0"/>
              <w:right w:val="single" w:color="000000" w:sz="4" w:space="0"/>
            </w:tcBorders>
            <w:noWrap w:val="0"/>
            <w:vAlign w:val="center"/>
          </w:tcPr>
          <w:p w14:paraId="681828F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5.5795E+00</w:t>
            </w:r>
          </w:p>
        </w:tc>
        <w:tc>
          <w:tcPr>
            <w:tcW w:w="2364" w:type="dxa"/>
            <w:tcBorders>
              <w:top w:val="single" w:color="000000" w:sz="4" w:space="0"/>
              <w:left w:val="single" w:color="000000" w:sz="4" w:space="0"/>
              <w:bottom w:val="single" w:color="000000" w:sz="4" w:space="0"/>
              <w:right w:val="single" w:color="000000" w:sz="4" w:space="0"/>
            </w:tcBorders>
            <w:noWrap w:val="0"/>
            <w:vAlign w:val="center"/>
          </w:tcPr>
          <w:p w14:paraId="0693EEC5">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5.5795E+00</w:t>
            </w:r>
          </w:p>
        </w:tc>
      </w:tr>
      <w:tr w14:paraId="63B8D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429EEC7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2500</w:t>
            </w:r>
          </w:p>
        </w:tc>
        <w:tc>
          <w:tcPr>
            <w:tcW w:w="1371" w:type="pct"/>
            <w:gridSpan w:val="2"/>
            <w:tcBorders>
              <w:top w:val="single" w:color="000000" w:sz="4" w:space="0"/>
              <w:left w:val="single" w:color="000000" w:sz="4" w:space="0"/>
              <w:bottom w:val="single" w:color="000000" w:sz="4" w:space="0"/>
              <w:right w:val="single" w:color="000000" w:sz="4" w:space="0"/>
            </w:tcBorders>
            <w:noWrap w:val="0"/>
            <w:vAlign w:val="center"/>
          </w:tcPr>
          <w:p w14:paraId="7F62820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36.02</w:t>
            </w:r>
          </w:p>
        </w:tc>
        <w:tc>
          <w:tcPr>
            <w:tcW w:w="1107" w:type="pct"/>
            <w:gridSpan w:val="2"/>
            <w:tcBorders>
              <w:top w:val="single" w:color="000000" w:sz="4" w:space="0"/>
              <w:left w:val="single" w:color="000000" w:sz="4" w:space="0"/>
              <w:bottom w:val="single" w:color="000000" w:sz="4" w:space="0"/>
              <w:right w:val="single" w:color="000000" w:sz="4" w:space="0"/>
            </w:tcBorders>
            <w:noWrap w:val="0"/>
            <w:vAlign w:val="center"/>
          </w:tcPr>
          <w:p w14:paraId="2891BE1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3.6063E+00</w:t>
            </w:r>
          </w:p>
        </w:tc>
        <w:tc>
          <w:tcPr>
            <w:tcW w:w="2364" w:type="dxa"/>
            <w:tcBorders>
              <w:top w:val="single" w:color="000000" w:sz="4" w:space="0"/>
              <w:left w:val="single" w:color="000000" w:sz="4" w:space="0"/>
              <w:bottom w:val="single" w:color="000000" w:sz="4" w:space="0"/>
              <w:right w:val="single" w:color="000000" w:sz="4" w:space="0"/>
            </w:tcBorders>
            <w:noWrap w:val="0"/>
            <w:vAlign w:val="center"/>
          </w:tcPr>
          <w:p w14:paraId="5D26A942">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3.6063E+00</w:t>
            </w:r>
          </w:p>
        </w:tc>
      </w:tr>
      <w:tr w14:paraId="3BAC7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1D5B8F1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w:t>
            </w:r>
          </w:p>
        </w:tc>
        <w:tc>
          <w:tcPr>
            <w:tcW w:w="1371" w:type="pct"/>
            <w:gridSpan w:val="2"/>
            <w:tcBorders>
              <w:top w:val="single" w:color="000000" w:sz="4" w:space="0"/>
              <w:left w:val="single" w:color="000000" w:sz="4" w:space="0"/>
              <w:bottom w:val="single" w:color="000000" w:sz="4" w:space="0"/>
              <w:right w:val="single" w:color="000000" w:sz="4" w:space="0"/>
            </w:tcBorders>
            <w:noWrap w:val="0"/>
            <w:vAlign w:val="center"/>
          </w:tcPr>
          <w:p w14:paraId="24C7774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41.27</w:t>
            </w:r>
          </w:p>
        </w:tc>
        <w:tc>
          <w:tcPr>
            <w:tcW w:w="1107" w:type="pct"/>
            <w:gridSpan w:val="2"/>
            <w:tcBorders>
              <w:top w:val="single" w:color="000000" w:sz="4" w:space="0"/>
              <w:left w:val="single" w:color="000000" w:sz="4" w:space="0"/>
              <w:bottom w:val="single" w:color="000000" w:sz="4" w:space="0"/>
              <w:right w:val="single" w:color="000000" w:sz="4" w:space="0"/>
            </w:tcBorders>
            <w:noWrap w:val="0"/>
            <w:vAlign w:val="center"/>
          </w:tcPr>
          <w:p w14:paraId="6D88378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2.5036E+00</w:t>
            </w:r>
          </w:p>
        </w:tc>
        <w:tc>
          <w:tcPr>
            <w:tcW w:w="2364" w:type="dxa"/>
            <w:tcBorders>
              <w:top w:val="single" w:color="000000" w:sz="4" w:space="0"/>
              <w:left w:val="single" w:color="000000" w:sz="4" w:space="0"/>
              <w:bottom w:val="single" w:color="000000" w:sz="4" w:space="0"/>
              <w:right w:val="single" w:color="000000" w:sz="4" w:space="0"/>
            </w:tcBorders>
            <w:noWrap w:val="0"/>
            <w:vAlign w:val="center"/>
          </w:tcPr>
          <w:p w14:paraId="1680B1AA">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2.5036E+00</w:t>
            </w:r>
          </w:p>
        </w:tc>
      </w:tr>
      <w:tr w14:paraId="6444C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410724D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3500</w:t>
            </w:r>
          </w:p>
        </w:tc>
        <w:tc>
          <w:tcPr>
            <w:tcW w:w="1371" w:type="pct"/>
            <w:gridSpan w:val="2"/>
            <w:tcBorders>
              <w:top w:val="single" w:color="000000" w:sz="4" w:space="0"/>
              <w:left w:val="single" w:color="000000" w:sz="4" w:space="0"/>
              <w:bottom w:val="single" w:color="000000" w:sz="4" w:space="0"/>
              <w:right w:val="single" w:color="000000" w:sz="4" w:space="0"/>
            </w:tcBorders>
            <w:noWrap w:val="0"/>
            <w:vAlign w:val="center"/>
          </w:tcPr>
          <w:p w14:paraId="2DEFBAB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46.34</w:t>
            </w:r>
          </w:p>
        </w:tc>
        <w:tc>
          <w:tcPr>
            <w:tcW w:w="1107" w:type="pct"/>
            <w:gridSpan w:val="2"/>
            <w:tcBorders>
              <w:top w:val="single" w:color="000000" w:sz="4" w:space="0"/>
              <w:left w:val="single" w:color="000000" w:sz="4" w:space="0"/>
              <w:bottom w:val="single" w:color="000000" w:sz="4" w:space="0"/>
              <w:right w:val="single" w:color="000000" w:sz="4" w:space="0"/>
            </w:tcBorders>
            <w:noWrap w:val="0"/>
            <w:vAlign w:val="center"/>
          </w:tcPr>
          <w:p w14:paraId="5C47501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1.8312E+00</w:t>
            </w:r>
          </w:p>
        </w:tc>
        <w:tc>
          <w:tcPr>
            <w:tcW w:w="2364" w:type="dxa"/>
            <w:tcBorders>
              <w:top w:val="single" w:color="000000" w:sz="4" w:space="0"/>
              <w:left w:val="single" w:color="000000" w:sz="4" w:space="0"/>
              <w:bottom w:val="single" w:color="000000" w:sz="4" w:space="0"/>
              <w:right w:val="single" w:color="000000" w:sz="4" w:space="0"/>
            </w:tcBorders>
            <w:noWrap w:val="0"/>
            <w:vAlign w:val="center"/>
          </w:tcPr>
          <w:p w14:paraId="09DF114E">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1.8312E+00</w:t>
            </w:r>
          </w:p>
        </w:tc>
      </w:tr>
      <w:tr w14:paraId="5AB7D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40901D5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w:t>
            </w:r>
          </w:p>
        </w:tc>
        <w:tc>
          <w:tcPr>
            <w:tcW w:w="1371" w:type="pct"/>
            <w:gridSpan w:val="2"/>
            <w:tcBorders>
              <w:top w:val="single" w:color="000000" w:sz="4" w:space="0"/>
              <w:left w:val="single" w:color="000000" w:sz="4" w:space="0"/>
              <w:bottom w:val="single" w:color="000000" w:sz="4" w:space="0"/>
              <w:right w:val="single" w:color="000000" w:sz="4" w:space="0"/>
            </w:tcBorders>
            <w:noWrap w:val="0"/>
            <w:vAlign w:val="center"/>
          </w:tcPr>
          <w:p w14:paraId="4BA82A7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51.26</w:t>
            </w:r>
          </w:p>
        </w:tc>
        <w:tc>
          <w:tcPr>
            <w:tcW w:w="1107" w:type="pct"/>
            <w:gridSpan w:val="2"/>
            <w:tcBorders>
              <w:top w:val="single" w:color="000000" w:sz="4" w:space="0"/>
              <w:left w:val="single" w:color="000000" w:sz="4" w:space="0"/>
              <w:bottom w:val="single" w:color="000000" w:sz="4" w:space="0"/>
              <w:right w:val="single" w:color="000000" w:sz="4" w:space="0"/>
            </w:tcBorders>
            <w:noWrap w:val="0"/>
            <w:vAlign w:val="center"/>
          </w:tcPr>
          <w:p w14:paraId="09808F4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1.3934E+00</w:t>
            </w:r>
          </w:p>
        </w:tc>
        <w:tc>
          <w:tcPr>
            <w:tcW w:w="2364" w:type="dxa"/>
            <w:tcBorders>
              <w:top w:val="single" w:color="000000" w:sz="4" w:space="0"/>
              <w:left w:val="single" w:color="000000" w:sz="4" w:space="0"/>
              <w:bottom w:val="single" w:color="000000" w:sz="4" w:space="0"/>
              <w:right w:val="single" w:color="000000" w:sz="4" w:space="0"/>
            </w:tcBorders>
            <w:noWrap w:val="0"/>
            <w:vAlign w:val="center"/>
          </w:tcPr>
          <w:p w14:paraId="0A135DFD">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1.3934E+00</w:t>
            </w:r>
          </w:p>
        </w:tc>
      </w:tr>
      <w:tr w14:paraId="4F072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3F3D0EE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c>
          <w:tcPr>
            <w:tcW w:w="1371" w:type="pct"/>
            <w:gridSpan w:val="2"/>
            <w:tcBorders>
              <w:top w:val="single" w:color="000000" w:sz="4" w:space="0"/>
              <w:left w:val="single" w:color="000000" w:sz="4" w:space="0"/>
              <w:bottom w:val="single" w:color="000000" w:sz="4" w:space="0"/>
              <w:right w:val="single" w:color="000000" w:sz="4" w:space="0"/>
            </w:tcBorders>
            <w:noWrap w:val="0"/>
            <w:vAlign w:val="center"/>
          </w:tcPr>
          <w:p w14:paraId="2286121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56.06</w:t>
            </w:r>
          </w:p>
        </w:tc>
        <w:tc>
          <w:tcPr>
            <w:tcW w:w="1107" w:type="pct"/>
            <w:gridSpan w:val="2"/>
            <w:tcBorders>
              <w:top w:val="single" w:color="000000" w:sz="4" w:space="0"/>
              <w:left w:val="single" w:color="000000" w:sz="4" w:space="0"/>
              <w:bottom w:val="single" w:color="000000" w:sz="4" w:space="0"/>
              <w:right w:val="single" w:color="000000" w:sz="4" w:space="0"/>
            </w:tcBorders>
            <w:noWrap w:val="0"/>
            <w:vAlign w:val="center"/>
          </w:tcPr>
          <w:p w14:paraId="661F01B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1.0890E+00</w:t>
            </w:r>
          </w:p>
        </w:tc>
        <w:tc>
          <w:tcPr>
            <w:tcW w:w="2364" w:type="dxa"/>
            <w:tcBorders>
              <w:top w:val="single" w:color="000000" w:sz="4" w:space="0"/>
              <w:left w:val="single" w:color="000000" w:sz="4" w:space="0"/>
              <w:bottom w:val="single" w:color="000000" w:sz="4" w:space="0"/>
              <w:right w:val="single" w:color="000000" w:sz="4" w:space="0"/>
            </w:tcBorders>
            <w:noWrap w:val="0"/>
            <w:vAlign w:val="center"/>
          </w:tcPr>
          <w:p w14:paraId="49E462E8">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1.0890E+00</w:t>
            </w:r>
          </w:p>
        </w:tc>
      </w:tr>
      <w:tr w14:paraId="5CC9B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5D039ED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w:t>
            </w:r>
          </w:p>
        </w:tc>
        <w:tc>
          <w:tcPr>
            <w:tcW w:w="1371" w:type="pct"/>
            <w:gridSpan w:val="2"/>
            <w:tcBorders>
              <w:top w:val="single" w:color="000000" w:sz="4" w:space="0"/>
              <w:left w:val="single" w:color="000000" w:sz="4" w:space="0"/>
              <w:bottom w:val="single" w:color="000000" w:sz="4" w:space="0"/>
              <w:right w:val="single" w:color="000000" w:sz="4" w:space="0"/>
            </w:tcBorders>
            <w:noWrap w:val="0"/>
            <w:vAlign w:val="center"/>
          </w:tcPr>
          <w:p w14:paraId="65F4DB2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60.76</w:t>
            </w:r>
          </w:p>
        </w:tc>
        <w:tc>
          <w:tcPr>
            <w:tcW w:w="1107" w:type="pct"/>
            <w:gridSpan w:val="2"/>
            <w:tcBorders>
              <w:top w:val="single" w:color="000000" w:sz="4" w:space="0"/>
              <w:left w:val="single" w:color="000000" w:sz="4" w:space="0"/>
              <w:bottom w:val="single" w:color="000000" w:sz="4" w:space="0"/>
              <w:right w:val="single" w:color="000000" w:sz="4" w:space="0"/>
            </w:tcBorders>
            <w:noWrap w:val="0"/>
            <w:vAlign w:val="center"/>
          </w:tcPr>
          <w:p w14:paraId="1E1CBBA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8.7601E-01</w:t>
            </w:r>
          </w:p>
        </w:tc>
        <w:tc>
          <w:tcPr>
            <w:tcW w:w="2364" w:type="dxa"/>
            <w:tcBorders>
              <w:top w:val="single" w:color="000000" w:sz="4" w:space="0"/>
              <w:left w:val="single" w:color="000000" w:sz="4" w:space="0"/>
              <w:bottom w:val="single" w:color="000000" w:sz="4" w:space="0"/>
              <w:right w:val="single" w:color="000000" w:sz="4" w:space="0"/>
            </w:tcBorders>
            <w:noWrap w:val="0"/>
            <w:vAlign w:val="center"/>
          </w:tcPr>
          <w:p w14:paraId="7D47B221">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8.7601E-01</w:t>
            </w:r>
          </w:p>
        </w:tc>
      </w:tr>
      <w:tr w14:paraId="3B37F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3883F9A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大气毒性终点浓度-1对应位置m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1103B4FD">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起点</w:t>
            </w:r>
          </w:p>
        </w:tc>
        <w:tc>
          <w:tcPr>
            <w:tcW w:w="715" w:type="pct"/>
            <w:tcBorders>
              <w:top w:val="single" w:color="000000" w:sz="4" w:space="0"/>
              <w:left w:val="single" w:color="000000" w:sz="4" w:space="0"/>
              <w:bottom w:val="single" w:color="000000" w:sz="4" w:space="0"/>
              <w:right w:val="single" w:color="000000" w:sz="4" w:space="0"/>
            </w:tcBorders>
            <w:noWrap w:val="0"/>
            <w:vAlign w:val="center"/>
          </w:tcPr>
          <w:p w14:paraId="03F7C73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14:paraId="630ABBE8">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终点</w:t>
            </w:r>
          </w:p>
        </w:tc>
        <w:tc>
          <w:tcPr>
            <w:tcW w:w="1856" w:type="pct"/>
            <w:gridSpan w:val="2"/>
            <w:tcBorders>
              <w:top w:val="single" w:color="000000" w:sz="4" w:space="0"/>
              <w:left w:val="single" w:color="000000" w:sz="4" w:space="0"/>
              <w:bottom w:val="single" w:color="000000" w:sz="4" w:space="0"/>
              <w:right w:val="single" w:color="000000" w:sz="4" w:space="0"/>
            </w:tcBorders>
            <w:noWrap w:val="0"/>
            <w:vAlign w:val="center"/>
          </w:tcPr>
          <w:p w14:paraId="5376EF0C">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220</w:t>
            </w:r>
          </w:p>
        </w:tc>
      </w:tr>
      <w:tr w14:paraId="27DFE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206" w:type="pct"/>
            <w:tcBorders>
              <w:top w:val="single" w:color="000000" w:sz="4" w:space="0"/>
              <w:left w:val="single" w:color="000000" w:sz="4" w:space="0"/>
              <w:bottom w:val="single" w:color="000000" w:sz="4" w:space="0"/>
              <w:right w:val="single" w:color="000000" w:sz="4" w:space="0"/>
            </w:tcBorders>
            <w:noWrap w:val="0"/>
            <w:vAlign w:val="center"/>
          </w:tcPr>
          <w:p w14:paraId="18F9336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大气毒性终点浓度-2对应位置m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14:paraId="2682BC61">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起点</w:t>
            </w:r>
          </w:p>
        </w:tc>
        <w:tc>
          <w:tcPr>
            <w:tcW w:w="715" w:type="pct"/>
            <w:tcBorders>
              <w:top w:val="single" w:color="000000" w:sz="4" w:space="0"/>
              <w:left w:val="single" w:color="000000" w:sz="4" w:space="0"/>
              <w:bottom w:val="single" w:color="000000" w:sz="4" w:space="0"/>
              <w:right w:val="single" w:color="000000" w:sz="4" w:space="0"/>
            </w:tcBorders>
            <w:noWrap w:val="0"/>
            <w:vAlign w:val="center"/>
          </w:tcPr>
          <w:p w14:paraId="2EB7282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14:paraId="0E3B750B">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终点</w:t>
            </w:r>
          </w:p>
        </w:tc>
        <w:tc>
          <w:tcPr>
            <w:tcW w:w="1856" w:type="pct"/>
            <w:gridSpan w:val="2"/>
            <w:tcBorders>
              <w:top w:val="single" w:color="000000" w:sz="4" w:space="0"/>
              <w:left w:val="single" w:color="000000" w:sz="4" w:space="0"/>
              <w:bottom w:val="single" w:color="000000" w:sz="4" w:space="0"/>
              <w:right w:val="single" w:color="000000" w:sz="4" w:space="0"/>
            </w:tcBorders>
            <w:noWrap w:val="0"/>
            <w:vAlign w:val="center"/>
          </w:tcPr>
          <w:p w14:paraId="48F98BE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720</w:t>
            </w:r>
          </w:p>
        </w:tc>
      </w:tr>
    </w:tbl>
    <w:p w14:paraId="02398B85">
      <w:pPr>
        <w:pStyle w:val="4"/>
        <w:numPr>
          <w:ilvl w:val="3"/>
          <w:numId w:val="10"/>
        </w:numPr>
        <w:tabs>
          <w:tab w:val="left" w:pos="1358"/>
          <w:tab w:val="left" w:pos="2153"/>
          <w:tab w:val="left" w:pos="2183"/>
        </w:tabs>
        <w:ind w:left="1358"/>
        <w:rPr>
          <w:rFonts w:hint="default" w:ascii="Times New Roman" w:hAnsi="Times New Roman" w:eastAsia="宋体" w:cs="Times New Roman"/>
          <w:b/>
          <w:color w:val="auto"/>
          <w:u w:val="none"/>
        </w:rPr>
      </w:pPr>
      <w:bookmarkStart w:id="86" w:name="_Toc21691"/>
      <w:r>
        <w:rPr>
          <w:rFonts w:hint="default" w:ascii="Times New Roman" w:hAnsi="Times New Roman" w:eastAsia="宋体" w:cs="Times New Roman"/>
          <w:b/>
          <w:color w:val="auto"/>
          <w:u w:val="none"/>
        </w:rPr>
        <w:t>关心点</w:t>
      </w:r>
      <w:r>
        <w:rPr>
          <w:rFonts w:hint="eastAsia" w:ascii="Times New Roman" w:hAnsi="Times New Roman" w:cs="Times New Roman"/>
          <w:b/>
          <w:color w:val="auto"/>
          <w:u w:val="none"/>
          <w:lang w:val="en-US" w:eastAsia="zh-CN"/>
        </w:rPr>
        <w:t>HCl</w:t>
      </w:r>
      <w:r>
        <w:rPr>
          <w:rFonts w:hint="default" w:ascii="Times New Roman" w:hAnsi="Times New Roman" w:eastAsia="宋体" w:cs="Times New Roman"/>
          <w:b/>
          <w:color w:val="auto"/>
          <w:u w:val="none"/>
        </w:rPr>
        <w:t>浓度随时间变化情况   单位：mg/m</w:t>
      </w:r>
      <w:r>
        <w:rPr>
          <w:rFonts w:hint="default" w:ascii="Times New Roman" w:hAnsi="Times New Roman" w:eastAsia="宋体" w:cs="Times New Roman"/>
          <w:b/>
          <w:color w:val="auto"/>
          <w:u w:val="none"/>
          <w:vertAlign w:val="superscript"/>
        </w:rPr>
        <w:t>3</w:t>
      </w:r>
      <w:bookmarkEnd w:id="86"/>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125"/>
        <w:gridCol w:w="1126"/>
        <w:gridCol w:w="1126"/>
        <w:gridCol w:w="1126"/>
        <w:gridCol w:w="991"/>
        <w:gridCol w:w="991"/>
        <w:gridCol w:w="1030"/>
      </w:tblGrid>
      <w:tr w14:paraId="6AD4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vMerge w:val="restart"/>
            <w:noWrap w:val="0"/>
            <w:vAlign w:val="center"/>
          </w:tcPr>
          <w:p w14:paraId="3A4FBFB7">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关心点</w:t>
            </w:r>
          </w:p>
        </w:tc>
        <w:tc>
          <w:tcPr>
            <w:tcW w:w="7515" w:type="dxa"/>
            <w:gridSpan w:val="7"/>
            <w:noWrap w:val="0"/>
            <w:vAlign w:val="center"/>
          </w:tcPr>
          <w:p w14:paraId="45D49085">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常见气象条件</w:t>
            </w:r>
          </w:p>
        </w:tc>
      </w:tr>
      <w:tr w14:paraId="1FD4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vMerge w:val="continue"/>
            <w:noWrap w:val="0"/>
            <w:vAlign w:val="center"/>
          </w:tcPr>
          <w:p w14:paraId="744AAD62">
            <w:pPr>
              <w:adjustRightInd w:val="0"/>
              <w:snapToGrid w:val="0"/>
              <w:jc w:val="center"/>
              <w:rPr>
                <w:rFonts w:hint="default" w:ascii="Times New Roman" w:hAnsi="Times New Roman" w:eastAsia="宋体" w:cs="Times New Roman"/>
                <w:color w:val="auto"/>
                <w:sz w:val="21"/>
                <w:szCs w:val="21"/>
                <w:lang w:val="zh-CN" w:eastAsia="zh-CN"/>
              </w:rPr>
            </w:pPr>
          </w:p>
        </w:tc>
        <w:tc>
          <w:tcPr>
            <w:tcW w:w="1125" w:type="dxa"/>
            <w:noWrap w:val="0"/>
            <w:vAlign w:val="center"/>
          </w:tcPr>
          <w:p w14:paraId="44312660">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5min</w:t>
            </w:r>
          </w:p>
        </w:tc>
        <w:tc>
          <w:tcPr>
            <w:tcW w:w="1126" w:type="dxa"/>
            <w:noWrap w:val="0"/>
            <w:vAlign w:val="center"/>
          </w:tcPr>
          <w:p w14:paraId="6DCA6EC6">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15min</w:t>
            </w:r>
          </w:p>
        </w:tc>
        <w:tc>
          <w:tcPr>
            <w:tcW w:w="1126" w:type="dxa"/>
            <w:noWrap w:val="0"/>
            <w:vAlign w:val="center"/>
          </w:tcPr>
          <w:p w14:paraId="206CEB20">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25min</w:t>
            </w:r>
          </w:p>
        </w:tc>
        <w:tc>
          <w:tcPr>
            <w:tcW w:w="1126" w:type="dxa"/>
            <w:noWrap w:val="0"/>
            <w:vAlign w:val="center"/>
          </w:tcPr>
          <w:p w14:paraId="6FE61DAA">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35min</w:t>
            </w:r>
          </w:p>
        </w:tc>
        <w:tc>
          <w:tcPr>
            <w:tcW w:w="991" w:type="dxa"/>
            <w:noWrap w:val="0"/>
            <w:vAlign w:val="center"/>
          </w:tcPr>
          <w:p w14:paraId="16EA1CE5">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45min</w:t>
            </w:r>
          </w:p>
        </w:tc>
        <w:tc>
          <w:tcPr>
            <w:tcW w:w="991" w:type="dxa"/>
            <w:noWrap w:val="0"/>
            <w:vAlign w:val="center"/>
          </w:tcPr>
          <w:p w14:paraId="374E206D">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55min</w:t>
            </w:r>
          </w:p>
        </w:tc>
        <w:tc>
          <w:tcPr>
            <w:tcW w:w="1030" w:type="dxa"/>
            <w:noWrap w:val="0"/>
            <w:vAlign w:val="center"/>
          </w:tcPr>
          <w:p w14:paraId="2C3D9328">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60min</w:t>
            </w:r>
          </w:p>
        </w:tc>
      </w:tr>
      <w:tr w14:paraId="77C9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4E8439CE">
            <w:pPr>
              <w:adjustRightInd w:val="0"/>
              <w:snapToGrid w:val="0"/>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000000"/>
                <w:sz w:val="21"/>
                <w:szCs w:val="21"/>
                <w:lang w:val="en-US" w:eastAsia="zh-CN"/>
              </w:rPr>
              <w:t>金鼓村</w:t>
            </w:r>
          </w:p>
        </w:tc>
        <w:tc>
          <w:tcPr>
            <w:tcW w:w="1125" w:type="dxa"/>
            <w:noWrap w:val="0"/>
            <w:vAlign w:val="center"/>
          </w:tcPr>
          <w:p w14:paraId="25ED0898">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4C3C7919">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25.1361</w:t>
            </w:r>
          </w:p>
        </w:tc>
        <w:tc>
          <w:tcPr>
            <w:tcW w:w="1126" w:type="dxa"/>
            <w:noWrap w:val="0"/>
            <w:vAlign w:val="center"/>
          </w:tcPr>
          <w:p w14:paraId="0D27355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6.3187</w:t>
            </w:r>
          </w:p>
        </w:tc>
        <w:tc>
          <w:tcPr>
            <w:tcW w:w="1126" w:type="dxa"/>
            <w:noWrap w:val="0"/>
            <w:vAlign w:val="center"/>
          </w:tcPr>
          <w:p w14:paraId="46BFF83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7DE79A32">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2BC8F5EB">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030" w:type="dxa"/>
            <w:noWrap w:val="0"/>
            <w:vAlign w:val="center"/>
          </w:tcPr>
          <w:p w14:paraId="59121159">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r>
      <w:tr w14:paraId="29BF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55414B4E">
            <w:pPr>
              <w:adjustRightInd w:val="0"/>
              <w:snapToGrid w:val="0"/>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000000"/>
                <w:sz w:val="21"/>
                <w:szCs w:val="21"/>
                <w:lang w:val="en-US" w:eastAsia="zh-CN"/>
              </w:rPr>
              <w:t>金鼓小学</w:t>
            </w:r>
          </w:p>
        </w:tc>
        <w:tc>
          <w:tcPr>
            <w:tcW w:w="1125" w:type="dxa"/>
            <w:noWrap w:val="0"/>
            <w:vAlign w:val="center"/>
          </w:tcPr>
          <w:p w14:paraId="637EB066">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58DA6A4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295ADDC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11.6004</w:t>
            </w:r>
          </w:p>
        </w:tc>
        <w:tc>
          <w:tcPr>
            <w:tcW w:w="1126" w:type="dxa"/>
            <w:noWrap w:val="0"/>
            <w:vAlign w:val="center"/>
          </w:tcPr>
          <w:p w14:paraId="30B249A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2.1810</w:t>
            </w:r>
          </w:p>
        </w:tc>
        <w:tc>
          <w:tcPr>
            <w:tcW w:w="991" w:type="dxa"/>
            <w:noWrap w:val="0"/>
            <w:vAlign w:val="center"/>
          </w:tcPr>
          <w:p w14:paraId="36BB7463">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258D50C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030" w:type="dxa"/>
            <w:noWrap w:val="0"/>
            <w:vAlign w:val="center"/>
          </w:tcPr>
          <w:p w14:paraId="4110177E">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r>
      <w:tr w14:paraId="6314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467EB6BC">
            <w:pPr>
              <w:adjustRightInd w:val="0"/>
              <w:snapToGrid w:val="0"/>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000000"/>
                <w:sz w:val="21"/>
                <w:szCs w:val="21"/>
                <w:lang w:val="en-US" w:eastAsia="zh-CN"/>
              </w:rPr>
              <w:t>孔雀环村</w:t>
            </w:r>
          </w:p>
        </w:tc>
        <w:tc>
          <w:tcPr>
            <w:tcW w:w="1125" w:type="dxa"/>
            <w:noWrap w:val="0"/>
            <w:vAlign w:val="center"/>
          </w:tcPr>
          <w:p w14:paraId="3A761E0D">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74322468">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250EA063">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39D8FBE6">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50DA4F3C">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1.5015</w:t>
            </w:r>
          </w:p>
        </w:tc>
        <w:tc>
          <w:tcPr>
            <w:tcW w:w="991" w:type="dxa"/>
            <w:noWrap w:val="0"/>
            <w:vAlign w:val="center"/>
          </w:tcPr>
          <w:p w14:paraId="242A6DD9">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1.5015</w:t>
            </w:r>
          </w:p>
        </w:tc>
        <w:tc>
          <w:tcPr>
            <w:tcW w:w="1030" w:type="dxa"/>
            <w:noWrap w:val="0"/>
            <w:vAlign w:val="center"/>
          </w:tcPr>
          <w:p w14:paraId="17DF1A8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1.3795</w:t>
            </w:r>
          </w:p>
        </w:tc>
      </w:tr>
      <w:tr w14:paraId="384C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22CCBD61">
            <w:pPr>
              <w:adjustRightInd w:val="0"/>
              <w:snapToGrid w:val="0"/>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000000"/>
                <w:sz w:val="21"/>
                <w:szCs w:val="21"/>
                <w:lang w:val="en-US" w:eastAsia="zh-CN"/>
              </w:rPr>
              <w:t>松柏港村</w:t>
            </w:r>
          </w:p>
        </w:tc>
        <w:tc>
          <w:tcPr>
            <w:tcW w:w="1125" w:type="dxa"/>
            <w:noWrap w:val="0"/>
            <w:vAlign w:val="center"/>
          </w:tcPr>
          <w:p w14:paraId="353D3AE9">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69810A33">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66ADEDF2">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4.0810</w:t>
            </w:r>
          </w:p>
        </w:tc>
        <w:tc>
          <w:tcPr>
            <w:tcW w:w="1126" w:type="dxa"/>
            <w:noWrap w:val="0"/>
            <w:vAlign w:val="center"/>
          </w:tcPr>
          <w:p w14:paraId="5F9F458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4.2718</w:t>
            </w:r>
          </w:p>
        </w:tc>
        <w:tc>
          <w:tcPr>
            <w:tcW w:w="991" w:type="dxa"/>
            <w:noWrap w:val="0"/>
            <w:vAlign w:val="center"/>
          </w:tcPr>
          <w:p w14:paraId="715C043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2.0306</w:t>
            </w:r>
          </w:p>
        </w:tc>
        <w:tc>
          <w:tcPr>
            <w:tcW w:w="991" w:type="dxa"/>
            <w:noWrap w:val="0"/>
            <w:vAlign w:val="center"/>
          </w:tcPr>
          <w:p w14:paraId="5ECDC1E8">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030" w:type="dxa"/>
            <w:noWrap w:val="0"/>
            <w:vAlign w:val="center"/>
          </w:tcPr>
          <w:p w14:paraId="6BEBA4F3">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r>
      <w:tr w14:paraId="2F6A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6C77F83B">
            <w:pPr>
              <w:adjustRightInd w:val="0"/>
              <w:snapToGrid w:val="0"/>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000000"/>
                <w:sz w:val="21"/>
                <w:szCs w:val="21"/>
                <w:lang w:val="en-US" w:eastAsia="zh-CN"/>
              </w:rPr>
              <w:t>西安交大中马阳光高级中学</w:t>
            </w:r>
          </w:p>
        </w:tc>
        <w:tc>
          <w:tcPr>
            <w:tcW w:w="1125" w:type="dxa"/>
            <w:noWrap w:val="0"/>
            <w:vAlign w:val="center"/>
          </w:tcPr>
          <w:p w14:paraId="53A38EA0">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14BD72A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36D5736B">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7670358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2.5328</w:t>
            </w:r>
          </w:p>
        </w:tc>
        <w:tc>
          <w:tcPr>
            <w:tcW w:w="991" w:type="dxa"/>
            <w:noWrap w:val="0"/>
            <w:vAlign w:val="center"/>
          </w:tcPr>
          <w:p w14:paraId="3D9FDEB2">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2.5328</w:t>
            </w:r>
          </w:p>
        </w:tc>
        <w:tc>
          <w:tcPr>
            <w:tcW w:w="991" w:type="dxa"/>
            <w:noWrap w:val="0"/>
            <w:vAlign w:val="center"/>
          </w:tcPr>
          <w:p w14:paraId="798EA82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1.1146</w:t>
            </w:r>
          </w:p>
        </w:tc>
        <w:tc>
          <w:tcPr>
            <w:tcW w:w="1030" w:type="dxa"/>
            <w:noWrap w:val="0"/>
            <w:vAlign w:val="center"/>
          </w:tcPr>
          <w:p w14:paraId="1DD259F8">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r>
      <w:tr w14:paraId="35E8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26B05F3A">
            <w:pPr>
              <w:adjustRightInd w:val="0"/>
              <w:snapToGrid w:val="0"/>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000000"/>
                <w:sz w:val="21"/>
                <w:szCs w:val="21"/>
                <w:lang w:val="en-US" w:eastAsia="zh-CN"/>
              </w:rPr>
              <w:t>独连车村</w:t>
            </w:r>
          </w:p>
        </w:tc>
        <w:tc>
          <w:tcPr>
            <w:tcW w:w="1125" w:type="dxa"/>
            <w:noWrap w:val="0"/>
            <w:vAlign w:val="center"/>
          </w:tcPr>
          <w:p w14:paraId="0A0CBFDB">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4E4B7C3D">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0C9D2413">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5D77F49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78064169">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1.3251</w:t>
            </w:r>
          </w:p>
        </w:tc>
        <w:tc>
          <w:tcPr>
            <w:tcW w:w="991" w:type="dxa"/>
            <w:noWrap w:val="0"/>
            <w:vAlign w:val="center"/>
          </w:tcPr>
          <w:p w14:paraId="3834BD13">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1.3251</w:t>
            </w:r>
          </w:p>
        </w:tc>
        <w:tc>
          <w:tcPr>
            <w:tcW w:w="1030" w:type="dxa"/>
            <w:noWrap w:val="0"/>
            <w:vAlign w:val="center"/>
          </w:tcPr>
          <w:p w14:paraId="5C67D0F9">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1.3251</w:t>
            </w:r>
          </w:p>
        </w:tc>
      </w:tr>
      <w:tr w14:paraId="6B99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149DAC7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苦竹坑村</w:t>
            </w:r>
          </w:p>
        </w:tc>
        <w:tc>
          <w:tcPr>
            <w:tcW w:w="1125" w:type="dxa"/>
            <w:noWrap w:val="0"/>
            <w:vAlign w:val="center"/>
          </w:tcPr>
          <w:p w14:paraId="7A97852A">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61420A32">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351C0E3B">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51D4AA46">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21BA4EAF">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1.0010</w:t>
            </w:r>
          </w:p>
        </w:tc>
        <w:tc>
          <w:tcPr>
            <w:tcW w:w="991" w:type="dxa"/>
            <w:noWrap w:val="0"/>
            <w:vAlign w:val="center"/>
          </w:tcPr>
          <w:p w14:paraId="7387C6B2">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1.0010</w:t>
            </w:r>
          </w:p>
        </w:tc>
        <w:tc>
          <w:tcPr>
            <w:tcW w:w="1030" w:type="dxa"/>
            <w:noWrap w:val="0"/>
            <w:vAlign w:val="center"/>
          </w:tcPr>
          <w:p w14:paraId="5A8F63E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1.0010</w:t>
            </w:r>
          </w:p>
        </w:tc>
      </w:tr>
      <w:tr w14:paraId="3D65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2F48C16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大垌口村</w:t>
            </w:r>
          </w:p>
        </w:tc>
        <w:tc>
          <w:tcPr>
            <w:tcW w:w="1125" w:type="dxa"/>
            <w:noWrap w:val="0"/>
            <w:vAlign w:val="center"/>
          </w:tcPr>
          <w:p w14:paraId="6C2B3635">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749FE3C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7194101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746D738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1.8812</w:t>
            </w:r>
          </w:p>
        </w:tc>
        <w:tc>
          <w:tcPr>
            <w:tcW w:w="991" w:type="dxa"/>
            <w:noWrap w:val="0"/>
            <w:vAlign w:val="center"/>
          </w:tcPr>
          <w:p w14:paraId="229B388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1.8812</w:t>
            </w:r>
          </w:p>
        </w:tc>
        <w:tc>
          <w:tcPr>
            <w:tcW w:w="991" w:type="dxa"/>
            <w:noWrap w:val="0"/>
            <w:vAlign w:val="center"/>
          </w:tcPr>
          <w:p w14:paraId="7E165B2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1.7825</w:t>
            </w:r>
          </w:p>
        </w:tc>
        <w:tc>
          <w:tcPr>
            <w:tcW w:w="1030" w:type="dxa"/>
            <w:noWrap w:val="0"/>
            <w:vAlign w:val="center"/>
          </w:tcPr>
          <w:p w14:paraId="7B0BD17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0.9711</w:t>
            </w:r>
          </w:p>
        </w:tc>
      </w:tr>
      <w:tr w14:paraId="19A79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50CFA88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细垌环村</w:t>
            </w:r>
          </w:p>
        </w:tc>
        <w:tc>
          <w:tcPr>
            <w:tcW w:w="1125" w:type="dxa"/>
            <w:noWrap w:val="0"/>
            <w:vAlign w:val="center"/>
          </w:tcPr>
          <w:p w14:paraId="0BF4D4CF">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0E4F01E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3881255C">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5600A4C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3.5577</w:t>
            </w:r>
          </w:p>
        </w:tc>
        <w:tc>
          <w:tcPr>
            <w:tcW w:w="991" w:type="dxa"/>
            <w:noWrap w:val="0"/>
            <w:vAlign w:val="center"/>
          </w:tcPr>
          <w:p w14:paraId="27D2D60C">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2.7082</w:t>
            </w:r>
          </w:p>
        </w:tc>
        <w:tc>
          <w:tcPr>
            <w:tcW w:w="991" w:type="dxa"/>
            <w:noWrap w:val="0"/>
            <w:vAlign w:val="center"/>
          </w:tcPr>
          <w:p w14:paraId="772B5B2E">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030" w:type="dxa"/>
            <w:noWrap w:val="0"/>
            <w:vAlign w:val="center"/>
          </w:tcPr>
          <w:p w14:paraId="08DF197D">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r>
      <w:tr w14:paraId="5208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7DEAD91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第一垌村</w:t>
            </w:r>
          </w:p>
        </w:tc>
        <w:tc>
          <w:tcPr>
            <w:tcW w:w="1125" w:type="dxa"/>
            <w:noWrap w:val="0"/>
            <w:vAlign w:val="center"/>
          </w:tcPr>
          <w:p w14:paraId="2921DB52">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75E1D3F3">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20FFF86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8.5924</w:t>
            </w:r>
          </w:p>
        </w:tc>
        <w:tc>
          <w:tcPr>
            <w:tcW w:w="1126" w:type="dxa"/>
            <w:noWrap w:val="0"/>
            <w:vAlign w:val="center"/>
          </w:tcPr>
          <w:p w14:paraId="4320CC0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3.8257</w:t>
            </w:r>
          </w:p>
        </w:tc>
        <w:tc>
          <w:tcPr>
            <w:tcW w:w="991" w:type="dxa"/>
            <w:noWrap w:val="0"/>
            <w:vAlign w:val="center"/>
          </w:tcPr>
          <w:p w14:paraId="4D1FAA6D">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630BF722">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030" w:type="dxa"/>
            <w:noWrap w:val="0"/>
            <w:vAlign w:val="center"/>
          </w:tcPr>
          <w:p w14:paraId="5F030E0E">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r>
      <w:tr w14:paraId="7D80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7773BDD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大榄坪</w:t>
            </w:r>
          </w:p>
        </w:tc>
        <w:tc>
          <w:tcPr>
            <w:tcW w:w="1125" w:type="dxa"/>
            <w:noWrap w:val="0"/>
            <w:vAlign w:val="center"/>
          </w:tcPr>
          <w:p w14:paraId="231B7E9D">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305A57D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70D9EA08">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481C65E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2.6128</w:t>
            </w:r>
          </w:p>
        </w:tc>
        <w:tc>
          <w:tcPr>
            <w:tcW w:w="991" w:type="dxa"/>
            <w:noWrap w:val="0"/>
            <w:vAlign w:val="center"/>
          </w:tcPr>
          <w:p w14:paraId="6BC1B38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2.6128</w:t>
            </w:r>
          </w:p>
        </w:tc>
        <w:tc>
          <w:tcPr>
            <w:tcW w:w="991" w:type="dxa"/>
            <w:noWrap w:val="0"/>
            <w:vAlign w:val="center"/>
          </w:tcPr>
          <w:p w14:paraId="59A22E22">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1.0553</w:t>
            </w:r>
          </w:p>
        </w:tc>
        <w:tc>
          <w:tcPr>
            <w:tcW w:w="1030" w:type="dxa"/>
            <w:noWrap w:val="0"/>
            <w:vAlign w:val="center"/>
          </w:tcPr>
          <w:p w14:paraId="541F9C83">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r>
      <w:tr w14:paraId="23E9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5BFC389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蚝蜊墩村</w:t>
            </w:r>
          </w:p>
        </w:tc>
        <w:tc>
          <w:tcPr>
            <w:tcW w:w="1125" w:type="dxa"/>
            <w:noWrap w:val="0"/>
            <w:vAlign w:val="center"/>
          </w:tcPr>
          <w:p w14:paraId="33B01B12">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10DBB3B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6ABFFEF9">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165CCAB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0A55CB0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1.4138</w:t>
            </w:r>
          </w:p>
        </w:tc>
        <w:tc>
          <w:tcPr>
            <w:tcW w:w="991" w:type="dxa"/>
            <w:noWrap w:val="0"/>
            <w:vAlign w:val="center"/>
          </w:tcPr>
          <w:p w14:paraId="3EED113F">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1.4138</w:t>
            </w:r>
          </w:p>
        </w:tc>
        <w:tc>
          <w:tcPr>
            <w:tcW w:w="1030" w:type="dxa"/>
            <w:noWrap w:val="0"/>
            <w:vAlign w:val="center"/>
          </w:tcPr>
          <w:p w14:paraId="10FEA9CD">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1.4138</w:t>
            </w:r>
          </w:p>
        </w:tc>
      </w:tr>
      <w:tr w14:paraId="7E35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40E777A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淡水湾村</w:t>
            </w:r>
          </w:p>
        </w:tc>
        <w:tc>
          <w:tcPr>
            <w:tcW w:w="1125" w:type="dxa"/>
            <w:noWrap w:val="0"/>
            <w:vAlign w:val="center"/>
          </w:tcPr>
          <w:p w14:paraId="706024BC">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05334359">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4F2E8AA6">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4.4327</w:t>
            </w:r>
          </w:p>
        </w:tc>
        <w:tc>
          <w:tcPr>
            <w:tcW w:w="1126" w:type="dxa"/>
            <w:noWrap w:val="0"/>
            <w:vAlign w:val="center"/>
          </w:tcPr>
          <w:p w14:paraId="3C6B5D5B">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4.4327</w:t>
            </w:r>
          </w:p>
        </w:tc>
        <w:tc>
          <w:tcPr>
            <w:tcW w:w="991" w:type="dxa"/>
            <w:noWrap w:val="0"/>
            <w:vAlign w:val="center"/>
          </w:tcPr>
          <w:p w14:paraId="369DF85B">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1.9024</w:t>
            </w:r>
          </w:p>
        </w:tc>
        <w:tc>
          <w:tcPr>
            <w:tcW w:w="991" w:type="dxa"/>
            <w:noWrap w:val="0"/>
            <w:vAlign w:val="center"/>
          </w:tcPr>
          <w:p w14:paraId="46D158E3">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030" w:type="dxa"/>
            <w:noWrap w:val="0"/>
            <w:vAlign w:val="center"/>
          </w:tcPr>
          <w:p w14:paraId="15236BA3">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r>
      <w:tr w14:paraId="04F3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25F8F0C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东港区第一幼儿园</w:t>
            </w:r>
          </w:p>
        </w:tc>
        <w:tc>
          <w:tcPr>
            <w:tcW w:w="1125" w:type="dxa"/>
            <w:noWrap w:val="0"/>
            <w:vAlign w:val="center"/>
          </w:tcPr>
          <w:p w14:paraId="0F535CF7">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545270D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0360E56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6EAF49EF">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1.5195</w:t>
            </w:r>
          </w:p>
        </w:tc>
        <w:tc>
          <w:tcPr>
            <w:tcW w:w="991" w:type="dxa"/>
            <w:noWrap w:val="0"/>
            <w:vAlign w:val="center"/>
          </w:tcPr>
          <w:p w14:paraId="77E28A52">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1.7319</w:t>
            </w:r>
          </w:p>
        </w:tc>
        <w:tc>
          <w:tcPr>
            <w:tcW w:w="991" w:type="dxa"/>
            <w:noWrap w:val="0"/>
            <w:vAlign w:val="center"/>
          </w:tcPr>
          <w:p w14:paraId="4F200AC8">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1.7319</w:t>
            </w:r>
          </w:p>
        </w:tc>
        <w:tc>
          <w:tcPr>
            <w:tcW w:w="1030" w:type="dxa"/>
            <w:noWrap w:val="0"/>
            <w:vAlign w:val="center"/>
          </w:tcPr>
          <w:p w14:paraId="5741E47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1.1124</w:t>
            </w:r>
          </w:p>
        </w:tc>
      </w:tr>
      <w:tr w14:paraId="3A67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17459BC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过山路村</w:t>
            </w:r>
          </w:p>
        </w:tc>
        <w:tc>
          <w:tcPr>
            <w:tcW w:w="1125" w:type="dxa"/>
            <w:noWrap w:val="0"/>
            <w:vAlign w:val="center"/>
          </w:tcPr>
          <w:p w14:paraId="1B102466">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277B825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431CFF2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623D230C">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2.0563</w:t>
            </w:r>
          </w:p>
        </w:tc>
        <w:tc>
          <w:tcPr>
            <w:tcW w:w="991" w:type="dxa"/>
            <w:noWrap w:val="0"/>
            <w:vAlign w:val="center"/>
          </w:tcPr>
          <w:p w14:paraId="1C090843">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2.0563</w:t>
            </w:r>
          </w:p>
        </w:tc>
        <w:tc>
          <w:tcPr>
            <w:tcW w:w="991" w:type="dxa"/>
            <w:noWrap w:val="0"/>
            <w:vAlign w:val="center"/>
          </w:tcPr>
          <w:p w14:paraId="0D8A4AB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1.5716</w:t>
            </w:r>
          </w:p>
        </w:tc>
        <w:tc>
          <w:tcPr>
            <w:tcW w:w="1030" w:type="dxa"/>
            <w:noWrap w:val="0"/>
            <w:vAlign w:val="center"/>
          </w:tcPr>
          <w:p w14:paraId="075FD5D3">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0.8298</w:t>
            </w:r>
          </w:p>
        </w:tc>
      </w:tr>
      <w:tr w14:paraId="20EB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72CA3A2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鲎泊潭村</w:t>
            </w:r>
          </w:p>
        </w:tc>
        <w:tc>
          <w:tcPr>
            <w:tcW w:w="1125" w:type="dxa"/>
            <w:noWrap w:val="0"/>
            <w:vAlign w:val="center"/>
          </w:tcPr>
          <w:p w14:paraId="16D0CBD1">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6B7F5F09">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60378265">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02265DD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45E84CF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1.2889</w:t>
            </w:r>
          </w:p>
        </w:tc>
        <w:tc>
          <w:tcPr>
            <w:tcW w:w="991" w:type="dxa"/>
            <w:noWrap w:val="0"/>
            <w:vAlign w:val="center"/>
          </w:tcPr>
          <w:p w14:paraId="4ACB3A68">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1.2889</w:t>
            </w:r>
          </w:p>
        </w:tc>
        <w:tc>
          <w:tcPr>
            <w:tcW w:w="1030" w:type="dxa"/>
            <w:noWrap w:val="0"/>
            <w:vAlign w:val="center"/>
          </w:tcPr>
          <w:p w14:paraId="179C97E2">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1.2889</w:t>
            </w:r>
          </w:p>
        </w:tc>
      </w:tr>
      <w:tr w14:paraId="24C6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6A72EFF9">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鸡墩头村</w:t>
            </w:r>
          </w:p>
        </w:tc>
        <w:tc>
          <w:tcPr>
            <w:tcW w:w="1125" w:type="dxa"/>
            <w:noWrap w:val="0"/>
            <w:vAlign w:val="center"/>
          </w:tcPr>
          <w:p w14:paraId="2CE5B993">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37495862">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5552721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2B8C9CDB">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32B33608">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1.3223</w:t>
            </w:r>
          </w:p>
        </w:tc>
        <w:tc>
          <w:tcPr>
            <w:tcW w:w="991" w:type="dxa"/>
            <w:noWrap w:val="0"/>
            <w:vAlign w:val="center"/>
          </w:tcPr>
          <w:p w14:paraId="24AB1E82">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1.3223</w:t>
            </w:r>
          </w:p>
        </w:tc>
        <w:tc>
          <w:tcPr>
            <w:tcW w:w="1030" w:type="dxa"/>
            <w:noWrap w:val="0"/>
            <w:vAlign w:val="center"/>
          </w:tcPr>
          <w:p w14:paraId="6E6DF929">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1.3223</w:t>
            </w:r>
          </w:p>
        </w:tc>
      </w:tr>
      <w:tr w14:paraId="4D22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5601CB9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老鸦坑村</w:t>
            </w:r>
          </w:p>
        </w:tc>
        <w:tc>
          <w:tcPr>
            <w:tcW w:w="1125" w:type="dxa"/>
            <w:noWrap w:val="0"/>
            <w:vAlign w:val="center"/>
          </w:tcPr>
          <w:p w14:paraId="52D1A31A">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3C5FBC5E">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1275141C">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5B42DCB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22BB6E2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0.9641</w:t>
            </w:r>
          </w:p>
        </w:tc>
        <w:tc>
          <w:tcPr>
            <w:tcW w:w="991" w:type="dxa"/>
            <w:noWrap w:val="0"/>
            <w:vAlign w:val="center"/>
          </w:tcPr>
          <w:p w14:paraId="516835E8">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0.9641</w:t>
            </w:r>
          </w:p>
        </w:tc>
        <w:tc>
          <w:tcPr>
            <w:tcW w:w="1030" w:type="dxa"/>
            <w:noWrap w:val="0"/>
            <w:vAlign w:val="center"/>
          </w:tcPr>
          <w:p w14:paraId="688892E6">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0.9641</w:t>
            </w:r>
          </w:p>
        </w:tc>
      </w:tr>
      <w:tr w14:paraId="55AE1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4A242B9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钦州港第五小学</w:t>
            </w:r>
          </w:p>
        </w:tc>
        <w:tc>
          <w:tcPr>
            <w:tcW w:w="1125" w:type="dxa"/>
            <w:noWrap w:val="0"/>
            <w:vAlign w:val="center"/>
          </w:tcPr>
          <w:p w14:paraId="794EFFCC">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4C3B56B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34AF0CF2">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7D206DD8">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15617D1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5E3C5A2F">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0.9375</w:t>
            </w:r>
          </w:p>
        </w:tc>
        <w:tc>
          <w:tcPr>
            <w:tcW w:w="1030" w:type="dxa"/>
            <w:noWrap w:val="0"/>
            <w:vAlign w:val="center"/>
          </w:tcPr>
          <w:p w14:paraId="78B5F91D">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0.9375</w:t>
            </w:r>
          </w:p>
        </w:tc>
      </w:tr>
      <w:tr w14:paraId="2E0A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62267A2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果子山村</w:t>
            </w:r>
          </w:p>
        </w:tc>
        <w:tc>
          <w:tcPr>
            <w:tcW w:w="1125" w:type="dxa"/>
            <w:noWrap w:val="0"/>
            <w:vAlign w:val="center"/>
          </w:tcPr>
          <w:p w14:paraId="40D12E4A">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172CCC1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06DECC46">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4E6F3B2F">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6999790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0.9677</w:t>
            </w:r>
          </w:p>
        </w:tc>
        <w:tc>
          <w:tcPr>
            <w:tcW w:w="991" w:type="dxa"/>
            <w:noWrap w:val="0"/>
            <w:vAlign w:val="center"/>
          </w:tcPr>
          <w:p w14:paraId="7BF720C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0.9677</w:t>
            </w:r>
          </w:p>
        </w:tc>
        <w:tc>
          <w:tcPr>
            <w:tcW w:w="1030" w:type="dxa"/>
            <w:noWrap w:val="0"/>
            <w:vAlign w:val="center"/>
          </w:tcPr>
          <w:p w14:paraId="1646115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0.9677</w:t>
            </w:r>
          </w:p>
        </w:tc>
      </w:tr>
      <w:tr w14:paraId="235E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672768E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竹笼村</w:t>
            </w:r>
          </w:p>
        </w:tc>
        <w:tc>
          <w:tcPr>
            <w:tcW w:w="1125" w:type="dxa"/>
            <w:noWrap w:val="0"/>
            <w:vAlign w:val="center"/>
          </w:tcPr>
          <w:p w14:paraId="3DFC425B">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0A3AF833">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23327BD6">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7602B573">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789F6319">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1.5841</w:t>
            </w:r>
          </w:p>
        </w:tc>
        <w:tc>
          <w:tcPr>
            <w:tcW w:w="991" w:type="dxa"/>
            <w:noWrap w:val="0"/>
            <w:vAlign w:val="center"/>
          </w:tcPr>
          <w:p w14:paraId="1538670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1.5841</w:t>
            </w:r>
          </w:p>
        </w:tc>
        <w:tc>
          <w:tcPr>
            <w:tcW w:w="1030" w:type="dxa"/>
            <w:noWrap w:val="0"/>
            <w:vAlign w:val="center"/>
          </w:tcPr>
          <w:p w14:paraId="62C27ED5">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1.2765</w:t>
            </w:r>
          </w:p>
        </w:tc>
      </w:tr>
      <w:tr w14:paraId="2673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364DE54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水井坑村</w:t>
            </w:r>
          </w:p>
        </w:tc>
        <w:tc>
          <w:tcPr>
            <w:tcW w:w="1125" w:type="dxa"/>
            <w:noWrap w:val="0"/>
            <w:vAlign w:val="center"/>
          </w:tcPr>
          <w:p w14:paraId="26A7A86E">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7CBE0FF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675D8F0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10D103D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1.9718</w:t>
            </w:r>
          </w:p>
        </w:tc>
        <w:tc>
          <w:tcPr>
            <w:tcW w:w="991" w:type="dxa"/>
            <w:noWrap w:val="0"/>
            <w:vAlign w:val="center"/>
          </w:tcPr>
          <w:p w14:paraId="6130FCCB">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1.9718</w:t>
            </w:r>
          </w:p>
        </w:tc>
        <w:tc>
          <w:tcPr>
            <w:tcW w:w="991" w:type="dxa"/>
            <w:noWrap w:val="0"/>
            <w:vAlign w:val="center"/>
          </w:tcPr>
          <w:p w14:paraId="62E06568">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1.6726</w:t>
            </w:r>
          </w:p>
        </w:tc>
        <w:tc>
          <w:tcPr>
            <w:tcW w:w="1030" w:type="dxa"/>
            <w:noWrap w:val="0"/>
            <w:vAlign w:val="center"/>
          </w:tcPr>
          <w:p w14:paraId="7DB38E65">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0.8960</w:t>
            </w:r>
          </w:p>
        </w:tc>
      </w:tr>
      <w:tr w14:paraId="76B2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1266C11D">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000000"/>
                <w:sz w:val="21"/>
                <w:szCs w:val="21"/>
                <w:lang w:val="en-US" w:eastAsia="zh-CN"/>
              </w:rPr>
              <w:t>三块田村</w:t>
            </w:r>
          </w:p>
        </w:tc>
        <w:tc>
          <w:tcPr>
            <w:tcW w:w="1125" w:type="dxa"/>
            <w:noWrap w:val="0"/>
            <w:vAlign w:val="center"/>
          </w:tcPr>
          <w:p w14:paraId="78643E89">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038B3E26">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74DB525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21C6C1F2">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2.3283</w:t>
            </w:r>
          </w:p>
        </w:tc>
        <w:tc>
          <w:tcPr>
            <w:tcW w:w="991" w:type="dxa"/>
            <w:noWrap w:val="0"/>
            <w:vAlign w:val="center"/>
          </w:tcPr>
          <w:p w14:paraId="48AB63E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2.3283</w:t>
            </w:r>
          </w:p>
        </w:tc>
        <w:tc>
          <w:tcPr>
            <w:tcW w:w="991" w:type="dxa"/>
            <w:noWrap w:val="0"/>
            <w:vAlign w:val="center"/>
          </w:tcPr>
          <w:p w14:paraId="32178E3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1.2871</w:t>
            </w:r>
          </w:p>
        </w:tc>
        <w:tc>
          <w:tcPr>
            <w:tcW w:w="1030" w:type="dxa"/>
            <w:noWrap w:val="0"/>
            <w:vAlign w:val="center"/>
          </w:tcPr>
          <w:p w14:paraId="0C0DCC6D">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r>
      <w:tr w14:paraId="02D6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69E2675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滨海社区</w:t>
            </w:r>
          </w:p>
        </w:tc>
        <w:tc>
          <w:tcPr>
            <w:tcW w:w="1125" w:type="dxa"/>
            <w:noWrap w:val="0"/>
            <w:vAlign w:val="center"/>
          </w:tcPr>
          <w:p w14:paraId="282A188A">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560E553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1C4DB6C2">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0.0000</w:t>
            </w:r>
          </w:p>
        </w:tc>
        <w:tc>
          <w:tcPr>
            <w:tcW w:w="1126" w:type="dxa"/>
            <w:noWrap w:val="0"/>
            <w:vAlign w:val="center"/>
          </w:tcPr>
          <w:p w14:paraId="2E40444D">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1.6334</w:t>
            </w:r>
          </w:p>
        </w:tc>
        <w:tc>
          <w:tcPr>
            <w:tcW w:w="991" w:type="dxa"/>
            <w:noWrap w:val="0"/>
            <w:vAlign w:val="center"/>
          </w:tcPr>
          <w:p w14:paraId="7BF0AFB7">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1.7572</w:t>
            </w:r>
          </w:p>
        </w:tc>
        <w:tc>
          <w:tcPr>
            <w:tcW w:w="991" w:type="dxa"/>
            <w:noWrap w:val="0"/>
            <w:vAlign w:val="center"/>
          </w:tcPr>
          <w:p w14:paraId="099906A1">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1.7572</w:t>
            </w:r>
          </w:p>
        </w:tc>
        <w:tc>
          <w:tcPr>
            <w:tcW w:w="1030" w:type="dxa"/>
            <w:noWrap w:val="0"/>
            <w:vAlign w:val="center"/>
          </w:tcPr>
          <w:p w14:paraId="59CA8060">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1.0868</w:t>
            </w:r>
          </w:p>
        </w:tc>
      </w:tr>
      <w:tr w14:paraId="1B13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69D05ED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滨海医院</w:t>
            </w:r>
          </w:p>
        </w:tc>
        <w:tc>
          <w:tcPr>
            <w:tcW w:w="1125" w:type="dxa"/>
            <w:noWrap w:val="0"/>
            <w:vAlign w:val="center"/>
          </w:tcPr>
          <w:p w14:paraId="77248707">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3979486D">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4C09485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240727E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4A12E82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1.6166</w:t>
            </w:r>
          </w:p>
        </w:tc>
        <w:tc>
          <w:tcPr>
            <w:tcW w:w="991" w:type="dxa"/>
            <w:noWrap w:val="0"/>
            <w:vAlign w:val="center"/>
          </w:tcPr>
          <w:p w14:paraId="560D946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1.6166</w:t>
            </w:r>
          </w:p>
        </w:tc>
        <w:tc>
          <w:tcPr>
            <w:tcW w:w="1030" w:type="dxa"/>
            <w:noWrap w:val="0"/>
            <w:vAlign w:val="center"/>
          </w:tcPr>
          <w:p w14:paraId="277B0575">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1.2382</w:t>
            </w:r>
          </w:p>
        </w:tc>
      </w:tr>
      <w:tr w14:paraId="44B9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146978C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钦州市第一人民医院钦州港分院</w:t>
            </w:r>
          </w:p>
        </w:tc>
        <w:tc>
          <w:tcPr>
            <w:tcW w:w="1125" w:type="dxa"/>
            <w:noWrap w:val="0"/>
            <w:vAlign w:val="center"/>
          </w:tcPr>
          <w:p w14:paraId="0AB35631">
            <w:pPr>
              <w:adjustRightInd w:val="0"/>
              <w:snapToGrid w:val="0"/>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419E31AB">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435C879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6A28A08B">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1.9670</w:t>
            </w:r>
          </w:p>
        </w:tc>
        <w:tc>
          <w:tcPr>
            <w:tcW w:w="991" w:type="dxa"/>
            <w:noWrap w:val="0"/>
            <w:vAlign w:val="center"/>
          </w:tcPr>
          <w:p w14:paraId="5844AEB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1.9670</w:t>
            </w:r>
          </w:p>
        </w:tc>
        <w:tc>
          <w:tcPr>
            <w:tcW w:w="991" w:type="dxa"/>
            <w:noWrap w:val="0"/>
            <w:vAlign w:val="center"/>
          </w:tcPr>
          <w:p w14:paraId="5CB1742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1.6783</w:t>
            </w:r>
          </w:p>
        </w:tc>
        <w:tc>
          <w:tcPr>
            <w:tcW w:w="1030" w:type="dxa"/>
            <w:noWrap w:val="0"/>
            <w:vAlign w:val="center"/>
          </w:tcPr>
          <w:p w14:paraId="5916A3D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0.8999</w:t>
            </w:r>
          </w:p>
        </w:tc>
      </w:tr>
      <w:tr w14:paraId="1CF3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135C2AA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亚路江社区</w:t>
            </w:r>
          </w:p>
        </w:tc>
        <w:tc>
          <w:tcPr>
            <w:tcW w:w="1125" w:type="dxa"/>
            <w:noWrap w:val="0"/>
            <w:vAlign w:val="center"/>
          </w:tcPr>
          <w:p w14:paraId="219E9EB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68F03D9A">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0.0000</w:t>
            </w:r>
          </w:p>
        </w:tc>
        <w:tc>
          <w:tcPr>
            <w:tcW w:w="1126" w:type="dxa"/>
            <w:noWrap w:val="0"/>
            <w:vAlign w:val="center"/>
          </w:tcPr>
          <w:p w14:paraId="2C7BC380">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0.0000</w:t>
            </w:r>
          </w:p>
        </w:tc>
        <w:tc>
          <w:tcPr>
            <w:tcW w:w="1126" w:type="dxa"/>
            <w:noWrap w:val="0"/>
            <w:vAlign w:val="center"/>
          </w:tcPr>
          <w:p w14:paraId="0BF79DCB">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1.9828</w:t>
            </w:r>
          </w:p>
        </w:tc>
        <w:tc>
          <w:tcPr>
            <w:tcW w:w="991" w:type="dxa"/>
            <w:noWrap w:val="0"/>
            <w:vAlign w:val="center"/>
          </w:tcPr>
          <w:p w14:paraId="7CCB6123">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1.9828</w:t>
            </w:r>
          </w:p>
        </w:tc>
        <w:tc>
          <w:tcPr>
            <w:tcW w:w="991" w:type="dxa"/>
            <w:noWrap w:val="0"/>
            <w:vAlign w:val="center"/>
          </w:tcPr>
          <w:p w14:paraId="0CF98240">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1.6596</w:t>
            </w:r>
          </w:p>
        </w:tc>
        <w:tc>
          <w:tcPr>
            <w:tcW w:w="1030" w:type="dxa"/>
            <w:noWrap w:val="0"/>
            <w:vAlign w:val="center"/>
          </w:tcPr>
          <w:p w14:paraId="43851D27">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0.8874</w:t>
            </w:r>
          </w:p>
        </w:tc>
      </w:tr>
      <w:tr w14:paraId="7E41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203C1F1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勒沟村</w:t>
            </w:r>
          </w:p>
        </w:tc>
        <w:tc>
          <w:tcPr>
            <w:tcW w:w="1125" w:type="dxa"/>
            <w:noWrap w:val="0"/>
            <w:vAlign w:val="center"/>
          </w:tcPr>
          <w:p w14:paraId="428DB4A6">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79E99BE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3945E859">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6C95588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2B7DCE8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0.9682</w:t>
            </w:r>
          </w:p>
        </w:tc>
        <w:tc>
          <w:tcPr>
            <w:tcW w:w="991" w:type="dxa"/>
            <w:noWrap w:val="0"/>
            <w:vAlign w:val="center"/>
          </w:tcPr>
          <w:p w14:paraId="4059F27D">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0.9682</w:t>
            </w:r>
          </w:p>
        </w:tc>
        <w:tc>
          <w:tcPr>
            <w:tcW w:w="1030" w:type="dxa"/>
            <w:noWrap w:val="0"/>
            <w:vAlign w:val="center"/>
          </w:tcPr>
          <w:p w14:paraId="0948EE7E">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0.9682</w:t>
            </w:r>
          </w:p>
        </w:tc>
      </w:tr>
      <w:tr w14:paraId="7E0A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296534D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沙岗头村</w:t>
            </w:r>
          </w:p>
        </w:tc>
        <w:tc>
          <w:tcPr>
            <w:tcW w:w="1125" w:type="dxa"/>
            <w:noWrap w:val="0"/>
            <w:vAlign w:val="center"/>
          </w:tcPr>
          <w:p w14:paraId="3B78F814">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5E5DF14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51.1241</w:t>
            </w:r>
          </w:p>
        </w:tc>
        <w:tc>
          <w:tcPr>
            <w:tcW w:w="1126" w:type="dxa"/>
            <w:noWrap w:val="0"/>
            <w:vAlign w:val="center"/>
          </w:tcPr>
          <w:p w14:paraId="4265C69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6733820F">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432105FE">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6AD461D8">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030" w:type="dxa"/>
            <w:noWrap w:val="0"/>
            <w:vAlign w:val="center"/>
          </w:tcPr>
          <w:p w14:paraId="61DD2E8A">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0.0000</w:t>
            </w:r>
          </w:p>
        </w:tc>
      </w:tr>
      <w:tr w14:paraId="281E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49F68AA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旧村</w:t>
            </w:r>
          </w:p>
        </w:tc>
        <w:tc>
          <w:tcPr>
            <w:tcW w:w="1125" w:type="dxa"/>
            <w:noWrap w:val="0"/>
            <w:vAlign w:val="center"/>
          </w:tcPr>
          <w:p w14:paraId="4805E8E1">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55F3259E">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7.7612</w:t>
            </w:r>
          </w:p>
        </w:tc>
        <w:tc>
          <w:tcPr>
            <w:tcW w:w="1126" w:type="dxa"/>
            <w:noWrap w:val="0"/>
            <w:vAlign w:val="center"/>
          </w:tcPr>
          <w:p w14:paraId="75E392C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13.3365</w:t>
            </w:r>
          </w:p>
        </w:tc>
        <w:tc>
          <w:tcPr>
            <w:tcW w:w="1126" w:type="dxa"/>
            <w:noWrap w:val="0"/>
            <w:vAlign w:val="center"/>
          </w:tcPr>
          <w:p w14:paraId="1EF2D56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1.6465</w:t>
            </w:r>
          </w:p>
        </w:tc>
        <w:tc>
          <w:tcPr>
            <w:tcW w:w="991" w:type="dxa"/>
            <w:noWrap w:val="0"/>
            <w:vAlign w:val="center"/>
          </w:tcPr>
          <w:p w14:paraId="7B383DFB">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5BDF6D9B">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030" w:type="dxa"/>
            <w:noWrap w:val="0"/>
            <w:vAlign w:val="center"/>
          </w:tcPr>
          <w:p w14:paraId="277160B7">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0.0000</w:t>
            </w:r>
          </w:p>
        </w:tc>
      </w:tr>
      <w:tr w14:paraId="0105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778C4D4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南港村</w:t>
            </w:r>
          </w:p>
        </w:tc>
        <w:tc>
          <w:tcPr>
            <w:tcW w:w="1125" w:type="dxa"/>
            <w:noWrap w:val="0"/>
            <w:vAlign w:val="center"/>
          </w:tcPr>
          <w:p w14:paraId="65020B62">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4E8DB566">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2530699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4.7907</w:t>
            </w:r>
          </w:p>
        </w:tc>
        <w:tc>
          <w:tcPr>
            <w:tcW w:w="1126" w:type="dxa"/>
            <w:noWrap w:val="0"/>
            <w:vAlign w:val="center"/>
          </w:tcPr>
          <w:p w14:paraId="11CACECE">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4.7907</w:t>
            </w:r>
          </w:p>
        </w:tc>
        <w:tc>
          <w:tcPr>
            <w:tcW w:w="991" w:type="dxa"/>
            <w:noWrap w:val="0"/>
            <w:vAlign w:val="center"/>
          </w:tcPr>
          <w:p w14:paraId="4912729E">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1.6539</w:t>
            </w:r>
          </w:p>
        </w:tc>
        <w:tc>
          <w:tcPr>
            <w:tcW w:w="991" w:type="dxa"/>
            <w:noWrap w:val="0"/>
            <w:vAlign w:val="center"/>
          </w:tcPr>
          <w:p w14:paraId="6D35112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030" w:type="dxa"/>
            <w:noWrap w:val="0"/>
            <w:vAlign w:val="center"/>
          </w:tcPr>
          <w:p w14:paraId="0C149F47">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0.0000</w:t>
            </w:r>
          </w:p>
        </w:tc>
      </w:tr>
      <w:tr w14:paraId="5E93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473" w:type="dxa"/>
            <w:noWrap w:val="0"/>
            <w:vAlign w:val="center"/>
          </w:tcPr>
          <w:p w14:paraId="4AD3046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天塘村</w:t>
            </w:r>
          </w:p>
        </w:tc>
        <w:tc>
          <w:tcPr>
            <w:tcW w:w="1125" w:type="dxa"/>
            <w:noWrap w:val="0"/>
            <w:vAlign w:val="center"/>
          </w:tcPr>
          <w:p w14:paraId="73CBD999">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58B40392">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26.6245</w:t>
            </w:r>
          </w:p>
        </w:tc>
        <w:tc>
          <w:tcPr>
            <w:tcW w:w="1126" w:type="dxa"/>
            <w:noWrap w:val="0"/>
            <w:vAlign w:val="center"/>
          </w:tcPr>
          <w:p w14:paraId="64AC351B">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5.6498</w:t>
            </w:r>
          </w:p>
        </w:tc>
        <w:tc>
          <w:tcPr>
            <w:tcW w:w="1126" w:type="dxa"/>
            <w:noWrap w:val="0"/>
            <w:vAlign w:val="center"/>
          </w:tcPr>
          <w:p w14:paraId="31A31EB5">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62F214AF">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18A9FAF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030" w:type="dxa"/>
            <w:noWrap w:val="0"/>
            <w:vAlign w:val="center"/>
          </w:tcPr>
          <w:p w14:paraId="1AA91C9A">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0.0000</w:t>
            </w:r>
          </w:p>
        </w:tc>
      </w:tr>
      <w:tr w14:paraId="1154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0F56987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侬儿墩村</w:t>
            </w:r>
          </w:p>
        </w:tc>
        <w:tc>
          <w:tcPr>
            <w:tcW w:w="1125" w:type="dxa"/>
            <w:noWrap w:val="0"/>
            <w:vAlign w:val="center"/>
          </w:tcPr>
          <w:p w14:paraId="389CDFFB">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4566871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27E2FBF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20A1042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3.0407</w:t>
            </w:r>
          </w:p>
        </w:tc>
        <w:tc>
          <w:tcPr>
            <w:tcW w:w="991" w:type="dxa"/>
            <w:noWrap w:val="0"/>
            <w:vAlign w:val="center"/>
          </w:tcPr>
          <w:p w14:paraId="2276E1B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3.0407</w:t>
            </w:r>
          </w:p>
        </w:tc>
        <w:tc>
          <w:tcPr>
            <w:tcW w:w="991" w:type="dxa"/>
            <w:noWrap w:val="0"/>
            <w:vAlign w:val="center"/>
          </w:tcPr>
          <w:p w14:paraId="4D07E877">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030" w:type="dxa"/>
            <w:noWrap w:val="0"/>
            <w:vAlign w:val="center"/>
          </w:tcPr>
          <w:p w14:paraId="03C82CEE">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0.0000</w:t>
            </w:r>
          </w:p>
        </w:tc>
      </w:tr>
      <w:tr w14:paraId="32D6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03A8B03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矮江村</w:t>
            </w:r>
          </w:p>
        </w:tc>
        <w:tc>
          <w:tcPr>
            <w:tcW w:w="1125" w:type="dxa"/>
            <w:noWrap w:val="0"/>
            <w:vAlign w:val="center"/>
          </w:tcPr>
          <w:p w14:paraId="4CCE542F">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568CA72C">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57E0E97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48DF346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10EF6E1D">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1.6831</w:t>
            </w:r>
          </w:p>
        </w:tc>
        <w:tc>
          <w:tcPr>
            <w:tcW w:w="991" w:type="dxa"/>
            <w:noWrap w:val="0"/>
            <w:vAlign w:val="center"/>
          </w:tcPr>
          <w:p w14:paraId="41911159">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1.6831</w:t>
            </w:r>
          </w:p>
        </w:tc>
        <w:tc>
          <w:tcPr>
            <w:tcW w:w="1030" w:type="dxa"/>
            <w:noWrap w:val="0"/>
            <w:vAlign w:val="center"/>
          </w:tcPr>
          <w:p w14:paraId="0F6D21B1">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1.1638</w:t>
            </w:r>
          </w:p>
        </w:tc>
      </w:tr>
      <w:tr w14:paraId="05C6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369BECA6">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围田沟村</w:t>
            </w:r>
          </w:p>
        </w:tc>
        <w:tc>
          <w:tcPr>
            <w:tcW w:w="1125" w:type="dxa"/>
            <w:noWrap w:val="0"/>
            <w:vAlign w:val="center"/>
          </w:tcPr>
          <w:p w14:paraId="1D648AD8">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2A43D37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7F0427A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2EE0079C">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315F24CE">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1.1410</w:t>
            </w:r>
          </w:p>
        </w:tc>
        <w:tc>
          <w:tcPr>
            <w:tcW w:w="991" w:type="dxa"/>
            <w:noWrap w:val="0"/>
            <w:vAlign w:val="center"/>
          </w:tcPr>
          <w:p w14:paraId="0940DA56">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1.1410</w:t>
            </w:r>
          </w:p>
        </w:tc>
        <w:tc>
          <w:tcPr>
            <w:tcW w:w="1030" w:type="dxa"/>
            <w:noWrap w:val="0"/>
            <w:vAlign w:val="center"/>
          </w:tcPr>
          <w:p w14:paraId="5C01D7E2">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1.1410</w:t>
            </w:r>
          </w:p>
        </w:tc>
      </w:tr>
      <w:tr w14:paraId="7D8A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6DEADFCF">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坪下村</w:t>
            </w:r>
          </w:p>
        </w:tc>
        <w:tc>
          <w:tcPr>
            <w:tcW w:w="1125" w:type="dxa"/>
            <w:noWrap w:val="0"/>
            <w:vAlign w:val="center"/>
          </w:tcPr>
          <w:p w14:paraId="4D508E5C">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72E108B4">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1A57628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3E641260">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7EE4CB78">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789BB03A">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0.8348</w:t>
            </w:r>
          </w:p>
        </w:tc>
        <w:tc>
          <w:tcPr>
            <w:tcW w:w="1030" w:type="dxa"/>
            <w:noWrap w:val="0"/>
            <w:vAlign w:val="center"/>
          </w:tcPr>
          <w:p w14:paraId="7350C95A">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0.8348</w:t>
            </w:r>
          </w:p>
        </w:tc>
      </w:tr>
      <w:tr w14:paraId="4B03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32A01FAF">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钦州市第一中学钦州港校区</w:t>
            </w:r>
          </w:p>
        </w:tc>
        <w:tc>
          <w:tcPr>
            <w:tcW w:w="1125" w:type="dxa"/>
            <w:noWrap w:val="0"/>
            <w:vAlign w:val="center"/>
          </w:tcPr>
          <w:p w14:paraId="32D11D6D">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5C3BBED6">
            <w:pPr>
              <w:adjustRightInd w:val="0"/>
              <w:snapToGrid w:val="0"/>
              <w:jc w:val="center"/>
              <w:rPr>
                <w:rFonts w:hint="eastAsia"/>
              </w:rPr>
            </w:pPr>
            <w:r>
              <w:rPr>
                <w:rFonts w:hint="eastAsia"/>
              </w:rPr>
              <w:t>0.0000</w:t>
            </w:r>
          </w:p>
        </w:tc>
        <w:tc>
          <w:tcPr>
            <w:tcW w:w="1126" w:type="dxa"/>
            <w:noWrap w:val="0"/>
            <w:vAlign w:val="center"/>
          </w:tcPr>
          <w:p w14:paraId="5F6EBC19">
            <w:pPr>
              <w:adjustRightInd w:val="0"/>
              <w:snapToGrid w:val="0"/>
              <w:jc w:val="center"/>
              <w:rPr>
                <w:rFonts w:hint="eastAsia"/>
              </w:rPr>
            </w:pPr>
            <w:r>
              <w:rPr>
                <w:rFonts w:hint="eastAsia"/>
              </w:rPr>
              <w:t>0.0000</w:t>
            </w:r>
          </w:p>
        </w:tc>
        <w:tc>
          <w:tcPr>
            <w:tcW w:w="1126" w:type="dxa"/>
            <w:noWrap w:val="0"/>
            <w:vAlign w:val="center"/>
          </w:tcPr>
          <w:p w14:paraId="4549784E">
            <w:pPr>
              <w:adjustRightInd w:val="0"/>
              <w:snapToGrid w:val="0"/>
              <w:jc w:val="center"/>
              <w:rPr>
                <w:rFonts w:hint="eastAsia"/>
              </w:rPr>
            </w:pPr>
            <w:r>
              <w:rPr>
                <w:rFonts w:hint="eastAsia"/>
              </w:rPr>
              <w:t>2.3886</w:t>
            </w:r>
          </w:p>
        </w:tc>
        <w:tc>
          <w:tcPr>
            <w:tcW w:w="991" w:type="dxa"/>
            <w:noWrap w:val="0"/>
            <w:vAlign w:val="center"/>
          </w:tcPr>
          <w:p w14:paraId="6DF52953">
            <w:pPr>
              <w:adjustRightInd w:val="0"/>
              <w:snapToGrid w:val="0"/>
              <w:jc w:val="center"/>
              <w:rPr>
                <w:rFonts w:hint="eastAsia"/>
              </w:rPr>
            </w:pPr>
            <w:r>
              <w:rPr>
                <w:rFonts w:hint="eastAsia"/>
              </w:rPr>
              <w:t>2.3886</w:t>
            </w:r>
          </w:p>
        </w:tc>
        <w:tc>
          <w:tcPr>
            <w:tcW w:w="991" w:type="dxa"/>
            <w:noWrap w:val="0"/>
            <w:vAlign w:val="center"/>
          </w:tcPr>
          <w:p w14:paraId="5B212755">
            <w:pPr>
              <w:adjustRightInd w:val="0"/>
              <w:snapToGrid w:val="0"/>
              <w:jc w:val="center"/>
              <w:rPr>
                <w:rFonts w:hint="eastAsia"/>
              </w:rPr>
            </w:pPr>
            <w:r>
              <w:rPr>
                <w:rFonts w:hint="eastAsia"/>
              </w:rPr>
              <w:t>1.2328</w:t>
            </w:r>
          </w:p>
        </w:tc>
        <w:tc>
          <w:tcPr>
            <w:tcW w:w="1030" w:type="dxa"/>
            <w:noWrap w:val="0"/>
            <w:vAlign w:val="center"/>
          </w:tcPr>
          <w:p w14:paraId="2752289A">
            <w:pPr>
              <w:adjustRightInd w:val="0"/>
              <w:snapToGrid w:val="0"/>
              <w:jc w:val="center"/>
              <w:rPr>
                <w:rFonts w:hint="eastAsia"/>
              </w:rPr>
            </w:pPr>
            <w:r>
              <w:rPr>
                <w:rFonts w:hint="eastAsia"/>
              </w:rPr>
              <w:t>0.0000</w:t>
            </w:r>
          </w:p>
        </w:tc>
      </w:tr>
      <w:tr w14:paraId="0F35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3" w:type="dxa"/>
            <w:noWrap w:val="0"/>
            <w:vAlign w:val="center"/>
          </w:tcPr>
          <w:p w14:paraId="21485217">
            <w:pPr>
              <w:adjustRightInd w:val="0"/>
              <w:snapToGrid w:val="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广西茅尾海红树林自治区级自然保护区</w:t>
            </w:r>
            <w:r>
              <w:rPr>
                <w:rFonts w:hint="eastAsia" w:ascii="Times New Roman" w:hAnsi="Times New Roman" w:eastAsia="宋体" w:cs="Times New Roman"/>
                <w:color w:val="000000"/>
                <w:sz w:val="21"/>
                <w:szCs w:val="21"/>
                <w:lang w:val="en-US" w:eastAsia="zh-CN"/>
              </w:rPr>
              <w:t>（七十二泾片）</w:t>
            </w:r>
          </w:p>
        </w:tc>
        <w:tc>
          <w:tcPr>
            <w:tcW w:w="1125" w:type="dxa"/>
            <w:noWrap w:val="0"/>
            <w:vAlign w:val="center"/>
          </w:tcPr>
          <w:p w14:paraId="0577C7E0">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0.0000</w:t>
            </w:r>
          </w:p>
        </w:tc>
        <w:tc>
          <w:tcPr>
            <w:tcW w:w="1126" w:type="dxa"/>
            <w:noWrap w:val="0"/>
            <w:vAlign w:val="center"/>
          </w:tcPr>
          <w:p w14:paraId="24291DEE">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62DB0066">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1126" w:type="dxa"/>
            <w:noWrap w:val="0"/>
            <w:vAlign w:val="center"/>
          </w:tcPr>
          <w:p w14:paraId="5DF0CA71">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0.0000</w:t>
            </w:r>
          </w:p>
        </w:tc>
        <w:tc>
          <w:tcPr>
            <w:tcW w:w="991" w:type="dxa"/>
            <w:noWrap w:val="0"/>
            <w:vAlign w:val="center"/>
          </w:tcPr>
          <w:p w14:paraId="65DA0799">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1.2031</w:t>
            </w:r>
          </w:p>
        </w:tc>
        <w:tc>
          <w:tcPr>
            <w:tcW w:w="991" w:type="dxa"/>
            <w:noWrap w:val="0"/>
            <w:vAlign w:val="center"/>
          </w:tcPr>
          <w:p w14:paraId="47267C66">
            <w:pPr>
              <w:adjustRightInd w:val="0"/>
              <w:snapToGrid w:val="0"/>
              <w:jc w:val="center"/>
              <w:rPr>
                <w:rFonts w:hint="default" w:ascii="Times New Roman" w:hAnsi="Times New Roman" w:eastAsia="宋体" w:cs="Times New Roman"/>
                <w:color w:val="auto"/>
                <w:sz w:val="21"/>
                <w:szCs w:val="21"/>
                <w:lang w:val="zh-CN" w:eastAsia="zh-CN"/>
              </w:rPr>
            </w:pPr>
            <w:r>
              <w:rPr>
                <w:rFonts w:hint="eastAsia"/>
              </w:rPr>
              <w:t>1.2031</w:t>
            </w:r>
          </w:p>
        </w:tc>
        <w:tc>
          <w:tcPr>
            <w:tcW w:w="1030" w:type="dxa"/>
            <w:noWrap w:val="0"/>
            <w:vAlign w:val="center"/>
          </w:tcPr>
          <w:p w14:paraId="168F65E5">
            <w:pPr>
              <w:adjustRightInd w:val="0"/>
              <w:snapToGrid w:val="0"/>
              <w:jc w:val="center"/>
              <w:rPr>
                <w:rFonts w:hint="default" w:ascii="Times New Roman" w:hAnsi="Times New Roman" w:eastAsia="宋体" w:cs="Times New Roman"/>
                <w:color w:val="auto"/>
                <w:sz w:val="21"/>
                <w:szCs w:val="21"/>
                <w:lang w:val="en-US" w:eastAsia="zh-CN"/>
              </w:rPr>
            </w:pPr>
            <w:r>
              <w:rPr>
                <w:rFonts w:hint="eastAsia"/>
              </w:rPr>
              <w:t>1.2031</w:t>
            </w:r>
          </w:p>
        </w:tc>
      </w:tr>
    </w:tbl>
    <w:p w14:paraId="5B062967">
      <w:pPr>
        <w:pStyle w:val="6"/>
        <w:spacing w:line="240" w:lineRule="auto"/>
        <w:ind w:left="0" w:leftChars="0" w:firstLine="0" w:firstLineChars="0"/>
        <w:jc w:val="center"/>
        <w:rPr>
          <w:rFonts w:hint="default" w:ascii="Times New Roman" w:hAnsi="Times New Roman" w:eastAsia="宋体" w:cs="Times New Roman"/>
          <w:color w:val="000000"/>
          <w:sz w:val="24"/>
          <w:szCs w:val="24"/>
          <w:lang w:val="en-US" w:eastAsia="zh-CN"/>
        </w:rPr>
      </w:pPr>
      <w:r>
        <w:drawing>
          <wp:inline distT="0" distB="0" distL="114300" distR="114300">
            <wp:extent cx="5565775" cy="3396615"/>
            <wp:effectExtent l="0" t="0" r="15875" b="1333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5"/>
                    <a:stretch>
                      <a:fillRect/>
                    </a:stretch>
                  </pic:blipFill>
                  <pic:spPr>
                    <a:xfrm>
                      <a:off x="0" y="0"/>
                      <a:ext cx="5565775" cy="3396615"/>
                    </a:xfrm>
                    <a:prstGeom prst="rect">
                      <a:avLst/>
                    </a:prstGeom>
                    <a:noFill/>
                    <a:ln>
                      <a:noFill/>
                    </a:ln>
                  </pic:spPr>
                </pic:pic>
              </a:graphicData>
            </a:graphic>
          </wp:inline>
        </w:drawing>
      </w:r>
      <w:r>
        <w:drawing>
          <wp:anchor distT="0" distB="0" distL="114300" distR="114300" simplePos="0" relativeHeight="251665408" behindDoc="0" locked="0" layoutInCell="1" allowOverlap="1">
            <wp:simplePos x="0" y="0"/>
            <wp:positionH relativeFrom="column">
              <wp:posOffset>4967605</wp:posOffset>
            </wp:positionH>
            <wp:positionV relativeFrom="paragraph">
              <wp:posOffset>144780</wp:posOffset>
            </wp:positionV>
            <wp:extent cx="524510" cy="762000"/>
            <wp:effectExtent l="9525" t="9525" r="18415" b="9525"/>
            <wp:wrapNone/>
            <wp:docPr id="3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0"/>
                    <pic:cNvPicPr>
                      <a:picLocks noChangeAspect="1"/>
                    </pic:cNvPicPr>
                  </pic:nvPicPr>
                  <pic:blipFill>
                    <a:blip r:embed="rId36"/>
                    <a:stretch>
                      <a:fillRect/>
                    </a:stretch>
                  </pic:blipFill>
                  <pic:spPr>
                    <a:xfrm>
                      <a:off x="0" y="0"/>
                      <a:ext cx="524510" cy="762000"/>
                    </a:xfrm>
                    <a:prstGeom prst="rect">
                      <a:avLst/>
                    </a:prstGeom>
                    <a:noFill/>
                    <a:ln w="9525" cap="flat" cmpd="sng">
                      <a:solidFill>
                        <a:srgbClr val="000000"/>
                      </a:solidFill>
                      <a:prstDash val="solid"/>
                      <a:round/>
                      <a:headEnd type="none" w="med" len="med"/>
                      <a:tailEnd type="none" w="med" len="med"/>
                    </a:ln>
                  </pic:spPr>
                </pic:pic>
              </a:graphicData>
            </a:graphic>
          </wp:anchor>
        </w:drawing>
      </w:r>
    </w:p>
    <w:p w14:paraId="49343B55">
      <w:pPr>
        <w:pStyle w:val="6"/>
        <w:spacing w:line="500" w:lineRule="exact"/>
        <w:ind w:firstLine="450" w:firstLineChars="200"/>
        <w:jc w:val="center"/>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图1  20L</w:t>
      </w:r>
      <w:r>
        <w:rPr>
          <w:rFonts w:hint="eastAsia" w:ascii="Times New Roman" w:hAnsi="Times New Roman" w:eastAsia="宋体" w:cs="Times New Roman"/>
          <w:b/>
          <w:bCs/>
          <w:color w:val="000000"/>
          <w:sz w:val="24"/>
          <w:szCs w:val="24"/>
          <w:lang w:val="en-US" w:eastAsia="zh-CN"/>
        </w:rPr>
        <w:t>盐酸</w:t>
      </w:r>
      <w:r>
        <w:rPr>
          <w:rFonts w:hint="default" w:ascii="Times New Roman" w:hAnsi="Times New Roman" w:eastAsia="宋体" w:cs="Times New Roman"/>
          <w:b/>
          <w:bCs/>
          <w:color w:val="000000"/>
          <w:sz w:val="24"/>
          <w:szCs w:val="24"/>
          <w:lang w:val="en-US" w:eastAsia="zh-CN"/>
        </w:rPr>
        <w:t>桶</w:t>
      </w:r>
      <w:r>
        <w:rPr>
          <w:rFonts w:hint="eastAsia" w:ascii="Times New Roman" w:hAnsi="Times New Roman" w:eastAsia="宋体" w:cs="Times New Roman"/>
          <w:b/>
          <w:bCs/>
          <w:color w:val="000000"/>
          <w:sz w:val="24"/>
          <w:szCs w:val="24"/>
          <w:lang w:val="en-US" w:eastAsia="zh-CN"/>
        </w:rPr>
        <w:t>盐酸</w:t>
      </w:r>
      <w:r>
        <w:rPr>
          <w:rFonts w:hint="default" w:ascii="Times New Roman" w:hAnsi="Times New Roman" w:eastAsia="宋体" w:cs="Times New Roman"/>
          <w:b/>
          <w:bCs/>
          <w:color w:val="000000"/>
          <w:sz w:val="24"/>
          <w:szCs w:val="24"/>
          <w:lang w:val="en-US" w:eastAsia="zh-CN"/>
        </w:rPr>
        <w:t>泄漏排放最大影响区域示意图（大气稳定度F）</w:t>
      </w:r>
    </w:p>
    <w:p w14:paraId="3211EEE9">
      <w:pPr>
        <w:pStyle w:val="4"/>
        <w:numPr>
          <w:ilvl w:val="3"/>
          <w:numId w:val="10"/>
        </w:numPr>
        <w:tabs>
          <w:tab w:val="left" w:pos="1358"/>
          <w:tab w:val="left" w:pos="2153"/>
          <w:tab w:val="left" w:pos="2183"/>
        </w:tabs>
        <w:ind w:left="1358"/>
        <w:rPr>
          <w:rFonts w:hint="default" w:ascii="Times New Roman" w:hAnsi="Times New Roman" w:eastAsia="宋体" w:cs="Times New Roman"/>
          <w:b/>
          <w:color w:val="auto"/>
          <w:u w:val="none"/>
          <w:lang w:val="en-US" w:eastAsia="zh-CN"/>
        </w:rPr>
      </w:pPr>
      <w:bookmarkStart w:id="87" w:name="_Toc16364"/>
      <w:r>
        <w:rPr>
          <w:rFonts w:hint="default" w:ascii="Times New Roman" w:hAnsi="Times New Roman" w:eastAsia="宋体" w:cs="Times New Roman"/>
          <w:b/>
          <w:color w:val="auto"/>
          <w:u w:val="none"/>
          <w:lang w:val="en-US" w:eastAsia="zh-CN"/>
        </w:rPr>
        <w:t>20L</w:t>
      </w:r>
      <w:r>
        <w:rPr>
          <w:rFonts w:hint="eastAsia" w:ascii="Times New Roman" w:hAnsi="Times New Roman" w:eastAsia="宋体" w:cs="Times New Roman"/>
          <w:b/>
          <w:color w:val="auto"/>
          <w:u w:val="none"/>
          <w:lang w:val="en-US" w:eastAsia="zh-CN"/>
        </w:rPr>
        <w:t>盐酸</w:t>
      </w:r>
      <w:r>
        <w:rPr>
          <w:rFonts w:hint="default" w:ascii="Times New Roman" w:hAnsi="Times New Roman" w:eastAsia="宋体" w:cs="Times New Roman"/>
          <w:b/>
          <w:color w:val="auto"/>
          <w:u w:val="none"/>
          <w:lang w:val="en-US" w:eastAsia="zh-CN"/>
        </w:rPr>
        <w:t>桶</w:t>
      </w:r>
      <w:r>
        <w:rPr>
          <w:rFonts w:hint="eastAsia" w:ascii="Times New Roman" w:hAnsi="Times New Roman" w:eastAsia="宋体" w:cs="Times New Roman"/>
          <w:b/>
          <w:color w:val="auto"/>
          <w:u w:val="none"/>
          <w:lang w:val="en-US" w:eastAsia="zh-CN"/>
        </w:rPr>
        <w:t>盐酸</w:t>
      </w:r>
      <w:r>
        <w:rPr>
          <w:rFonts w:hint="default" w:ascii="Times New Roman" w:hAnsi="Times New Roman" w:eastAsia="宋体" w:cs="Times New Roman"/>
          <w:b/>
          <w:color w:val="auto"/>
          <w:highlight w:val="none"/>
          <w:u w:val="none"/>
          <w:lang w:val="en-US" w:eastAsia="zh-CN"/>
        </w:rPr>
        <w:t>泄漏预测</w:t>
      </w:r>
      <w:r>
        <w:rPr>
          <w:rFonts w:hint="default" w:ascii="Times New Roman" w:hAnsi="Times New Roman" w:eastAsia="宋体" w:cs="Times New Roman"/>
          <w:b/>
          <w:color w:val="auto"/>
          <w:u w:val="none"/>
          <w:lang w:val="en-US" w:eastAsia="zh-CN"/>
        </w:rPr>
        <w:t>结果</w:t>
      </w:r>
      <w:bookmarkEnd w:id="87"/>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823"/>
        <w:gridCol w:w="1494"/>
        <w:gridCol w:w="1007"/>
        <w:gridCol w:w="624"/>
        <w:gridCol w:w="1048"/>
        <w:gridCol w:w="315"/>
        <w:gridCol w:w="1341"/>
        <w:gridCol w:w="155"/>
        <w:gridCol w:w="1510"/>
      </w:tblGrid>
      <w:tr w14:paraId="106E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4" w:type="dxa"/>
            <w:gridSpan w:val="2"/>
            <w:tcBorders>
              <w:top w:val="single" w:color="auto" w:sz="4" w:space="0"/>
              <w:left w:val="single" w:color="auto" w:sz="4" w:space="0"/>
              <w:bottom w:val="single" w:color="auto" w:sz="4" w:space="0"/>
              <w:right w:val="single" w:color="auto" w:sz="4" w:space="0"/>
            </w:tcBorders>
            <w:noWrap w:val="0"/>
            <w:vAlign w:val="center"/>
          </w:tcPr>
          <w:p w14:paraId="2203E01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事故情形描述</w:t>
            </w:r>
          </w:p>
        </w:tc>
        <w:tc>
          <w:tcPr>
            <w:tcW w:w="7494" w:type="dxa"/>
            <w:gridSpan w:val="8"/>
            <w:tcBorders>
              <w:top w:val="single" w:color="auto" w:sz="4" w:space="0"/>
              <w:left w:val="single" w:color="auto" w:sz="4" w:space="0"/>
              <w:bottom w:val="single" w:color="auto" w:sz="4" w:space="0"/>
              <w:right w:val="single" w:color="auto" w:sz="4" w:space="0"/>
            </w:tcBorders>
            <w:noWrap w:val="0"/>
            <w:vAlign w:val="center"/>
          </w:tcPr>
          <w:p w14:paraId="3AE3E42D">
            <w:pPr>
              <w:adjustRightInd w:val="0"/>
              <w:snapToGrid w:val="0"/>
              <w:jc w:val="center"/>
              <w:rPr>
                <w:rFonts w:hint="default" w:ascii="Times New Roman" w:hAnsi="Times New Roman" w:eastAsia="宋体" w:cs="Times New Roman"/>
                <w:color w:val="auto"/>
                <w:sz w:val="21"/>
                <w:szCs w:val="21"/>
                <w:vertAlign w:val="subscript"/>
                <w:lang w:val="en-US" w:eastAsia="zh-CN"/>
              </w:rPr>
            </w:pPr>
            <w:r>
              <w:rPr>
                <w:rFonts w:hint="default" w:ascii="Times New Roman" w:hAnsi="Times New Roman" w:eastAsia="宋体" w:cs="Times New Roman"/>
                <w:color w:val="auto"/>
                <w:sz w:val="21"/>
                <w:szCs w:val="21"/>
                <w:lang w:val="en-US" w:eastAsia="zh-CN"/>
              </w:rPr>
              <w:t>20L</w:t>
            </w:r>
            <w:r>
              <w:rPr>
                <w:rFonts w:hint="eastAsia" w:ascii="Times New Roman" w:hAnsi="Times New Roman" w:eastAsia="宋体" w:cs="Times New Roman"/>
                <w:color w:val="auto"/>
                <w:sz w:val="21"/>
                <w:szCs w:val="21"/>
                <w:lang w:val="en-US" w:eastAsia="zh-CN"/>
              </w:rPr>
              <w:t>盐酸桶盐酸</w:t>
            </w:r>
            <w:r>
              <w:rPr>
                <w:rFonts w:hint="default" w:ascii="Times New Roman" w:hAnsi="Times New Roman" w:eastAsia="宋体" w:cs="Times New Roman"/>
                <w:color w:val="auto"/>
                <w:sz w:val="21"/>
                <w:szCs w:val="21"/>
              </w:rPr>
              <w:t>泄漏，释放</w:t>
            </w:r>
            <w:r>
              <w:rPr>
                <w:rFonts w:hint="eastAsia" w:ascii="Times New Roman" w:hAnsi="Times New Roman" w:eastAsia="宋体" w:cs="Times New Roman"/>
                <w:color w:val="auto"/>
                <w:sz w:val="21"/>
                <w:szCs w:val="21"/>
                <w:lang w:val="en-US" w:eastAsia="zh-CN"/>
              </w:rPr>
              <w:t>HCl</w:t>
            </w:r>
          </w:p>
        </w:tc>
      </w:tr>
      <w:tr w14:paraId="6D9B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4" w:type="dxa"/>
            <w:gridSpan w:val="2"/>
            <w:tcBorders>
              <w:top w:val="single" w:color="auto" w:sz="4" w:space="0"/>
              <w:left w:val="single" w:color="auto" w:sz="4" w:space="0"/>
              <w:bottom w:val="single" w:color="auto" w:sz="4" w:space="0"/>
              <w:right w:val="single" w:color="auto" w:sz="4" w:space="0"/>
            </w:tcBorders>
            <w:noWrap w:val="0"/>
            <w:vAlign w:val="center"/>
          </w:tcPr>
          <w:p w14:paraId="19F9F3C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泄漏设备类型</w:t>
            </w:r>
          </w:p>
        </w:tc>
        <w:tc>
          <w:tcPr>
            <w:tcW w:w="1494" w:type="dxa"/>
            <w:tcBorders>
              <w:top w:val="single" w:color="auto" w:sz="4" w:space="0"/>
              <w:left w:val="single" w:color="auto" w:sz="4" w:space="0"/>
              <w:bottom w:val="single" w:color="auto" w:sz="4" w:space="0"/>
              <w:right w:val="single" w:color="auto" w:sz="4" w:space="0"/>
            </w:tcBorders>
            <w:noWrap w:val="0"/>
            <w:vAlign w:val="center"/>
          </w:tcPr>
          <w:p w14:paraId="6FFAEA9A">
            <w:pPr>
              <w:adjustRightInd w:val="0"/>
              <w:snapToGrid w:val="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20L</w:t>
            </w:r>
            <w:r>
              <w:rPr>
                <w:rFonts w:hint="eastAsia" w:ascii="Times New Roman" w:hAnsi="Times New Roman" w:eastAsia="宋体" w:cs="Times New Roman"/>
                <w:color w:val="auto"/>
                <w:sz w:val="21"/>
                <w:szCs w:val="21"/>
                <w:lang w:val="en-US" w:eastAsia="zh-CN"/>
              </w:rPr>
              <w:t>盐酸桶</w:t>
            </w:r>
          </w:p>
        </w:tc>
        <w:tc>
          <w:tcPr>
            <w:tcW w:w="1631" w:type="dxa"/>
            <w:gridSpan w:val="2"/>
            <w:tcBorders>
              <w:top w:val="single" w:color="auto" w:sz="4" w:space="0"/>
              <w:left w:val="single" w:color="auto" w:sz="4" w:space="0"/>
              <w:bottom w:val="single" w:color="auto" w:sz="4" w:space="0"/>
              <w:right w:val="single" w:color="auto" w:sz="4" w:space="0"/>
            </w:tcBorders>
            <w:noWrap w:val="0"/>
            <w:vAlign w:val="center"/>
          </w:tcPr>
          <w:p w14:paraId="7944AFC6">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操作温度/℃</w:t>
            </w:r>
          </w:p>
        </w:tc>
        <w:tc>
          <w:tcPr>
            <w:tcW w:w="1363" w:type="dxa"/>
            <w:gridSpan w:val="2"/>
            <w:tcBorders>
              <w:top w:val="single" w:color="auto" w:sz="4" w:space="0"/>
              <w:left w:val="single" w:color="auto" w:sz="4" w:space="0"/>
              <w:bottom w:val="single" w:color="auto" w:sz="4" w:space="0"/>
              <w:right w:val="single" w:color="auto" w:sz="4" w:space="0"/>
            </w:tcBorders>
            <w:noWrap w:val="0"/>
            <w:vAlign w:val="center"/>
          </w:tcPr>
          <w:p w14:paraId="65862BE9">
            <w:pPr>
              <w:adjustRightInd w:val="0"/>
              <w:snapToGrid w:val="0"/>
              <w:jc w:val="center"/>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auto"/>
                <w:sz w:val="21"/>
                <w:szCs w:val="21"/>
                <w:lang w:val="en-US" w:eastAsia="zh-CN"/>
              </w:rPr>
              <w:t>22.33</w:t>
            </w:r>
          </w:p>
        </w:tc>
        <w:tc>
          <w:tcPr>
            <w:tcW w:w="1496" w:type="dxa"/>
            <w:gridSpan w:val="2"/>
            <w:tcBorders>
              <w:top w:val="single" w:color="auto" w:sz="4" w:space="0"/>
              <w:left w:val="single" w:color="auto" w:sz="4" w:space="0"/>
              <w:bottom w:val="single" w:color="auto" w:sz="4" w:space="0"/>
              <w:right w:val="single" w:color="auto" w:sz="4" w:space="0"/>
            </w:tcBorders>
            <w:noWrap w:val="0"/>
            <w:vAlign w:val="center"/>
          </w:tcPr>
          <w:p w14:paraId="30B26E9E">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操作压力/Pa</w:t>
            </w:r>
          </w:p>
        </w:tc>
        <w:tc>
          <w:tcPr>
            <w:tcW w:w="1510" w:type="dxa"/>
            <w:tcBorders>
              <w:top w:val="single" w:color="auto" w:sz="4" w:space="0"/>
              <w:left w:val="single" w:color="auto" w:sz="4" w:space="0"/>
              <w:bottom w:val="single" w:color="auto" w:sz="4" w:space="0"/>
              <w:right w:val="single" w:color="auto" w:sz="4" w:space="0"/>
            </w:tcBorders>
            <w:noWrap w:val="0"/>
            <w:vAlign w:val="center"/>
          </w:tcPr>
          <w:p w14:paraId="3F9C26FA">
            <w:pPr>
              <w:adjustRightInd w:val="0"/>
              <w:snapToGrid w:val="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101.08</w:t>
            </w:r>
          </w:p>
        </w:tc>
      </w:tr>
      <w:tr w14:paraId="2E6E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4" w:type="dxa"/>
            <w:gridSpan w:val="2"/>
            <w:tcBorders>
              <w:top w:val="single" w:color="auto" w:sz="4" w:space="0"/>
              <w:left w:val="single" w:color="auto" w:sz="4" w:space="0"/>
              <w:bottom w:val="single" w:color="auto" w:sz="4" w:space="0"/>
              <w:right w:val="single" w:color="auto" w:sz="4" w:space="0"/>
            </w:tcBorders>
            <w:noWrap w:val="0"/>
            <w:vAlign w:val="center"/>
          </w:tcPr>
          <w:p w14:paraId="6E75365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泄漏危险物质</w:t>
            </w:r>
          </w:p>
        </w:tc>
        <w:tc>
          <w:tcPr>
            <w:tcW w:w="1494" w:type="dxa"/>
            <w:tcBorders>
              <w:top w:val="single" w:color="auto" w:sz="4" w:space="0"/>
              <w:left w:val="single" w:color="auto" w:sz="4" w:space="0"/>
              <w:bottom w:val="single" w:color="auto" w:sz="4" w:space="0"/>
              <w:right w:val="single" w:color="auto" w:sz="4" w:space="0"/>
            </w:tcBorders>
            <w:noWrap w:val="0"/>
            <w:vAlign w:val="center"/>
          </w:tcPr>
          <w:p w14:paraId="27F9EE18">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auto"/>
                <w:sz w:val="21"/>
                <w:szCs w:val="21"/>
                <w:lang w:val="en-US" w:eastAsia="zh-CN"/>
              </w:rPr>
              <w:t>HCl</w:t>
            </w:r>
          </w:p>
        </w:tc>
        <w:tc>
          <w:tcPr>
            <w:tcW w:w="1631" w:type="dxa"/>
            <w:gridSpan w:val="2"/>
            <w:tcBorders>
              <w:top w:val="single" w:color="auto" w:sz="4" w:space="0"/>
              <w:left w:val="single" w:color="auto" w:sz="4" w:space="0"/>
              <w:bottom w:val="single" w:color="auto" w:sz="4" w:space="0"/>
              <w:right w:val="single" w:color="auto" w:sz="4" w:space="0"/>
            </w:tcBorders>
            <w:noWrap w:val="0"/>
            <w:vAlign w:val="center"/>
          </w:tcPr>
          <w:p w14:paraId="599B76FD">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最大存在量</w:t>
            </w:r>
          </w:p>
        </w:tc>
        <w:tc>
          <w:tcPr>
            <w:tcW w:w="1363" w:type="dxa"/>
            <w:gridSpan w:val="2"/>
            <w:tcBorders>
              <w:top w:val="single" w:color="auto" w:sz="4" w:space="0"/>
              <w:left w:val="single" w:color="auto" w:sz="4" w:space="0"/>
              <w:bottom w:val="single" w:color="auto" w:sz="4" w:space="0"/>
              <w:right w:val="single" w:color="auto" w:sz="4" w:space="0"/>
            </w:tcBorders>
            <w:noWrap w:val="0"/>
            <w:vAlign w:val="center"/>
          </w:tcPr>
          <w:p w14:paraId="76955BBC">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auto"/>
                <w:sz w:val="21"/>
                <w:szCs w:val="21"/>
                <w:lang w:val="en-US" w:eastAsia="zh-CN"/>
              </w:rPr>
              <w:t>0.04</w:t>
            </w:r>
            <w:r>
              <w:rPr>
                <w:rFonts w:hint="default" w:ascii="Times New Roman" w:hAnsi="Times New Roman" w:eastAsia="宋体" w:cs="Times New Roman"/>
                <w:color w:val="auto"/>
                <w:sz w:val="21"/>
                <w:szCs w:val="21"/>
                <w:lang w:val="en-US" w:eastAsia="zh-CN"/>
              </w:rPr>
              <w:t>t</w:t>
            </w:r>
          </w:p>
        </w:tc>
        <w:tc>
          <w:tcPr>
            <w:tcW w:w="1496" w:type="dxa"/>
            <w:gridSpan w:val="2"/>
            <w:tcBorders>
              <w:top w:val="single" w:color="auto" w:sz="4" w:space="0"/>
              <w:left w:val="single" w:color="auto" w:sz="4" w:space="0"/>
              <w:bottom w:val="single" w:color="auto" w:sz="4" w:space="0"/>
              <w:right w:val="single" w:color="auto" w:sz="4" w:space="0"/>
            </w:tcBorders>
            <w:noWrap w:val="0"/>
            <w:vAlign w:val="center"/>
          </w:tcPr>
          <w:p w14:paraId="13CB1FFA">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泄漏孔径/mm</w:t>
            </w:r>
          </w:p>
        </w:tc>
        <w:tc>
          <w:tcPr>
            <w:tcW w:w="1510" w:type="dxa"/>
            <w:tcBorders>
              <w:top w:val="single" w:color="auto" w:sz="4" w:space="0"/>
              <w:left w:val="single" w:color="auto" w:sz="4" w:space="0"/>
              <w:bottom w:val="single" w:color="auto" w:sz="4" w:space="0"/>
              <w:right w:val="single" w:color="auto" w:sz="4" w:space="0"/>
            </w:tcBorders>
            <w:noWrap w:val="0"/>
            <w:vAlign w:val="center"/>
          </w:tcPr>
          <w:p w14:paraId="51B04694">
            <w:pPr>
              <w:adjustRightInd w:val="0"/>
              <w:snapToGrid w:val="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10</w:t>
            </w:r>
          </w:p>
        </w:tc>
      </w:tr>
      <w:tr w14:paraId="6A8F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4" w:type="dxa"/>
            <w:gridSpan w:val="2"/>
            <w:tcBorders>
              <w:top w:val="single" w:color="auto" w:sz="4" w:space="0"/>
              <w:left w:val="single" w:color="auto" w:sz="4" w:space="0"/>
              <w:bottom w:val="single" w:color="auto" w:sz="4" w:space="0"/>
              <w:right w:val="single" w:color="auto" w:sz="4" w:space="0"/>
            </w:tcBorders>
            <w:noWrap w:val="0"/>
            <w:vAlign w:val="center"/>
          </w:tcPr>
          <w:p w14:paraId="0D85F45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最不利气象条件泄漏速率</w:t>
            </w:r>
          </w:p>
        </w:tc>
        <w:tc>
          <w:tcPr>
            <w:tcW w:w="1494" w:type="dxa"/>
            <w:tcBorders>
              <w:top w:val="single" w:color="auto" w:sz="4" w:space="0"/>
              <w:left w:val="single" w:color="auto" w:sz="4" w:space="0"/>
              <w:bottom w:val="single" w:color="auto" w:sz="4" w:space="0"/>
              <w:right w:val="single" w:color="auto" w:sz="4" w:space="0"/>
            </w:tcBorders>
            <w:noWrap w:val="0"/>
            <w:vAlign w:val="center"/>
          </w:tcPr>
          <w:p w14:paraId="7B6E1738">
            <w:pPr>
              <w:adjustRightInd w:val="0"/>
              <w:snapToGrid w:val="0"/>
              <w:jc w:val="center"/>
              <w:rPr>
                <w:rFonts w:hint="default" w:ascii="Times New Roman" w:hAnsi="Times New Roman" w:eastAsia="宋体" w:cs="Times New Roman"/>
                <w:color w:val="FF0000"/>
                <w:sz w:val="21"/>
                <w:szCs w:val="21"/>
              </w:rPr>
            </w:pPr>
            <w:r>
              <w:rPr>
                <w:rFonts w:hint="eastAsia" w:cs="Times New Roman"/>
                <w:color w:val="auto"/>
                <w:sz w:val="21"/>
                <w:szCs w:val="21"/>
                <w:lang w:val="en-US" w:eastAsia="zh-CN"/>
              </w:rPr>
              <w:t>0.1715</w:t>
            </w:r>
            <w:r>
              <w:rPr>
                <w:rFonts w:hint="default" w:ascii="Times New Roman" w:hAnsi="Times New Roman" w:eastAsia="宋体" w:cs="Times New Roman"/>
                <w:color w:val="auto"/>
                <w:sz w:val="21"/>
                <w:szCs w:val="21"/>
              </w:rPr>
              <w:t>kg/s</w:t>
            </w:r>
          </w:p>
        </w:tc>
        <w:tc>
          <w:tcPr>
            <w:tcW w:w="1631" w:type="dxa"/>
            <w:gridSpan w:val="2"/>
            <w:tcBorders>
              <w:top w:val="single" w:color="auto" w:sz="4" w:space="0"/>
              <w:left w:val="single" w:color="auto" w:sz="4" w:space="0"/>
              <w:bottom w:val="single" w:color="auto" w:sz="4" w:space="0"/>
              <w:right w:val="single" w:color="auto" w:sz="4" w:space="0"/>
            </w:tcBorders>
            <w:noWrap w:val="0"/>
            <w:vAlign w:val="center"/>
          </w:tcPr>
          <w:p w14:paraId="03DAB3A1">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泄漏时间</w:t>
            </w:r>
          </w:p>
        </w:tc>
        <w:tc>
          <w:tcPr>
            <w:tcW w:w="1363" w:type="dxa"/>
            <w:gridSpan w:val="2"/>
            <w:tcBorders>
              <w:top w:val="single" w:color="auto" w:sz="4" w:space="0"/>
              <w:left w:val="single" w:color="auto" w:sz="4" w:space="0"/>
              <w:bottom w:val="single" w:color="auto" w:sz="4" w:space="0"/>
              <w:right w:val="single" w:color="auto" w:sz="4" w:space="0"/>
            </w:tcBorders>
            <w:noWrap w:val="0"/>
            <w:vAlign w:val="center"/>
          </w:tcPr>
          <w:p w14:paraId="0CA727F2">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min</w:t>
            </w:r>
          </w:p>
        </w:tc>
        <w:tc>
          <w:tcPr>
            <w:tcW w:w="1496" w:type="dxa"/>
            <w:gridSpan w:val="2"/>
            <w:tcBorders>
              <w:top w:val="single" w:color="auto" w:sz="4" w:space="0"/>
              <w:left w:val="single" w:color="auto" w:sz="4" w:space="0"/>
              <w:bottom w:val="single" w:color="auto" w:sz="4" w:space="0"/>
              <w:right w:val="single" w:color="auto" w:sz="4" w:space="0"/>
            </w:tcBorders>
            <w:noWrap w:val="0"/>
            <w:vAlign w:val="center"/>
          </w:tcPr>
          <w:p w14:paraId="4A855F63">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泄漏量/kg</w:t>
            </w:r>
          </w:p>
        </w:tc>
        <w:tc>
          <w:tcPr>
            <w:tcW w:w="1510" w:type="dxa"/>
            <w:tcBorders>
              <w:top w:val="single" w:color="auto" w:sz="4" w:space="0"/>
              <w:left w:val="single" w:color="auto" w:sz="4" w:space="0"/>
              <w:bottom w:val="single" w:color="auto" w:sz="4" w:space="0"/>
              <w:right w:val="single" w:color="auto" w:sz="4" w:space="0"/>
            </w:tcBorders>
            <w:noWrap w:val="0"/>
            <w:vAlign w:val="center"/>
          </w:tcPr>
          <w:p w14:paraId="253C0534">
            <w:pPr>
              <w:adjustRightInd w:val="0"/>
              <w:snapToGrid w:val="0"/>
              <w:jc w:val="center"/>
              <w:rPr>
                <w:rFonts w:hint="default" w:ascii="Times New Roman" w:hAnsi="Times New Roman" w:eastAsia="宋体" w:cs="Times New Roman"/>
                <w:color w:val="FF0000"/>
                <w:sz w:val="21"/>
                <w:szCs w:val="21"/>
                <w:lang w:val="en-US"/>
              </w:rPr>
            </w:pPr>
            <w:r>
              <w:rPr>
                <w:rFonts w:hint="eastAsia" w:cs="Times New Roman"/>
                <w:color w:val="auto"/>
                <w:sz w:val="21"/>
                <w:szCs w:val="21"/>
                <w:lang w:val="en-US" w:eastAsia="zh-CN"/>
              </w:rPr>
              <w:t>40</w:t>
            </w:r>
          </w:p>
        </w:tc>
      </w:tr>
      <w:tr w14:paraId="01C6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4" w:type="dxa"/>
            <w:gridSpan w:val="2"/>
            <w:tcBorders>
              <w:top w:val="single" w:color="auto" w:sz="4" w:space="0"/>
              <w:left w:val="single" w:color="auto" w:sz="4" w:space="0"/>
              <w:bottom w:val="single" w:color="auto" w:sz="4" w:space="0"/>
              <w:right w:val="single" w:color="auto" w:sz="4" w:space="0"/>
            </w:tcBorders>
            <w:noWrap w:val="0"/>
            <w:vAlign w:val="center"/>
          </w:tcPr>
          <w:p w14:paraId="3E9C9F3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最不利气象条件泄漏高度</w:t>
            </w:r>
          </w:p>
        </w:tc>
        <w:tc>
          <w:tcPr>
            <w:tcW w:w="1494" w:type="dxa"/>
            <w:tcBorders>
              <w:top w:val="single" w:color="auto" w:sz="4" w:space="0"/>
              <w:left w:val="single" w:color="auto" w:sz="4" w:space="0"/>
              <w:bottom w:val="single" w:color="auto" w:sz="4" w:space="0"/>
              <w:right w:val="single" w:color="auto" w:sz="4" w:space="0"/>
            </w:tcBorders>
            <w:noWrap w:val="0"/>
            <w:vAlign w:val="center"/>
          </w:tcPr>
          <w:p w14:paraId="2106875D">
            <w:pPr>
              <w:adjustRightInd w:val="0"/>
              <w:snapToGrid w:val="0"/>
              <w:jc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auto"/>
                <w:sz w:val="21"/>
                <w:szCs w:val="21"/>
                <w:lang w:eastAsia="zh-CN"/>
              </w:rPr>
              <w:t>—</w:t>
            </w:r>
          </w:p>
        </w:tc>
        <w:tc>
          <w:tcPr>
            <w:tcW w:w="1631" w:type="dxa"/>
            <w:gridSpan w:val="2"/>
            <w:tcBorders>
              <w:top w:val="single" w:color="auto" w:sz="4" w:space="0"/>
              <w:left w:val="single" w:color="auto" w:sz="4" w:space="0"/>
              <w:bottom w:val="single" w:color="auto" w:sz="4" w:space="0"/>
              <w:right w:val="single" w:color="auto" w:sz="4" w:space="0"/>
            </w:tcBorders>
            <w:noWrap w:val="0"/>
            <w:vAlign w:val="center"/>
          </w:tcPr>
          <w:p w14:paraId="0CEC482A">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泄漏液体蒸发量</w:t>
            </w:r>
            <w:r>
              <w:rPr>
                <w:rFonts w:hint="default" w:ascii="Times New Roman" w:hAnsi="Times New Roman" w:eastAsia="宋体" w:cs="Times New Roman"/>
                <w:color w:val="auto"/>
                <w:sz w:val="21"/>
                <w:szCs w:val="21"/>
                <w:lang w:val="en-US" w:eastAsia="zh-CN"/>
              </w:rPr>
              <w:t>/kg</w:t>
            </w:r>
          </w:p>
        </w:tc>
        <w:tc>
          <w:tcPr>
            <w:tcW w:w="1363" w:type="dxa"/>
            <w:gridSpan w:val="2"/>
            <w:tcBorders>
              <w:top w:val="single" w:color="auto" w:sz="4" w:space="0"/>
              <w:left w:val="single" w:color="auto" w:sz="4" w:space="0"/>
              <w:bottom w:val="single" w:color="auto" w:sz="4" w:space="0"/>
              <w:right w:val="single" w:color="auto" w:sz="4" w:space="0"/>
            </w:tcBorders>
            <w:noWrap w:val="0"/>
            <w:vAlign w:val="center"/>
          </w:tcPr>
          <w:p w14:paraId="7202CC86">
            <w:pPr>
              <w:adjustRightInd w:val="0"/>
              <w:snapToGrid w:val="0"/>
              <w:jc w:val="center"/>
              <w:rPr>
                <w:rFonts w:hint="default" w:ascii="Times New Roman" w:hAnsi="Times New Roman" w:eastAsia="宋体" w:cs="Times New Roman"/>
                <w:color w:val="FF0000"/>
                <w:sz w:val="21"/>
                <w:szCs w:val="21"/>
                <w:lang w:val="en-US" w:eastAsia="zh-CN"/>
              </w:rPr>
            </w:pPr>
            <w:r>
              <w:rPr>
                <w:rFonts w:hint="eastAsia" w:cs="Times New Roman"/>
                <w:color w:val="auto"/>
                <w:sz w:val="21"/>
                <w:szCs w:val="21"/>
                <w:lang w:val="en-US" w:eastAsia="zh-CN"/>
              </w:rPr>
              <w:t>40</w:t>
            </w:r>
          </w:p>
        </w:tc>
        <w:tc>
          <w:tcPr>
            <w:tcW w:w="1496" w:type="dxa"/>
            <w:gridSpan w:val="2"/>
            <w:tcBorders>
              <w:top w:val="single" w:color="auto" w:sz="4" w:space="0"/>
              <w:left w:val="single" w:color="auto" w:sz="4" w:space="0"/>
              <w:bottom w:val="single" w:color="auto" w:sz="4" w:space="0"/>
              <w:right w:val="single" w:color="auto" w:sz="4" w:space="0"/>
            </w:tcBorders>
            <w:noWrap w:val="0"/>
            <w:vAlign w:val="center"/>
          </w:tcPr>
          <w:p w14:paraId="7A24BA9D">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泄漏频率</w:t>
            </w:r>
          </w:p>
        </w:tc>
        <w:tc>
          <w:tcPr>
            <w:tcW w:w="1510" w:type="dxa"/>
            <w:tcBorders>
              <w:top w:val="single" w:color="auto" w:sz="4" w:space="0"/>
              <w:left w:val="single" w:color="auto" w:sz="4" w:space="0"/>
              <w:bottom w:val="single" w:color="auto" w:sz="4" w:space="0"/>
              <w:right w:val="single" w:color="auto" w:sz="4" w:space="0"/>
            </w:tcBorders>
            <w:noWrap w:val="0"/>
            <w:vAlign w:val="center"/>
          </w:tcPr>
          <w:p w14:paraId="23A86439">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vertAlign w:val="superscript"/>
                <w:lang w:val="en-US" w:eastAsia="zh-CN"/>
              </w:rPr>
              <w:t>4</w:t>
            </w:r>
            <w:r>
              <w:rPr>
                <w:rFonts w:hint="default" w:ascii="Times New Roman" w:hAnsi="Times New Roman" w:eastAsia="宋体" w:cs="Times New Roman"/>
                <w:color w:val="auto"/>
                <w:sz w:val="21"/>
                <w:szCs w:val="21"/>
              </w:rPr>
              <w:t>/a</w:t>
            </w:r>
          </w:p>
        </w:tc>
      </w:tr>
      <w:tr w14:paraId="47DD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tcBorders>
              <w:top w:val="single" w:color="auto" w:sz="4" w:space="0"/>
              <w:left w:val="single" w:color="auto" w:sz="4" w:space="0"/>
              <w:bottom w:val="single" w:color="auto" w:sz="4" w:space="0"/>
              <w:right w:val="single" w:color="auto" w:sz="4" w:space="0"/>
            </w:tcBorders>
            <w:noWrap w:val="0"/>
            <w:vAlign w:val="center"/>
          </w:tcPr>
          <w:p w14:paraId="1D61676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w:t>
            </w:r>
          </w:p>
          <w:p w14:paraId="3B21B9D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物质</w:t>
            </w:r>
          </w:p>
        </w:tc>
        <w:tc>
          <w:tcPr>
            <w:tcW w:w="823" w:type="dxa"/>
            <w:tcBorders>
              <w:top w:val="single" w:color="auto" w:sz="4" w:space="0"/>
              <w:left w:val="single" w:color="auto" w:sz="4" w:space="0"/>
              <w:bottom w:val="single" w:color="auto" w:sz="4" w:space="0"/>
              <w:right w:val="single" w:color="auto" w:sz="4" w:space="0"/>
            </w:tcBorders>
            <w:noWrap w:val="0"/>
            <w:vAlign w:val="center"/>
          </w:tcPr>
          <w:p w14:paraId="21AEFCB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气象</w:t>
            </w:r>
          </w:p>
          <w:p w14:paraId="24C4107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条件</w:t>
            </w:r>
          </w:p>
        </w:tc>
        <w:tc>
          <w:tcPr>
            <w:tcW w:w="7494" w:type="dxa"/>
            <w:gridSpan w:val="8"/>
            <w:tcBorders>
              <w:top w:val="single" w:color="auto" w:sz="4" w:space="0"/>
              <w:left w:val="single" w:color="auto" w:sz="4" w:space="0"/>
              <w:bottom w:val="single" w:color="auto" w:sz="4" w:space="0"/>
              <w:right w:val="single" w:color="auto" w:sz="4" w:space="0"/>
            </w:tcBorders>
            <w:noWrap w:val="0"/>
            <w:vAlign w:val="center"/>
          </w:tcPr>
          <w:p w14:paraId="68E0DD6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大气环境影响</w:t>
            </w:r>
          </w:p>
        </w:tc>
      </w:tr>
      <w:tr w14:paraId="7C40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restart"/>
            <w:tcBorders>
              <w:top w:val="single" w:color="auto" w:sz="4" w:space="0"/>
              <w:left w:val="single" w:color="auto" w:sz="4" w:space="0"/>
              <w:right w:val="single" w:color="auto" w:sz="4" w:space="0"/>
            </w:tcBorders>
            <w:noWrap w:val="0"/>
            <w:vAlign w:val="center"/>
          </w:tcPr>
          <w:p w14:paraId="13AB59A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盐酸</w:t>
            </w:r>
          </w:p>
        </w:tc>
        <w:tc>
          <w:tcPr>
            <w:tcW w:w="823" w:type="dxa"/>
            <w:vMerge w:val="restart"/>
            <w:tcBorders>
              <w:top w:val="single" w:color="auto" w:sz="4" w:space="0"/>
              <w:left w:val="single" w:color="auto" w:sz="4" w:space="0"/>
              <w:right w:val="single" w:color="auto" w:sz="4" w:space="0"/>
            </w:tcBorders>
            <w:noWrap w:val="0"/>
            <w:vAlign w:val="center"/>
          </w:tcPr>
          <w:p w14:paraId="06F14BD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最不利气象条件</w:t>
            </w: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52DB6B4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指标</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7D71A21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浓度值（mg/m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0328419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最远影响距离/m</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26271E6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到达时间/min</w:t>
            </w:r>
          </w:p>
        </w:tc>
      </w:tr>
      <w:tr w14:paraId="36C3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6F6C947A">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2F2BB987">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73310BD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大气毒性终点浓度-1</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6644140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340B33B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220</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7B0C113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6.43</w:t>
            </w:r>
          </w:p>
        </w:tc>
      </w:tr>
      <w:tr w14:paraId="114D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1289D7C4">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571BBF8D">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65C66D2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大气毒性终点浓度-2</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64F1177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1E6F8C2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720</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57C724F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14.59</w:t>
            </w:r>
          </w:p>
        </w:tc>
      </w:tr>
      <w:tr w14:paraId="1910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7D3E3629">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103A7EB8">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7CD0141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敏感目标名称</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14632C8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超标时间/min</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4C30F46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超标持续时间/min</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4BA2547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14:paraId="6428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490C7943">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244D3804">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4580BF85">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000000"/>
                <w:sz w:val="21"/>
                <w:szCs w:val="21"/>
                <w:lang w:val="en-US" w:eastAsia="zh-CN"/>
              </w:rPr>
              <w:t>金鼓村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204AB3B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7C95421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44226D29">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25.1361</w:t>
            </w:r>
          </w:p>
        </w:tc>
      </w:tr>
      <w:tr w14:paraId="43BE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0BAAFD6C">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4B583365">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0F7E827E">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000000"/>
                <w:sz w:val="21"/>
                <w:szCs w:val="21"/>
                <w:lang w:val="en-US" w:eastAsia="zh-CN"/>
              </w:rPr>
              <w:t>金鼓小学</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1EFD7DF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1923033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0F0C370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11.6004</w:t>
            </w:r>
          </w:p>
        </w:tc>
      </w:tr>
      <w:tr w14:paraId="39F0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0470F7F5">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7D256A12">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52441ABB">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000000"/>
                <w:sz w:val="21"/>
                <w:szCs w:val="21"/>
                <w:lang w:val="en-US" w:eastAsia="zh-CN"/>
              </w:rPr>
              <w:t>孔雀环村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364E67D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7FE9038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5B195C9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1.5015</w:t>
            </w:r>
          </w:p>
        </w:tc>
      </w:tr>
      <w:tr w14:paraId="7578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269E5F72">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71246446">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504EDAB6">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000000"/>
                <w:sz w:val="21"/>
                <w:szCs w:val="21"/>
                <w:lang w:val="en-US" w:eastAsia="zh-CN"/>
              </w:rPr>
              <w:t>松柏港村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3134802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2994243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26177589">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4.2718</w:t>
            </w:r>
          </w:p>
        </w:tc>
      </w:tr>
      <w:tr w14:paraId="79C6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57CD18A4">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5A9DCEB8">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6093E3DD">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000000"/>
                <w:sz w:val="21"/>
                <w:szCs w:val="21"/>
                <w:lang w:val="en-US" w:eastAsia="zh-CN"/>
              </w:rPr>
              <w:t>西安交大中马阳光高级中学</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3822826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61563C8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19313E2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2.5328</w:t>
            </w:r>
          </w:p>
        </w:tc>
      </w:tr>
      <w:tr w14:paraId="6F6C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6D531DF4">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7D26896A">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740B7F95">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独连车村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4C1501AA">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098D234E">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2986078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1.3251</w:t>
            </w:r>
          </w:p>
        </w:tc>
      </w:tr>
      <w:tr w14:paraId="63F4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71" w:type="dxa"/>
            <w:vMerge w:val="continue"/>
            <w:tcBorders>
              <w:left w:val="single" w:color="auto" w:sz="4" w:space="0"/>
              <w:right w:val="single" w:color="auto" w:sz="4" w:space="0"/>
            </w:tcBorders>
            <w:noWrap w:val="0"/>
            <w:vAlign w:val="center"/>
          </w:tcPr>
          <w:p w14:paraId="69DF9F87">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26F23C75">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5E40F853">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苦竹坑村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427D0A7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71F9042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4036E6A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1.0010</w:t>
            </w:r>
          </w:p>
        </w:tc>
      </w:tr>
      <w:tr w14:paraId="2A30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13255484">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5F00AECD">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1070D30D">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大垌口村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3CDDB54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6943FA56">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5AB5352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1.8812</w:t>
            </w:r>
          </w:p>
        </w:tc>
      </w:tr>
      <w:tr w14:paraId="50E1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0C7DFAD7">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0D1DF42F">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42A5FD67">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细垌环村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04A0567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6C53FBCD">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75AE45C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3.5577</w:t>
            </w:r>
          </w:p>
        </w:tc>
      </w:tr>
      <w:tr w14:paraId="1CE6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333AC987">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72F46823">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18E1DC59">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第一垌村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08B9B52E">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7D05537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79CC6D23">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8.5924</w:t>
            </w:r>
          </w:p>
        </w:tc>
      </w:tr>
      <w:tr w14:paraId="39C4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11D207DC">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794DAFC8">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259E76FB">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大榄坪</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47F4BE63">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30F603F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37123150">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2.6128</w:t>
            </w:r>
          </w:p>
        </w:tc>
      </w:tr>
      <w:tr w14:paraId="3DA8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0B159248">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6D92E666">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3F1F9A5E">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蚝蜊墩村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4795F1CA">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02342A5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17820B5F">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1.1438</w:t>
            </w:r>
          </w:p>
        </w:tc>
      </w:tr>
      <w:tr w14:paraId="3A93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3A24ECA4">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7A385827">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6866EF60">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淡水湾村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68C7DA2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1D589A7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7541EA3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4.4327</w:t>
            </w:r>
          </w:p>
        </w:tc>
      </w:tr>
      <w:tr w14:paraId="22B0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6E11EA3F">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5DFAF3DA">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59E1556A">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东港区第一幼儿园</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738F11BA">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1240046D">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77C803C8">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1.7319</w:t>
            </w:r>
          </w:p>
        </w:tc>
      </w:tr>
      <w:tr w14:paraId="3EA3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4D9EE29C">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4586B4BA">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468B0956">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过山路村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37A78C9D">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16BC729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0A16FB6A">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2.0563</w:t>
            </w:r>
          </w:p>
        </w:tc>
      </w:tr>
      <w:tr w14:paraId="3DB9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46CA3235">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4BF5F57C">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3FDC10ED">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000000"/>
                <w:sz w:val="21"/>
                <w:szCs w:val="21"/>
                <w:lang w:val="en-US" w:eastAsia="zh-CN"/>
              </w:rPr>
              <w:t>鲎泊潭村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59B10D00">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31F73DAD">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081B97DA">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1.2889</w:t>
            </w:r>
          </w:p>
        </w:tc>
      </w:tr>
      <w:tr w14:paraId="08AB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0790FC06">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235D99F2">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6BF73206">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鸡墩头村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6C327687">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226CB13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7403453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1.3223</w:t>
            </w:r>
          </w:p>
        </w:tc>
      </w:tr>
      <w:tr w14:paraId="4B25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6A8C3BDA">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3F9A7815">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38FF036D">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000000"/>
                <w:sz w:val="21"/>
                <w:szCs w:val="21"/>
                <w:lang w:val="en-US" w:eastAsia="zh-CN"/>
              </w:rPr>
              <w:t>老鸦坑村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0E9D6EB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3E35AB0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085611D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0.9641</w:t>
            </w:r>
          </w:p>
        </w:tc>
      </w:tr>
      <w:tr w14:paraId="4B32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52BBB70C">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462E7E81">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158A5C27">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钦州港第五小学</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5E3171A6">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1C14948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10F10B7C">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0.9375</w:t>
            </w:r>
          </w:p>
        </w:tc>
      </w:tr>
      <w:tr w14:paraId="61D4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34C651F6">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0856E3D9">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306BB72C">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果子山村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4667B106">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38570506">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7725ABD0">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0.9577</w:t>
            </w:r>
          </w:p>
        </w:tc>
      </w:tr>
      <w:tr w14:paraId="5AB5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072209D2">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4A9D52BA">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288E1193">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竹笼村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5B65129D">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7F2A617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7B6CA650">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1.5841</w:t>
            </w:r>
          </w:p>
        </w:tc>
      </w:tr>
      <w:tr w14:paraId="632D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5AF9CCD0">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07D41B9A">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53DB1642">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000000"/>
                <w:sz w:val="21"/>
                <w:szCs w:val="21"/>
                <w:lang w:val="en-US" w:eastAsia="zh-CN"/>
              </w:rPr>
              <w:t>水井坑村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006B3B7D">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4E1AE09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35E3B01A">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1.9718</w:t>
            </w:r>
          </w:p>
        </w:tc>
      </w:tr>
      <w:tr w14:paraId="5336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6DD70FAD">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729A0853">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53AC3491">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cs="Times New Roman"/>
                <w:color w:val="000000"/>
                <w:sz w:val="21"/>
                <w:szCs w:val="21"/>
                <w:lang w:val="en-US" w:eastAsia="zh-CN"/>
              </w:rPr>
              <w:t>三块田村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365A965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6B374666">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446B7859">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2.3283</w:t>
            </w:r>
          </w:p>
        </w:tc>
      </w:tr>
      <w:tr w14:paraId="6F7A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41FF7F20">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270687F2">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043F9EB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滨海社区</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48BA974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4DC6560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7D50D75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1.7572</w:t>
            </w:r>
          </w:p>
        </w:tc>
      </w:tr>
      <w:tr w14:paraId="5004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22C17DDA">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5F898808">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11EFA1A3">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eastAsia" w:ascii="Times New Roman" w:hAnsi="Times New Roman" w:eastAsia="宋体" w:cs="Times New Roman"/>
                <w:color w:val="000000"/>
                <w:sz w:val="21"/>
                <w:szCs w:val="21"/>
                <w:lang w:val="en-US" w:eastAsia="zh-CN"/>
              </w:rPr>
              <w:t>滨海医院</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2B6D0239">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04584E10">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5720DC0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1.6166</w:t>
            </w:r>
          </w:p>
        </w:tc>
      </w:tr>
      <w:tr w14:paraId="132D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01329447">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67166635">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533B0AD1">
            <w:pPr>
              <w:adjustRightInd w:val="0"/>
              <w:snapToGrid w:val="0"/>
              <w:jc w:val="center"/>
              <w:rPr>
                <w:rFonts w:hint="default" w:ascii="Times New Roman" w:hAnsi="Times New Roman" w:eastAsia="宋体" w:cs="Times New Roman"/>
                <w:color w:val="auto"/>
                <w:spacing w:val="10"/>
                <w:kern w:val="2"/>
                <w:sz w:val="21"/>
                <w:szCs w:val="21"/>
                <w:u w:val="none"/>
                <w:lang w:val="en-US" w:eastAsia="zh-CN" w:bidi="ar"/>
              </w:rPr>
            </w:pPr>
            <w:r>
              <w:rPr>
                <w:rFonts w:hint="default" w:ascii="Times New Roman" w:hAnsi="Times New Roman" w:eastAsia="宋体" w:cs="Times New Roman"/>
                <w:color w:val="000000"/>
                <w:sz w:val="21"/>
                <w:szCs w:val="21"/>
                <w:lang w:val="en-US" w:eastAsia="zh-CN"/>
              </w:rPr>
              <w:t>钦州市第一人民医院钦州港分院</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1D65883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71EA905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1291595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1.9670</w:t>
            </w:r>
          </w:p>
        </w:tc>
      </w:tr>
      <w:tr w14:paraId="1C4D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6E8208C1">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24218A9F">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1B0B5DD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亚路江社区</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47ED8FA3">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106E5660">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0B4E3F5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1.9828</w:t>
            </w:r>
          </w:p>
        </w:tc>
      </w:tr>
      <w:tr w14:paraId="7549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4E54DFED">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0FABFB45">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01ECCB1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勒沟村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4ACEEFE0">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731B297E">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36D923A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0.9682</w:t>
            </w:r>
          </w:p>
        </w:tc>
      </w:tr>
      <w:tr w14:paraId="01A0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05107798">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5D7DF1ED">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39A724F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沙岗头村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16CA660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52F0971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499826B9">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51.9627</w:t>
            </w:r>
          </w:p>
        </w:tc>
      </w:tr>
      <w:tr w14:paraId="24BC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528D931E">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1ABE88B4">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1C1B1C4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旧村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38267F3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5121D1D7">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15840905">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13.3365</w:t>
            </w:r>
          </w:p>
        </w:tc>
      </w:tr>
      <w:tr w14:paraId="3DF9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379A8989">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0B147B01">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6B53FA6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南港村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19D2171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38476776">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41BD91C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4.7907</w:t>
            </w:r>
          </w:p>
        </w:tc>
      </w:tr>
      <w:tr w14:paraId="340D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2ECDAB0C">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69B7FABE">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3F72DC1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天塘村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1F01B06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311AF92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080A5F6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26.6245</w:t>
            </w:r>
          </w:p>
        </w:tc>
      </w:tr>
      <w:tr w14:paraId="4766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2F32E49D">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394FF5A5">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785D845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侬儿墩村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19EE152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556AAF2D">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1CC5907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3.0407</w:t>
            </w:r>
          </w:p>
        </w:tc>
      </w:tr>
      <w:tr w14:paraId="6207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7A97FF87">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094B9363">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0DE3F02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矮江村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65FD72F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52BA1E7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06E99F0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1.6831</w:t>
            </w:r>
          </w:p>
        </w:tc>
      </w:tr>
      <w:tr w14:paraId="64BB5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2F08DCDE">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04DB4676">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7CF1148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围田沟村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2AFF754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35C9CA97">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59B56A0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1.1410</w:t>
            </w:r>
          </w:p>
        </w:tc>
      </w:tr>
      <w:tr w14:paraId="5DEC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30EB1899">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44773478">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0D063B7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坪下村</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1179C9B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5F9D7E76">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4CDAB37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0.8348</w:t>
            </w:r>
          </w:p>
        </w:tc>
      </w:tr>
      <w:tr w14:paraId="7330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62560E42">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53948D5B">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4E6D1F4C">
            <w:pPr>
              <w:adjustRightInd w:val="0"/>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钦州市第一中学钦州港校区</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6591063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45D4E2D3">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2E1D254C">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2.3886</w:t>
            </w:r>
          </w:p>
        </w:tc>
      </w:tr>
      <w:tr w14:paraId="79B2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dxa"/>
            <w:vMerge w:val="continue"/>
            <w:tcBorders>
              <w:left w:val="single" w:color="auto" w:sz="4" w:space="0"/>
              <w:right w:val="single" w:color="auto" w:sz="4" w:space="0"/>
            </w:tcBorders>
            <w:noWrap w:val="0"/>
            <w:vAlign w:val="center"/>
          </w:tcPr>
          <w:p w14:paraId="0B5D1542">
            <w:pPr>
              <w:widowControl/>
              <w:jc w:val="left"/>
              <w:rPr>
                <w:rFonts w:hint="default" w:ascii="Times New Roman" w:hAnsi="Times New Roman" w:eastAsia="宋体" w:cs="Times New Roman"/>
                <w:color w:val="auto"/>
                <w:sz w:val="21"/>
                <w:szCs w:val="21"/>
              </w:rPr>
            </w:pPr>
          </w:p>
        </w:tc>
        <w:tc>
          <w:tcPr>
            <w:tcW w:w="823" w:type="dxa"/>
            <w:vMerge w:val="continue"/>
            <w:tcBorders>
              <w:left w:val="single" w:color="auto" w:sz="4" w:space="0"/>
              <w:right w:val="single" w:color="auto" w:sz="4" w:space="0"/>
            </w:tcBorders>
            <w:noWrap w:val="0"/>
            <w:vAlign w:val="center"/>
          </w:tcPr>
          <w:p w14:paraId="39EEBBA7">
            <w:pPr>
              <w:widowControl/>
              <w:jc w:val="left"/>
              <w:rPr>
                <w:rFonts w:hint="default" w:ascii="Times New Roman" w:hAnsi="Times New Roman" w:eastAsia="宋体" w:cs="Times New Roman"/>
                <w:color w:val="auto"/>
                <w:sz w:val="21"/>
                <w:szCs w:val="21"/>
              </w:rPr>
            </w:pPr>
          </w:p>
        </w:tc>
        <w:tc>
          <w:tcPr>
            <w:tcW w:w="2501" w:type="dxa"/>
            <w:gridSpan w:val="2"/>
            <w:tcBorders>
              <w:top w:val="single" w:color="auto" w:sz="4" w:space="0"/>
              <w:left w:val="single" w:color="auto" w:sz="4" w:space="0"/>
              <w:bottom w:val="single" w:color="auto" w:sz="4" w:space="0"/>
              <w:right w:val="single" w:color="auto" w:sz="4" w:space="0"/>
            </w:tcBorders>
            <w:noWrap w:val="0"/>
            <w:vAlign w:val="center"/>
          </w:tcPr>
          <w:p w14:paraId="0D230AB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广西茅尾海红树林自治区级自然保护区</w:t>
            </w:r>
            <w:r>
              <w:rPr>
                <w:rFonts w:hint="eastAsia" w:ascii="Times New Roman" w:hAnsi="Times New Roman" w:eastAsia="宋体" w:cs="Times New Roman"/>
                <w:color w:val="000000"/>
                <w:sz w:val="21"/>
                <w:szCs w:val="21"/>
                <w:lang w:val="en-US" w:eastAsia="zh-CN"/>
              </w:rPr>
              <w:t>（七十二泾片）</w:t>
            </w:r>
          </w:p>
        </w:tc>
        <w:tc>
          <w:tcPr>
            <w:tcW w:w="1672" w:type="dxa"/>
            <w:gridSpan w:val="2"/>
            <w:tcBorders>
              <w:top w:val="single" w:color="auto" w:sz="4" w:space="0"/>
              <w:left w:val="single" w:color="auto" w:sz="4" w:space="0"/>
              <w:bottom w:val="single" w:color="auto" w:sz="4" w:space="0"/>
              <w:right w:val="single" w:color="auto" w:sz="4" w:space="0"/>
            </w:tcBorders>
            <w:noWrap w:val="0"/>
            <w:vAlign w:val="center"/>
          </w:tcPr>
          <w:p w14:paraId="248AA92A">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14:paraId="02EF7B06">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1665" w:type="dxa"/>
            <w:gridSpan w:val="2"/>
            <w:tcBorders>
              <w:top w:val="single" w:color="auto" w:sz="4" w:space="0"/>
              <w:left w:val="single" w:color="auto" w:sz="4" w:space="0"/>
              <w:bottom w:val="single" w:color="auto" w:sz="4" w:space="0"/>
              <w:right w:val="single" w:color="auto" w:sz="4" w:space="0"/>
            </w:tcBorders>
            <w:noWrap w:val="0"/>
            <w:vAlign w:val="center"/>
          </w:tcPr>
          <w:p w14:paraId="663C8D2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1.2031</w:t>
            </w:r>
          </w:p>
        </w:tc>
      </w:tr>
    </w:tbl>
    <w:p w14:paraId="0417A957">
      <w:pPr>
        <w:autoSpaceDE w:val="0"/>
        <w:autoSpaceDN w:val="0"/>
        <w:adjustRightInd w:val="0"/>
        <w:spacing w:line="500" w:lineRule="exact"/>
        <w:ind w:firstLine="490" w:firstLineChars="200"/>
        <w:rPr>
          <w:rFonts w:hint="eastAsia" w:cs="Times New Roman"/>
          <w:color w:val="auto"/>
          <w:spacing w:val="10"/>
          <w:sz w:val="24"/>
          <w:szCs w:val="32"/>
          <w:u w:val="single"/>
          <w:lang w:val="en-US" w:eastAsia="zh-CN"/>
        </w:rPr>
      </w:pPr>
      <w:r>
        <w:rPr>
          <w:rFonts w:hint="default" w:ascii="Times New Roman" w:hAnsi="Times New Roman" w:eastAsia="宋体" w:cs="Times New Roman"/>
          <w:color w:val="auto"/>
          <w:spacing w:val="10"/>
          <w:sz w:val="24"/>
          <w:szCs w:val="32"/>
          <w:lang w:val="en-US" w:eastAsia="zh-CN"/>
        </w:rPr>
        <w:t>由预测结果可知，单个20L</w:t>
      </w:r>
      <w:r>
        <w:rPr>
          <w:rFonts w:hint="eastAsia" w:ascii="Times New Roman" w:hAnsi="Times New Roman" w:eastAsia="宋体" w:cs="Times New Roman"/>
          <w:color w:val="auto"/>
          <w:spacing w:val="10"/>
          <w:sz w:val="24"/>
          <w:szCs w:val="32"/>
          <w:lang w:val="en-US" w:eastAsia="zh-CN"/>
        </w:rPr>
        <w:t>盐酸</w:t>
      </w:r>
      <w:r>
        <w:rPr>
          <w:rFonts w:hint="default" w:ascii="Times New Roman" w:hAnsi="Times New Roman" w:eastAsia="宋体" w:cs="Times New Roman"/>
          <w:color w:val="auto"/>
          <w:spacing w:val="10"/>
          <w:sz w:val="24"/>
          <w:szCs w:val="32"/>
          <w:lang w:val="en-US" w:eastAsia="zh-CN"/>
        </w:rPr>
        <w:t>桶</w:t>
      </w:r>
      <w:r>
        <w:rPr>
          <w:rFonts w:hint="eastAsia" w:ascii="Times New Roman" w:hAnsi="Times New Roman" w:eastAsia="宋体" w:cs="Times New Roman"/>
          <w:color w:val="auto"/>
          <w:spacing w:val="10"/>
          <w:sz w:val="24"/>
          <w:szCs w:val="32"/>
          <w:lang w:val="en-US" w:eastAsia="zh-CN"/>
        </w:rPr>
        <w:t>盐酸</w:t>
      </w:r>
      <w:r>
        <w:rPr>
          <w:rFonts w:hint="default" w:ascii="Times New Roman" w:hAnsi="Times New Roman" w:eastAsia="宋体" w:cs="Times New Roman"/>
          <w:color w:val="auto"/>
          <w:spacing w:val="10"/>
          <w:sz w:val="24"/>
          <w:szCs w:val="32"/>
          <w:lang w:val="en-US" w:eastAsia="zh-CN"/>
        </w:rPr>
        <w:t>泄漏，污染物释放进入大气环境，造成大气风险事故情形下，对应的气象条件均为大气稳定度F下的气象因素，出现超大气毒性终点浓度-1的最远距离为</w:t>
      </w:r>
      <w:r>
        <w:rPr>
          <w:rFonts w:hint="eastAsia" w:ascii="Times New Roman" w:hAnsi="Times New Roman" w:eastAsia="宋体" w:cs="Times New Roman"/>
          <w:color w:val="auto"/>
          <w:spacing w:val="10"/>
          <w:sz w:val="24"/>
          <w:szCs w:val="32"/>
          <w:lang w:val="en-US" w:eastAsia="zh-CN"/>
        </w:rPr>
        <w:t>220</w:t>
      </w:r>
      <w:r>
        <w:rPr>
          <w:rFonts w:hint="default" w:ascii="Times New Roman" w:hAnsi="Times New Roman" w:eastAsia="宋体" w:cs="Times New Roman"/>
          <w:color w:val="auto"/>
          <w:spacing w:val="10"/>
          <w:sz w:val="24"/>
          <w:szCs w:val="32"/>
          <w:lang w:val="en-US" w:eastAsia="zh-CN"/>
        </w:rPr>
        <w:t>m，出现超大气毒性终点浓度-2的最远距离为</w:t>
      </w:r>
      <w:r>
        <w:rPr>
          <w:rFonts w:hint="eastAsia" w:ascii="Times New Roman" w:hAnsi="Times New Roman" w:eastAsia="宋体" w:cs="Times New Roman"/>
          <w:color w:val="auto"/>
          <w:spacing w:val="10"/>
          <w:sz w:val="24"/>
          <w:szCs w:val="32"/>
          <w:lang w:val="en-US" w:eastAsia="zh-CN"/>
        </w:rPr>
        <w:t>7</w:t>
      </w:r>
      <w:r>
        <w:rPr>
          <w:rFonts w:hint="default" w:ascii="Times New Roman" w:hAnsi="Times New Roman" w:eastAsia="宋体" w:cs="Times New Roman"/>
          <w:color w:val="auto"/>
          <w:spacing w:val="10"/>
          <w:sz w:val="24"/>
          <w:szCs w:val="32"/>
          <w:lang w:val="en-US" w:eastAsia="zh-CN"/>
        </w:rPr>
        <w:t>20m，此情境下，最大影响区域范围内</w:t>
      </w:r>
      <w:r>
        <w:rPr>
          <w:rFonts w:hint="eastAsia" w:ascii="Times New Roman" w:hAnsi="Times New Roman" w:eastAsia="宋体" w:cs="Times New Roman"/>
          <w:color w:val="auto"/>
          <w:spacing w:val="10"/>
          <w:sz w:val="24"/>
          <w:szCs w:val="32"/>
          <w:lang w:val="en-US" w:eastAsia="zh-CN"/>
        </w:rPr>
        <w:t>存在沙岗头村</w:t>
      </w:r>
      <w:r>
        <w:rPr>
          <w:rFonts w:hint="default" w:ascii="Times New Roman" w:hAnsi="Times New Roman" w:eastAsia="宋体" w:cs="Times New Roman"/>
          <w:color w:val="auto"/>
          <w:spacing w:val="10"/>
          <w:sz w:val="24"/>
          <w:szCs w:val="32"/>
          <w:lang w:val="en-US" w:eastAsia="zh-CN"/>
        </w:rPr>
        <w:t>环境风险敏感点。</w:t>
      </w:r>
      <w:r>
        <w:rPr>
          <w:rFonts w:hint="eastAsia" w:cs="Times New Roman"/>
          <w:color w:val="auto"/>
          <w:spacing w:val="10"/>
          <w:sz w:val="24"/>
          <w:szCs w:val="32"/>
          <w:u w:val="single"/>
          <w:lang w:val="en-US" w:eastAsia="zh-CN"/>
        </w:rPr>
        <w:t>沙岗头村在事故发生8min开始受到影响，9min~14min受到影响最大，此时HCl浓度为51.9627mg/m</w:t>
      </w:r>
      <w:r>
        <w:rPr>
          <w:rFonts w:hint="eastAsia" w:cs="Times New Roman"/>
          <w:color w:val="auto"/>
          <w:spacing w:val="10"/>
          <w:sz w:val="24"/>
          <w:szCs w:val="32"/>
          <w:u w:val="single"/>
          <w:vertAlign w:val="superscript"/>
          <w:lang w:val="en-US" w:eastAsia="zh-CN"/>
        </w:rPr>
        <w:t>3</w:t>
      </w:r>
      <w:r>
        <w:rPr>
          <w:rFonts w:hint="eastAsia" w:cs="Times New Roman"/>
          <w:color w:val="auto"/>
          <w:spacing w:val="10"/>
          <w:sz w:val="24"/>
          <w:szCs w:val="32"/>
          <w:u w:val="single"/>
          <w:lang w:val="en-US" w:eastAsia="zh-CN"/>
        </w:rPr>
        <w:t>，事故发生14min后HCl浓度逐渐降低，17min后HCl浓度低于大气毒性终点浓度-2。</w:t>
      </w:r>
    </w:p>
    <w:p w14:paraId="4C9725A0">
      <w:pPr>
        <w:autoSpaceDE w:val="0"/>
        <w:autoSpaceDN w:val="0"/>
        <w:adjustRightInd w:val="0"/>
        <w:spacing w:line="500" w:lineRule="exact"/>
        <w:ind w:firstLine="490" w:firstLineChars="200"/>
        <w:rPr>
          <w:rFonts w:hint="default" w:cs="Times New Roman"/>
          <w:color w:val="auto"/>
          <w:spacing w:val="10"/>
          <w:sz w:val="24"/>
          <w:szCs w:val="32"/>
          <w:u w:val="single"/>
          <w:lang w:val="en-US" w:eastAsia="zh-CN"/>
        </w:rPr>
      </w:pPr>
      <w:r>
        <w:rPr>
          <w:rFonts w:hint="eastAsia" w:cs="Times New Roman"/>
          <w:color w:val="auto"/>
          <w:spacing w:val="10"/>
          <w:sz w:val="24"/>
          <w:szCs w:val="32"/>
          <w:u w:val="single"/>
          <w:lang w:val="en-US" w:eastAsia="zh-CN"/>
        </w:rPr>
        <w:t>项目不属于极高大气环境风险的建设项目。不开展关心点概率分析。</w:t>
      </w:r>
    </w:p>
    <w:p w14:paraId="27A784BE">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地表水环境风险影响分析</w:t>
      </w:r>
    </w:p>
    <w:p w14:paraId="554BE38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1、事故废水排放风险影响分析</w:t>
      </w:r>
    </w:p>
    <w:p w14:paraId="3937668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在发生风险事故的情况下，事故废水主要指初期雨水和消防废水。由于</w:t>
      </w:r>
      <w:r>
        <w:rPr>
          <w:rFonts w:hint="eastAsia" w:ascii="Times New Roman" w:hAnsi="Times New Roman" w:eastAsia="宋体" w:cs="Times New Roman"/>
          <w:color w:val="000000"/>
          <w:spacing w:val="10"/>
          <w:sz w:val="24"/>
          <w:szCs w:val="32"/>
          <w:lang w:val="en-US" w:eastAsia="zh-CN"/>
        </w:rPr>
        <w:t>卸载危险化学品时</w:t>
      </w:r>
      <w:r>
        <w:rPr>
          <w:rFonts w:hint="default" w:ascii="Times New Roman" w:hAnsi="Times New Roman" w:eastAsia="宋体" w:cs="Times New Roman"/>
          <w:color w:val="000000"/>
          <w:spacing w:val="10"/>
          <w:sz w:val="24"/>
          <w:szCs w:val="32"/>
          <w:lang w:val="en-US" w:eastAsia="zh-CN"/>
        </w:rPr>
        <w:t>包装</w:t>
      </w:r>
      <w:r>
        <w:rPr>
          <w:rFonts w:hint="eastAsia" w:ascii="Times New Roman" w:hAnsi="Times New Roman" w:eastAsia="宋体" w:cs="Times New Roman"/>
          <w:color w:val="000000"/>
          <w:spacing w:val="10"/>
          <w:sz w:val="24"/>
          <w:szCs w:val="32"/>
          <w:lang w:val="en-US" w:eastAsia="zh-CN"/>
        </w:rPr>
        <w:t>发生破损</w:t>
      </w:r>
      <w:r>
        <w:rPr>
          <w:rFonts w:hint="default" w:ascii="Times New Roman" w:hAnsi="Times New Roman" w:eastAsia="宋体" w:cs="Times New Roman"/>
          <w:color w:val="000000"/>
          <w:spacing w:val="10"/>
          <w:sz w:val="24"/>
          <w:szCs w:val="32"/>
          <w:lang w:val="en-US" w:eastAsia="zh-CN"/>
        </w:rPr>
        <w:t>原因，危险化学品储存区地面上不可避免的含有物料，遇雨时会将随雨水通过雨水管线收集至初期雨水池，溢出部分收集能通过自流进入事故池；另一方面，在设计中</w:t>
      </w:r>
      <w:r>
        <w:rPr>
          <w:rFonts w:hint="eastAsia" w:ascii="Times New Roman" w:hAnsi="Times New Roman" w:eastAsia="宋体" w:cs="Times New Roman"/>
          <w:color w:val="000000"/>
          <w:spacing w:val="10"/>
          <w:sz w:val="24"/>
          <w:szCs w:val="32"/>
          <w:lang w:val="en-US" w:eastAsia="zh-CN"/>
        </w:rPr>
        <w:t>集装箱</w:t>
      </w:r>
      <w:r>
        <w:rPr>
          <w:rFonts w:hint="eastAsia" w:cs="Times New Roman"/>
          <w:color w:val="000000"/>
          <w:spacing w:val="10"/>
          <w:sz w:val="24"/>
          <w:szCs w:val="32"/>
          <w:lang w:val="en-US" w:eastAsia="zh-CN"/>
        </w:rPr>
        <w:t>拆装棚</w:t>
      </w:r>
      <w:r>
        <w:rPr>
          <w:rFonts w:hint="eastAsia" w:ascii="Times New Roman" w:hAnsi="Times New Roman" w:eastAsia="宋体" w:cs="Times New Roman"/>
          <w:color w:val="000000"/>
          <w:spacing w:val="10"/>
          <w:sz w:val="24"/>
          <w:szCs w:val="32"/>
          <w:lang w:val="en-US" w:eastAsia="zh-CN"/>
        </w:rPr>
        <w:t>的</w:t>
      </w:r>
      <w:r>
        <w:rPr>
          <w:rFonts w:hint="default" w:ascii="Times New Roman" w:hAnsi="Times New Roman" w:eastAsia="宋体" w:cs="Times New Roman"/>
          <w:color w:val="000000"/>
          <w:spacing w:val="10"/>
          <w:sz w:val="24"/>
          <w:szCs w:val="32"/>
          <w:lang w:val="en-US" w:eastAsia="zh-CN"/>
        </w:rPr>
        <w:t>消防废水是通过</w:t>
      </w:r>
      <w:r>
        <w:rPr>
          <w:rFonts w:hint="default" w:ascii="Times New Roman" w:hAnsi="Times New Roman" w:eastAsia="宋体" w:cs="Times New Roman"/>
          <w:color w:val="000000"/>
          <w:spacing w:val="10"/>
          <w:sz w:val="24"/>
          <w:szCs w:val="32"/>
          <w:highlight w:val="none"/>
          <w:lang w:val="en-US" w:eastAsia="zh-CN"/>
        </w:rPr>
        <w:t>雨水管线</w:t>
      </w:r>
      <w:r>
        <w:rPr>
          <w:rFonts w:hint="default" w:ascii="Times New Roman" w:hAnsi="Times New Roman" w:eastAsia="宋体" w:cs="Times New Roman"/>
          <w:color w:val="000000"/>
          <w:spacing w:val="10"/>
          <w:sz w:val="24"/>
          <w:szCs w:val="32"/>
          <w:lang w:val="en-US" w:eastAsia="zh-CN"/>
        </w:rPr>
        <w:t>进行收集，</w:t>
      </w:r>
      <w:r>
        <w:rPr>
          <w:rFonts w:hint="eastAsia" w:ascii="Times New Roman" w:hAnsi="Times New Roman" w:eastAsia="宋体" w:cs="Times New Roman"/>
          <w:color w:val="000000"/>
          <w:spacing w:val="10"/>
          <w:sz w:val="24"/>
          <w:szCs w:val="32"/>
          <w:lang w:val="en-US" w:eastAsia="zh-CN"/>
        </w:rPr>
        <w:t>危险化学品仓库</w:t>
      </w:r>
      <w:r>
        <w:rPr>
          <w:rFonts w:hint="default" w:ascii="Times New Roman" w:hAnsi="Times New Roman" w:eastAsia="宋体" w:cs="Times New Roman"/>
          <w:color w:val="000000"/>
          <w:spacing w:val="10"/>
          <w:sz w:val="24"/>
          <w:szCs w:val="32"/>
          <w:lang w:val="en-US" w:eastAsia="zh-CN"/>
        </w:rPr>
        <w:t>在发生爆炸火灾事故的时候，危险化学品储存区域的物料极有可能进入消防水中，并随消防水进入</w:t>
      </w:r>
      <w:r>
        <w:rPr>
          <w:rFonts w:hint="eastAsia" w:ascii="Times New Roman" w:hAnsi="Times New Roman" w:eastAsia="宋体" w:cs="Times New Roman"/>
          <w:color w:val="000000"/>
          <w:spacing w:val="10"/>
          <w:sz w:val="24"/>
          <w:szCs w:val="32"/>
          <w:lang w:val="en-US" w:eastAsia="zh-CN"/>
        </w:rPr>
        <w:t>收集沟</w:t>
      </w:r>
      <w:r>
        <w:rPr>
          <w:rFonts w:hint="default" w:ascii="Times New Roman" w:hAnsi="Times New Roman" w:eastAsia="宋体" w:cs="Times New Roman"/>
          <w:color w:val="000000"/>
          <w:spacing w:val="10"/>
          <w:sz w:val="24"/>
          <w:szCs w:val="32"/>
          <w:lang w:val="en-US" w:eastAsia="zh-CN"/>
        </w:rPr>
        <w:t>，最终自流进入事故池。因此厂区发生风险事故时，能通过</w:t>
      </w:r>
      <w:r>
        <w:rPr>
          <w:rFonts w:hint="eastAsia" w:ascii="Times New Roman" w:hAnsi="Times New Roman" w:eastAsia="宋体" w:cs="Times New Roman"/>
          <w:color w:val="000000"/>
          <w:spacing w:val="10"/>
          <w:sz w:val="24"/>
          <w:szCs w:val="32"/>
          <w:lang w:val="en-US" w:eastAsia="zh-CN"/>
        </w:rPr>
        <w:t>二</w:t>
      </w:r>
      <w:r>
        <w:rPr>
          <w:rFonts w:hint="default" w:ascii="Times New Roman" w:hAnsi="Times New Roman" w:eastAsia="宋体" w:cs="Times New Roman"/>
          <w:color w:val="000000"/>
          <w:spacing w:val="10"/>
          <w:sz w:val="24"/>
          <w:szCs w:val="32"/>
          <w:lang w:val="en-US" w:eastAsia="zh-CN"/>
        </w:rPr>
        <w:t>级防控措施将事故废液、废水控制在厂内。</w:t>
      </w:r>
    </w:p>
    <w:p w14:paraId="6B005DC7">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产生事故废水主要有以下几种情况：</w:t>
      </w:r>
    </w:p>
    <w:p w14:paraId="744B4CDA">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①发生火灾时污染区域内产生了大量消防废水；</w:t>
      </w:r>
    </w:p>
    <w:p w14:paraId="1D5589C0">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②污染区域内产生的初期污染雨水等。因此在项目厂区设一座</w:t>
      </w:r>
      <w:r>
        <w:rPr>
          <w:rFonts w:hint="eastAsia" w:ascii="Times New Roman" w:hAnsi="Times New Roman" w:eastAsia="宋体" w:cs="Times New Roman"/>
          <w:color w:val="000000"/>
          <w:spacing w:val="10"/>
          <w:sz w:val="24"/>
          <w:szCs w:val="32"/>
          <w:lang w:val="en-US" w:eastAsia="zh-CN"/>
        </w:rPr>
        <w:t>1000</w:t>
      </w:r>
      <w:r>
        <w:rPr>
          <w:rFonts w:hint="default" w:ascii="Times New Roman" w:hAnsi="Times New Roman" w:eastAsia="宋体" w:cs="Times New Roman"/>
          <w:color w:val="000000"/>
          <w:spacing w:val="10"/>
          <w:sz w:val="24"/>
          <w:szCs w:val="32"/>
          <w:lang w:val="en-US" w:eastAsia="zh-CN"/>
        </w:rPr>
        <w:t>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事故</w:t>
      </w:r>
      <w:r>
        <w:rPr>
          <w:rFonts w:hint="default" w:ascii="Times New Roman" w:hAnsi="Times New Roman" w:eastAsia="宋体" w:cs="Times New Roman"/>
          <w:color w:val="000000"/>
          <w:spacing w:val="10"/>
          <w:sz w:val="24"/>
          <w:szCs w:val="32"/>
          <w:highlight w:val="none"/>
          <w:lang w:val="en-US" w:eastAsia="zh-CN"/>
        </w:rPr>
        <w:t>废水系统</w:t>
      </w:r>
      <w:r>
        <w:rPr>
          <w:rFonts w:hint="default" w:ascii="Times New Roman" w:hAnsi="Times New Roman" w:eastAsia="宋体" w:cs="Times New Roman"/>
          <w:color w:val="000000"/>
          <w:spacing w:val="10"/>
          <w:sz w:val="24"/>
          <w:szCs w:val="32"/>
          <w:lang w:val="en-US" w:eastAsia="zh-CN"/>
        </w:rPr>
        <w:t>用于收集事故中的物料泄漏、消防废水以及可能被污染的雨水等。</w:t>
      </w:r>
    </w:p>
    <w:p w14:paraId="501D9434">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⑴ 事故污水收集系统设置</w:t>
      </w:r>
    </w:p>
    <w:p w14:paraId="089749EC">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为了阻断事故泄漏液和消防水进入环境，立足工程配套设施，采取“收→调→输→储→处理”事故泄漏和事故消防水，设置</w:t>
      </w:r>
      <w:r>
        <w:rPr>
          <w:rFonts w:hint="eastAsia" w:ascii="Times New Roman" w:hAnsi="Times New Roman" w:eastAsia="宋体" w:cs="Times New Roman"/>
          <w:color w:val="000000"/>
          <w:spacing w:val="10"/>
          <w:sz w:val="24"/>
          <w:szCs w:val="32"/>
          <w:lang w:val="en-US" w:eastAsia="zh-CN"/>
        </w:rPr>
        <w:t>“二</w:t>
      </w:r>
      <w:r>
        <w:rPr>
          <w:rFonts w:hint="default" w:ascii="Times New Roman" w:hAnsi="Times New Roman" w:eastAsia="宋体" w:cs="Times New Roman"/>
          <w:color w:val="000000"/>
          <w:spacing w:val="10"/>
          <w:sz w:val="24"/>
          <w:szCs w:val="32"/>
          <w:lang w:val="en-US" w:eastAsia="zh-CN"/>
        </w:rPr>
        <w:t>级防控措施</w:t>
      </w:r>
      <w:r>
        <w:rPr>
          <w:rFonts w:hint="eastAsia" w:ascii="Times New Roman" w:hAnsi="Times New Roman" w:eastAsia="宋体"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防范事故泄漏液和消防污水进入外环境和海域水环境。</w:t>
      </w:r>
    </w:p>
    <w:p w14:paraId="447D48E7">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⑵ 事故废水储存能力核算分析</w:t>
      </w:r>
    </w:p>
    <w:p w14:paraId="157A5287">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本项目事故废水收集系统，极端情况下事故污水量通过下式计算：</w:t>
      </w:r>
    </w:p>
    <w:p w14:paraId="77750931">
      <w:pPr>
        <w:autoSpaceDE w:val="0"/>
        <w:autoSpaceDN w:val="0"/>
        <w:adjustRightInd w:val="0"/>
        <w:spacing w:line="500" w:lineRule="exact"/>
        <w:ind w:firstLine="490" w:firstLineChars="200"/>
        <w:jc w:val="center"/>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V</w:t>
      </w:r>
      <w:r>
        <w:rPr>
          <w:rFonts w:hint="default" w:ascii="Times New Roman" w:hAnsi="Times New Roman" w:eastAsia="宋体" w:cs="Times New Roman"/>
          <w:color w:val="000000"/>
          <w:spacing w:val="10"/>
          <w:sz w:val="24"/>
          <w:szCs w:val="32"/>
          <w:vertAlign w:val="subscript"/>
          <w:lang w:val="en-US" w:eastAsia="zh-CN"/>
        </w:rPr>
        <w:t>事故池</w:t>
      </w:r>
      <w:r>
        <w:rPr>
          <w:rFonts w:hint="default" w:ascii="Times New Roman" w:hAnsi="Times New Roman" w:eastAsia="宋体" w:cs="Times New Roman"/>
          <w:color w:val="000000"/>
          <w:spacing w:val="10"/>
          <w:sz w:val="24"/>
          <w:szCs w:val="32"/>
          <w:lang w:val="en-US" w:eastAsia="zh-CN"/>
        </w:rPr>
        <w:t>=（V1+V2-V3）max+V4+V5</w:t>
      </w:r>
    </w:p>
    <w:p w14:paraId="5C8FBBC4">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注：（V1+V2-V3）max是指对收集系统范围内不同罐组或装置分别计算V1+V2-V3，取其中最大值。</w:t>
      </w:r>
    </w:p>
    <w:p w14:paraId="103FF30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V1——收集系统范围内发生事故的一个罐组物料量。储存相同物料的罐组按一个最大储罐计。本项目危险化学品最大</w:t>
      </w:r>
      <w:r>
        <w:rPr>
          <w:rFonts w:hint="eastAsia" w:ascii="Times New Roman" w:hAnsi="Times New Roman" w:eastAsia="宋体" w:cs="Times New Roman"/>
          <w:color w:val="000000"/>
          <w:spacing w:val="10"/>
          <w:sz w:val="24"/>
          <w:szCs w:val="32"/>
          <w:lang w:val="en-US" w:eastAsia="zh-CN"/>
        </w:rPr>
        <w:t>单桶容积</w:t>
      </w:r>
      <w:r>
        <w:rPr>
          <w:rFonts w:hint="default" w:ascii="Times New Roman" w:hAnsi="Times New Roman" w:eastAsia="宋体" w:cs="Times New Roman"/>
          <w:color w:val="000000"/>
          <w:spacing w:val="10"/>
          <w:sz w:val="24"/>
          <w:szCs w:val="32"/>
          <w:lang w:val="en-US" w:eastAsia="zh-CN"/>
        </w:rPr>
        <w:t>为25m</w:t>
      </w:r>
      <w:r>
        <w:rPr>
          <w:rFonts w:hint="eastAsia" w:ascii="Times New Roman" w:hAnsi="Times New Roman" w:eastAsia="宋体" w:cs="Times New Roman"/>
          <w:color w:val="000000"/>
          <w:spacing w:val="10"/>
          <w:sz w:val="24"/>
          <w:szCs w:val="32"/>
          <w:vertAlign w:val="baseline"/>
          <w:lang w:val="en-US" w:eastAsia="zh-CN"/>
        </w:rPr>
        <w:t>L</w:t>
      </w:r>
      <w:r>
        <w:rPr>
          <w:rFonts w:hint="default" w:ascii="Times New Roman" w:hAnsi="Times New Roman" w:eastAsia="宋体" w:cs="Times New Roman"/>
          <w:color w:val="000000"/>
          <w:spacing w:val="10"/>
          <w:sz w:val="24"/>
          <w:szCs w:val="32"/>
          <w:lang w:val="en-US" w:eastAsia="zh-CN"/>
        </w:rPr>
        <w:t>，单罐储存量为</w:t>
      </w:r>
      <w:r>
        <w:rPr>
          <w:rFonts w:hint="eastAsia" w:ascii="Times New Roman" w:hAnsi="Times New Roman" w:eastAsia="宋体" w:cs="Times New Roman"/>
          <w:color w:val="000000"/>
          <w:spacing w:val="10"/>
          <w:sz w:val="24"/>
          <w:szCs w:val="32"/>
          <w:lang w:val="en-US" w:eastAsia="zh-CN"/>
        </w:rPr>
        <w:t>0.025</w:t>
      </w:r>
      <w:r>
        <w:rPr>
          <w:rFonts w:hint="default" w:ascii="Times New Roman" w:hAnsi="Times New Roman" w:eastAsia="宋体" w:cs="Times New Roman"/>
          <w:color w:val="000000"/>
          <w:spacing w:val="10"/>
          <w:sz w:val="24"/>
          <w:szCs w:val="32"/>
          <w:lang w:val="en-US" w:eastAsia="zh-CN"/>
        </w:rPr>
        <w:t>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；V=</w:t>
      </w:r>
      <w:r>
        <w:rPr>
          <w:rFonts w:hint="eastAsia" w:ascii="Times New Roman" w:hAnsi="Times New Roman" w:eastAsia="宋体" w:cs="Times New Roman"/>
          <w:color w:val="000000"/>
          <w:spacing w:val="10"/>
          <w:sz w:val="24"/>
          <w:szCs w:val="32"/>
          <w:lang w:val="en-US" w:eastAsia="zh-CN"/>
        </w:rPr>
        <w:t>0.0</w:t>
      </w:r>
      <w:r>
        <w:rPr>
          <w:rFonts w:hint="default" w:ascii="Times New Roman" w:hAnsi="Times New Roman" w:eastAsia="宋体" w:cs="Times New Roman"/>
          <w:color w:val="000000"/>
          <w:spacing w:val="10"/>
          <w:sz w:val="24"/>
          <w:szCs w:val="32"/>
          <w:lang w:val="en-US" w:eastAsia="zh-CN"/>
        </w:rPr>
        <w:t>25m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w:t>
      </w:r>
    </w:p>
    <w:p w14:paraId="41D55A46">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V2——发生事故的装置的消防水量；V2=∑Q消t消。根据项目安全设施设计专篇，危险化学品储存区消防水流量不小于45L/s，一次消防用水量不小于432m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，V2=432m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w:t>
      </w:r>
    </w:p>
    <w:p w14:paraId="0AC06D1F">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V3——发生事故时可以</w:t>
      </w:r>
      <w:r>
        <w:rPr>
          <w:rFonts w:hint="default" w:ascii="Times New Roman" w:hAnsi="Times New Roman" w:eastAsia="宋体" w:cs="Times New Roman"/>
          <w:color w:val="000000"/>
          <w:spacing w:val="10"/>
          <w:sz w:val="24"/>
          <w:szCs w:val="32"/>
          <w:highlight w:val="none"/>
          <w:lang w:val="en-US" w:eastAsia="zh-CN"/>
        </w:rPr>
        <w:t>转输</w:t>
      </w:r>
      <w:r>
        <w:rPr>
          <w:rFonts w:hint="default" w:ascii="Times New Roman" w:hAnsi="Times New Roman" w:eastAsia="宋体" w:cs="Times New Roman"/>
          <w:color w:val="000000"/>
          <w:spacing w:val="10"/>
          <w:sz w:val="24"/>
          <w:szCs w:val="32"/>
          <w:lang w:val="en-US" w:eastAsia="zh-CN"/>
        </w:rPr>
        <w:t>到其他储存设施的物料量，m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；本项目危险化学品储存区域通过导流沟将泄漏物质转移至事故应急池，故V3=0m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w:t>
      </w:r>
    </w:p>
    <w:p w14:paraId="171FC155">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V4——发生事故时仍必须进入该收集系统的生产废水量，m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，0m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w:t>
      </w:r>
    </w:p>
    <w:p w14:paraId="350E6E60">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V5——发生事故时可能进入该收集系统的降雨量，m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，V5=10qF；q为降雨强度，按平均日降雨量计，单位为mm，q=qa/n，qa为年平均降雨量</w:t>
      </w:r>
      <w:r>
        <w:rPr>
          <w:rFonts w:hint="eastAsia"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2209.9mm)，n为年平均降雨日数，取170d；F为必须进入事故废水收集系统的雨水汇水面积，hm</w:t>
      </w:r>
      <w:r>
        <w:rPr>
          <w:rFonts w:hint="default" w:ascii="Times New Roman" w:hAnsi="Times New Roman" w:eastAsia="宋体" w:cs="Times New Roman"/>
          <w:color w:val="000000"/>
          <w:spacing w:val="10"/>
          <w:sz w:val="24"/>
          <w:szCs w:val="32"/>
          <w:vertAlign w:val="superscript"/>
          <w:lang w:val="en-US" w:eastAsia="zh-CN"/>
        </w:rPr>
        <w:t>2</w:t>
      </w:r>
      <w:r>
        <w:rPr>
          <w:rFonts w:hint="default" w:ascii="Times New Roman" w:hAnsi="Times New Roman" w:eastAsia="宋体" w:cs="Times New Roman"/>
          <w:color w:val="000000"/>
          <w:spacing w:val="10"/>
          <w:sz w:val="24"/>
          <w:szCs w:val="32"/>
          <w:lang w:val="en-US" w:eastAsia="zh-CN"/>
        </w:rPr>
        <w:t>，</w:t>
      </w:r>
      <w:r>
        <w:rPr>
          <w:rFonts w:hint="eastAsia" w:ascii="Times New Roman" w:hAnsi="Times New Roman" w:eastAsia="宋体" w:cs="Times New Roman"/>
          <w:color w:val="000000"/>
          <w:spacing w:val="10"/>
          <w:sz w:val="24"/>
          <w:szCs w:val="32"/>
          <w:lang w:val="en-US" w:eastAsia="zh-CN"/>
        </w:rPr>
        <w:t>主要为危险化学品集装箱堆场区域，</w:t>
      </w:r>
      <w:r>
        <w:rPr>
          <w:rFonts w:hint="default" w:ascii="Times New Roman" w:hAnsi="Times New Roman" w:eastAsia="宋体" w:cs="Times New Roman"/>
          <w:color w:val="000000"/>
          <w:spacing w:val="10"/>
          <w:sz w:val="24"/>
          <w:szCs w:val="32"/>
          <w:lang w:val="en-US" w:eastAsia="zh-CN"/>
        </w:rPr>
        <w:t>F=1.0</w:t>
      </w:r>
      <w:r>
        <w:rPr>
          <w:rFonts w:hint="eastAsia" w:ascii="Times New Roman" w:hAnsi="Times New Roman" w:eastAsia="宋体" w:cs="Times New Roman"/>
          <w:color w:val="000000"/>
          <w:spacing w:val="10"/>
          <w:sz w:val="24"/>
          <w:szCs w:val="32"/>
          <w:lang w:val="en-US" w:eastAsia="zh-CN"/>
        </w:rPr>
        <w:t>9</w:t>
      </w:r>
      <w:r>
        <w:rPr>
          <w:rFonts w:hint="default" w:ascii="Times New Roman" w:hAnsi="Times New Roman" w:eastAsia="宋体" w:cs="Times New Roman"/>
          <w:color w:val="000000"/>
          <w:spacing w:val="10"/>
          <w:sz w:val="24"/>
          <w:szCs w:val="32"/>
          <w:lang w:val="en-US" w:eastAsia="zh-CN"/>
        </w:rPr>
        <w:t>hm</w:t>
      </w:r>
      <w:r>
        <w:rPr>
          <w:rFonts w:hint="default" w:ascii="Times New Roman" w:hAnsi="Times New Roman" w:eastAsia="宋体" w:cs="Times New Roman"/>
          <w:color w:val="000000"/>
          <w:spacing w:val="10"/>
          <w:sz w:val="24"/>
          <w:szCs w:val="32"/>
          <w:vertAlign w:val="superscript"/>
          <w:lang w:val="en-US" w:eastAsia="zh-CN"/>
        </w:rPr>
        <w:t>2</w:t>
      </w:r>
      <w:r>
        <w:rPr>
          <w:rFonts w:hint="default" w:ascii="Times New Roman" w:hAnsi="Times New Roman" w:eastAsia="宋体" w:cs="Times New Roman"/>
          <w:color w:val="000000"/>
          <w:spacing w:val="10"/>
          <w:sz w:val="24"/>
          <w:szCs w:val="32"/>
          <w:lang w:val="en-US" w:eastAsia="zh-CN"/>
        </w:rPr>
        <w:t>；经计算V5=1</w:t>
      </w:r>
      <w:r>
        <w:rPr>
          <w:rFonts w:hint="eastAsia" w:ascii="Times New Roman" w:hAnsi="Times New Roman" w:eastAsia="宋体" w:cs="Times New Roman"/>
          <w:color w:val="000000"/>
          <w:spacing w:val="10"/>
          <w:sz w:val="24"/>
          <w:szCs w:val="32"/>
          <w:lang w:val="en-US" w:eastAsia="zh-CN"/>
        </w:rPr>
        <w:t>42</w:t>
      </w:r>
      <w:r>
        <w:rPr>
          <w:rFonts w:hint="default" w:ascii="Times New Roman" w:hAnsi="Times New Roman" w:eastAsia="宋体" w:cs="Times New Roman"/>
          <w:color w:val="000000"/>
          <w:spacing w:val="10"/>
          <w:sz w:val="24"/>
          <w:szCs w:val="32"/>
          <w:lang w:val="en-US" w:eastAsia="zh-CN"/>
        </w:rPr>
        <w:t>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w:t>
      </w:r>
    </w:p>
    <w:p w14:paraId="64D54C0A">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经计算，V总=(</w:t>
      </w:r>
      <w:r>
        <w:rPr>
          <w:rFonts w:hint="eastAsia" w:ascii="Times New Roman" w:hAnsi="Times New Roman" w:eastAsia="宋体" w:cs="Times New Roman"/>
          <w:color w:val="000000"/>
          <w:spacing w:val="10"/>
          <w:sz w:val="24"/>
          <w:szCs w:val="32"/>
          <w:lang w:val="en-US" w:eastAsia="zh-CN"/>
        </w:rPr>
        <w:t>0.025</w:t>
      </w:r>
      <w:r>
        <w:rPr>
          <w:rFonts w:hint="default" w:ascii="Times New Roman" w:hAnsi="Times New Roman" w:eastAsia="宋体" w:cs="Times New Roman"/>
          <w:color w:val="000000"/>
          <w:spacing w:val="10"/>
          <w:sz w:val="24"/>
          <w:szCs w:val="32"/>
          <w:lang w:val="en-US" w:eastAsia="zh-CN"/>
        </w:rPr>
        <w:t>+432-0)+0+1</w:t>
      </w:r>
      <w:r>
        <w:rPr>
          <w:rFonts w:hint="eastAsia" w:ascii="Times New Roman" w:hAnsi="Times New Roman" w:eastAsia="宋体" w:cs="Times New Roman"/>
          <w:color w:val="000000"/>
          <w:spacing w:val="10"/>
          <w:sz w:val="24"/>
          <w:szCs w:val="32"/>
          <w:lang w:val="en-US" w:eastAsia="zh-CN"/>
        </w:rPr>
        <w:t>42</w:t>
      </w:r>
      <w:r>
        <w:rPr>
          <w:rFonts w:hint="default" w:ascii="Times New Roman" w:hAnsi="Times New Roman" w:eastAsia="宋体" w:cs="Times New Roman"/>
          <w:color w:val="000000"/>
          <w:spacing w:val="10"/>
          <w:sz w:val="24"/>
          <w:szCs w:val="32"/>
          <w:lang w:val="en-US" w:eastAsia="zh-CN"/>
        </w:rPr>
        <w:t>=</w:t>
      </w:r>
      <w:r>
        <w:rPr>
          <w:rFonts w:hint="eastAsia" w:ascii="Times New Roman" w:hAnsi="Times New Roman" w:eastAsia="宋体" w:cs="Times New Roman"/>
          <w:color w:val="000000"/>
          <w:spacing w:val="10"/>
          <w:sz w:val="24"/>
          <w:szCs w:val="32"/>
          <w:lang w:val="en-US" w:eastAsia="zh-CN"/>
        </w:rPr>
        <w:t>574</w:t>
      </w:r>
      <w:r>
        <w:rPr>
          <w:rFonts w:hint="default" w:ascii="Times New Roman" w:hAnsi="Times New Roman" w:eastAsia="宋体" w:cs="Times New Roman"/>
          <w:color w:val="000000"/>
          <w:spacing w:val="10"/>
          <w:sz w:val="24"/>
          <w:szCs w:val="32"/>
          <w:lang w:val="en-US" w:eastAsia="zh-CN"/>
        </w:rPr>
        <w:t>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w:t>
      </w:r>
    </w:p>
    <w:p w14:paraId="2A91CF9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项目设置一座</w:t>
      </w:r>
      <w:r>
        <w:rPr>
          <w:rFonts w:hint="eastAsia" w:ascii="Times New Roman" w:hAnsi="Times New Roman" w:eastAsia="宋体" w:cs="Times New Roman"/>
          <w:color w:val="000000"/>
          <w:spacing w:val="10"/>
          <w:sz w:val="24"/>
          <w:szCs w:val="32"/>
          <w:lang w:val="en-US" w:eastAsia="zh-CN"/>
        </w:rPr>
        <w:t>100</w:t>
      </w:r>
      <w:r>
        <w:rPr>
          <w:rFonts w:hint="default" w:ascii="Times New Roman" w:hAnsi="Times New Roman" w:eastAsia="宋体" w:cs="Times New Roman"/>
          <w:color w:val="000000"/>
          <w:spacing w:val="10"/>
          <w:sz w:val="24"/>
          <w:szCs w:val="32"/>
          <w:lang w:val="en-US" w:eastAsia="zh-CN"/>
        </w:rPr>
        <w:t>0m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事故水池，可满足要求。</w:t>
      </w:r>
    </w:p>
    <w:p w14:paraId="55E880B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⑶ 事故水污染环境风险分析</w:t>
      </w:r>
    </w:p>
    <w:p w14:paraId="7C717B26">
      <w:pPr>
        <w:autoSpaceDE w:val="0"/>
        <w:autoSpaceDN w:val="0"/>
        <w:adjustRightInd w:val="0"/>
        <w:spacing w:line="500" w:lineRule="exact"/>
        <w:ind w:firstLine="490" w:firstLineChars="200"/>
        <w:rPr>
          <w:rFonts w:hint="eastAsia" w:ascii="Times New Roman" w:hAnsi="Times New Roman" w:eastAsia="宋体" w:cs="Times New Roman"/>
          <w:color w:val="auto"/>
          <w:spacing w:val="10"/>
          <w:sz w:val="24"/>
          <w:szCs w:val="32"/>
          <w:u w:val="single"/>
          <w:lang w:val="en-US" w:eastAsia="zh-CN"/>
        </w:rPr>
      </w:pPr>
      <w:r>
        <w:rPr>
          <w:rFonts w:hint="default" w:ascii="Times New Roman" w:hAnsi="Times New Roman" w:eastAsia="宋体" w:cs="Times New Roman"/>
          <w:color w:val="auto"/>
          <w:spacing w:val="10"/>
          <w:sz w:val="24"/>
          <w:szCs w:val="32"/>
          <w:u w:val="single"/>
          <w:lang w:val="en-US" w:eastAsia="zh-CN"/>
        </w:rPr>
        <w:t>事故状态下废水厂内</w:t>
      </w:r>
      <w:r>
        <w:rPr>
          <w:rFonts w:hint="eastAsia" w:ascii="Times New Roman" w:hAnsi="Times New Roman" w:eastAsia="宋体" w:cs="Times New Roman"/>
          <w:color w:val="auto"/>
          <w:spacing w:val="10"/>
          <w:sz w:val="24"/>
          <w:szCs w:val="32"/>
          <w:u w:val="single"/>
          <w:lang w:val="en-US" w:eastAsia="zh-CN"/>
        </w:rPr>
        <w:t>二</w:t>
      </w:r>
      <w:r>
        <w:rPr>
          <w:rFonts w:hint="default" w:ascii="Times New Roman" w:hAnsi="Times New Roman" w:eastAsia="宋体" w:cs="Times New Roman"/>
          <w:color w:val="auto"/>
          <w:spacing w:val="10"/>
          <w:sz w:val="24"/>
          <w:szCs w:val="32"/>
          <w:u w:val="single"/>
          <w:lang w:val="en-US" w:eastAsia="zh-CN"/>
        </w:rPr>
        <w:t>级防控暂存。携带物料的消防水收集后送入事故池，</w:t>
      </w:r>
      <w:r>
        <w:rPr>
          <w:rFonts w:hint="eastAsia" w:ascii="Times New Roman" w:hAnsi="Times New Roman" w:eastAsia="宋体" w:cs="Times New Roman"/>
          <w:color w:val="auto"/>
          <w:spacing w:val="10"/>
          <w:sz w:val="24"/>
          <w:szCs w:val="32"/>
          <w:u w:val="single"/>
          <w:lang w:val="en-US" w:eastAsia="zh-CN"/>
        </w:rPr>
        <w:t>事故废水主要为酸碱物质等</w:t>
      </w:r>
      <w:r>
        <w:rPr>
          <w:rFonts w:hint="default" w:ascii="Times New Roman" w:hAnsi="Times New Roman" w:eastAsia="宋体" w:cs="Times New Roman"/>
          <w:color w:val="auto"/>
          <w:spacing w:val="10"/>
          <w:sz w:val="24"/>
          <w:szCs w:val="32"/>
          <w:u w:val="single"/>
          <w:lang w:val="en-US" w:eastAsia="zh-CN"/>
        </w:rPr>
        <w:t>。</w:t>
      </w:r>
      <w:r>
        <w:rPr>
          <w:rFonts w:hint="eastAsia" w:ascii="Times New Roman" w:hAnsi="Times New Roman" w:eastAsia="宋体" w:cs="Times New Roman"/>
          <w:color w:val="auto"/>
          <w:spacing w:val="10"/>
          <w:sz w:val="24"/>
          <w:szCs w:val="32"/>
          <w:u w:val="single"/>
          <w:lang w:val="en-US" w:eastAsia="zh-CN"/>
        </w:rPr>
        <w:t>事故废水经检测如满足</w:t>
      </w:r>
      <w:r>
        <w:rPr>
          <w:rFonts w:hint="eastAsia" w:cs="Times New Roman"/>
          <w:color w:val="auto"/>
          <w:spacing w:val="10"/>
          <w:sz w:val="24"/>
          <w:szCs w:val="32"/>
          <w:u w:val="single"/>
          <w:lang w:val="en-US" w:eastAsia="zh-CN"/>
        </w:rPr>
        <w:t>钦州港工业污水集中处理厂</w:t>
      </w:r>
      <w:r>
        <w:rPr>
          <w:rFonts w:hint="eastAsia" w:ascii="Times New Roman" w:hAnsi="Times New Roman" w:eastAsia="宋体" w:cs="Times New Roman"/>
          <w:color w:val="auto"/>
          <w:spacing w:val="10"/>
          <w:sz w:val="24"/>
          <w:szCs w:val="32"/>
          <w:u w:val="single"/>
          <w:lang w:val="en-US" w:eastAsia="zh-CN"/>
        </w:rPr>
        <w:t>进水水质要求，可抽运至</w:t>
      </w:r>
      <w:r>
        <w:rPr>
          <w:rFonts w:hint="eastAsia" w:cs="Times New Roman"/>
          <w:color w:val="auto"/>
          <w:spacing w:val="10"/>
          <w:sz w:val="24"/>
          <w:szCs w:val="32"/>
          <w:u w:val="single"/>
          <w:lang w:val="en-US" w:eastAsia="zh-CN"/>
        </w:rPr>
        <w:t>钦州港工业污水集中处理厂</w:t>
      </w:r>
      <w:r>
        <w:rPr>
          <w:rFonts w:hint="eastAsia" w:ascii="Times New Roman" w:hAnsi="Times New Roman" w:eastAsia="宋体" w:cs="Times New Roman"/>
          <w:color w:val="auto"/>
          <w:spacing w:val="10"/>
          <w:sz w:val="24"/>
          <w:szCs w:val="32"/>
          <w:u w:val="single"/>
          <w:lang w:val="en-US" w:eastAsia="zh-CN"/>
        </w:rPr>
        <w:t>处理，如消防废水经鉴定不能满足</w:t>
      </w:r>
      <w:r>
        <w:rPr>
          <w:rFonts w:hint="eastAsia" w:cs="Times New Roman"/>
          <w:color w:val="auto"/>
          <w:spacing w:val="10"/>
          <w:sz w:val="24"/>
          <w:szCs w:val="32"/>
          <w:u w:val="single"/>
          <w:lang w:val="en-US" w:eastAsia="zh-CN"/>
        </w:rPr>
        <w:t>钦州港工业污水集中处理厂</w:t>
      </w:r>
      <w:r>
        <w:rPr>
          <w:rFonts w:hint="eastAsia" w:ascii="Times New Roman" w:hAnsi="Times New Roman" w:eastAsia="宋体" w:cs="Times New Roman"/>
          <w:color w:val="auto"/>
          <w:spacing w:val="10"/>
          <w:sz w:val="24"/>
          <w:szCs w:val="32"/>
          <w:u w:val="single"/>
          <w:lang w:val="en-US" w:eastAsia="zh-CN"/>
        </w:rPr>
        <w:t>进水水质要求的，需委托有能力处置的单位进行处置。园区内现状已建成并运行的可处理消防废水的单位有广西天宜污水处理厂（一期工程）、广西天宜污水处理厂（二期工程）。</w:t>
      </w:r>
    </w:p>
    <w:p w14:paraId="6334DFD5">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u w:val="single"/>
          <w:lang w:val="en-US" w:eastAsia="zh-CN"/>
        </w:rPr>
      </w:pPr>
      <w:r>
        <w:rPr>
          <w:rFonts w:hint="default" w:ascii="Times New Roman" w:hAnsi="Times New Roman" w:eastAsia="宋体" w:cs="Times New Roman"/>
          <w:color w:val="auto"/>
          <w:spacing w:val="10"/>
          <w:sz w:val="24"/>
          <w:szCs w:val="32"/>
          <w:u w:val="single"/>
          <w:lang w:val="en-US" w:eastAsia="zh-CN"/>
        </w:rPr>
        <w:t>项目设置一座初期雨水池，初期雨水池设置切换阀，均作为储存事故废水</w:t>
      </w:r>
      <w:r>
        <w:rPr>
          <w:rFonts w:hint="eastAsia" w:cs="Times New Roman"/>
          <w:color w:val="auto"/>
          <w:spacing w:val="10"/>
          <w:sz w:val="24"/>
          <w:szCs w:val="32"/>
          <w:u w:val="single"/>
          <w:lang w:val="en-US" w:eastAsia="zh-CN"/>
        </w:rPr>
        <w:t>的</w:t>
      </w:r>
      <w:r>
        <w:rPr>
          <w:rFonts w:hint="default" w:ascii="Times New Roman" w:hAnsi="Times New Roman" w:eastAsia="宋体" w:cs="Times New Roman"/>
          <w:color w:val="auto"/>
          <w:spacing w:val="10"/>
          <w:sz w:val="24"/>
          <w:szCs w:val="32"/>
          <w:u w:val="single"/>
          <w:lang w:val="en-US" w:eastAsia="zh-CN"/>
        </w:rPr>
        <w:t>调控手段，可确保发生较大或重大事故时泄漏物料和污染消防水控制在厂区，</w:t>
      </w:r>
      <w:r>
        <w:rPr>
          <w:rFonts w:hint="eastAsia" w:cs="Times New Roman"/>
          <w:color w:val="auto"/>
          <w:spacing w:val="10"/>
          <w:sz w:val="24"/>
          <w:szCs w:val="32"/>
          <w:u w:val="single"/>
          <w:lang w:val="en-US" w:eastAsia="zh-CN"/>
        </w:rPr>
        <w:t>废水进入初期雨水收集池前设置阀门，在无事故工况下初期雨水收集池前阀门处于打开状态，事故阀门关闭，初期雨水进入初期雨水收集池，当发生事故时，进入初期雨水池阀门关闭，事故应急池阀门打开，事故废水自流进入事故应急池。</w:t>
      </w:r>
    </w:p>
    <w:p w14:paraId="675350AE">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u w:val="none"/>
          <w:lang w:val="en-US" w:eastAsia="zh-CN"/>
        </w:rPr>
      </w:pPr>
      <w:r>
        <w:rPr>
          <w:rFonts w:hint="default" w:ascii="Times New Roman" w:hAnsi="Times New Roman" w:eastAsia="宋体" w:cs="Times New Roman"/>
          <w:color w:val="000000"/>
          <w:spacing w:val="10"/>
          <w:sz w:val="24"/>
          <w:szCs w:val="32"/>
          <w:u w:val="none"/>
          <w:lang w:val="en-US" w:eastAsia="zh-CN"/>
        </w:rPr>
        <w:t>项目危险化学品储存区域、危险废物暂存间、初期雨水池、事故水池等必须进行防渗处理，经采取上述措施后，事故状态下产生的废水对周围环境的影响较小。</w:t>
      </w:r>
    </w:p>
    <w:p w14:paraId="674E3ADF">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u w:val="none"/>
          <w:lang w:val="en-US" w:eastAsia="zh-CN"/>
        </w:rPr>
      </w:pPr>
      <w:r>
        <w:rPr>
          <w:rFonts w:hint="eastAsia" w:ascii="Times New Roman" w:hAnsi="Times New Roman" w:eastAsia="宋体" w:cs="Times New Roman"/>
          <w:color w:val="000000"/>
          <w:spacing w:val="10"/>
          <w:sz w:val="24"/>
          <w:szCs w:val="32"/>
          <w:u w:val="none"/>
          <w:lang w:val="en-US" w:eastAsia="zh-CN"/>
        </w:rPr>
        <w:t>事故废水主要污染物因子为非持久性污染物，附近流场大体以往复流为主，涨潮向北，落潮向南，涨落急时刻，事故废水若进入海洋环境，事故废水被稀释，由于事故废水量不大，对周边的水质环境影响不大，对周边海洋敏感目标（金鼓江红树林区等）影响不大。</w:t>
      </w:r>
    </w:p>
    <w:p w14:paraId="4AF7619F">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地下水环境风险影响分析</w:t>
      </w:r>
    </w:p>
    <w:p w14:paraId="7C4D5A67">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正常轻微火灾事故状态下，完整的防渗措施能够使得各类风险物质、污废水得到有效收集处理，不轻易下渗</w:t>
      </w:r>
      <w:r>
        <w:rPr>
          <w:rFonts w:hint="eastAsia" w:cs="Times New Roman"/>
          <w:color w:val="000000"/>
          <w:spacing w:val="10"/>
          <w:sz w:val="24"/>
          <w:szCs w:val="32"/>
          <w:lang w:val="en-US" w:eastAsia="zh-CN"/>
        </w:rPr>
        <w:t>污染</w:t>
      </w:r>
      <w:r>
        <w:rPr>
          <w:rFonts w:hint="default" w:ascii="Times New Roman" w:hAnsi="Times New Roman" w:eastAsia="宋体" w:cs="Times New Roman"/>
          <w:color w:val="000000"/>
          <w:spacing w:val="10"/>
          <w:sz w:val="24"/>
          <w:szCs w:val="32"/>
          <w:lang w:val="en-US" w:eastAsia="zh-CN"/>
        </w:rPr>
        <w:t>土壤及地下水。但是一些极端风险事故发生，如地震、地基不均匀沉降等自然触发因素，导致初期雨水池、事故池、危险化学品储存区等破裂，原本的防渗层遭到破坏产生裂缝，污染物沿裂隙渗入土壤，阻断工作较难开展，通过下渗，会造成地下水污染。</w:t>
      </w:r>
    </w:p>
    <w:p w14:paraId="27C5F1DA">
      <w:pPr>
        <w:autoSpaceDE w:val="0"/>
        <w:autoSpaceDN w:val="0"/>
        <w:adjustRightInd w:val="0"/>
        <w:spacing w:line="500" w:lineRule="exact"/>
        <w:rPr>
          <w:rFonts w:hint="default" w:ascii="Times New Roman" w:hAnsi="Times New Roman" w:eastAsia="宋体" w:cs="Times New Roman"/>
          <w:b/>
          <w:bCs/>
          <w:color w:val="000000"/>
          <w:spacing w:val="10"/>
          <w:sz w:val="24"/>
          <w:szCs w:val="32"/>
          <w:lang w:val="en-US" w:eastAsia="zh-CN"/>
        </w:rPr>
      </w:pPr>
      <w:r>
        <w:rPr>
          <w:rFonts w:hint="default" w:ascii="Times New Roman" w:hAnsi="Times New Roman" w:eastAsia="宋体" w:cs="Times New Roman"/>
          <w:b/>
          <w:bCs/>
          <w:color w:val="000000"/>
          <w:spacing w:val="10"/>
          <w:sz w:val="24"/>
          <w:szCs w:val="32"/>
          <w:lang w:val="en-US" w:eastAsia="zh-CN"/>
        </w:rPr>
        <w:t>1.7.3.1水文地质参数</w:t>
      </w:r>
    </w:p>
    <w:p w14:paraId="26C5AE72">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根据</w:t>
      </w:r>
      <w:r>
        <w:rPr>
          <w:rFonts w:hint="default" w:ascii="Times New Roman" w:hAnsi="Times New Roman" w:eastAsia="宋体" w:cs="Times New Roman"/>
          <w:color w:val="auto"/>
          <w:spacing w:val="10"/>
          <w:sz w:val="24"/>
          <w:szCs w:val="32"/>
          <w:lang w:val="en-US" w:eastAsia="zh-CN"/>
        </w:rPr>
        <w:t>《广西华谊新材料有限公司30万吨年生物可降解材料PBAT项目和PBAT配套1,4～丁二醇项目水文地质勘查报告》（2022.05），</w:t>
      </w:r>
      <w:r>
        <w:rPr>
          <w:rFonts w:hint="default" w:ascii="Times New Roman" w:hAnsi="Times New Roman" w:eastAsia="宋体" w:cs="Times New Roman"/>
          <w:color w:val="000000"/>
          <w:spacing w:val="10"/>
          <w:sz w:val="24"/>
          <w:szCs w:val="32"/>
          <w:lang w:val="en-US" w:eastAsia="zh-CN"/>
        </w:rPr>
        <w:t>项目所在区域水文地质参数见表1-</w:t>
      </w:r>
      <w:r>
        <w:rPr>
          <w:rFonts w:hint="eastAsia" w:cs="Times New Roman"/>
          <w:color w:val="000000"/>
          <w:spacing w:val="10"/>
          <w:sz w:val="24"/>
          <w:szCs w:val="32"/>
          <w:lang w:val="en-US" w:eastAsia="zh-CN"/>
        </w:rPr>
        <w:t>47</w:t>
      </w:r>
      <w:r>
        <w:rPr>
          <w:rFonts w:hint="default" w:ascii="Times New Roman" w:hAnsi="Times New Roman" w:eastAsia="宋体" w:cs="Times New Roman"/>
          <w:color w:val="000000"/>
          <w:spacing w:val="10"/>
          <w:sz w:val="24"/>
          <w:szCs w:val="32"/>
          <w:lang w:val="en-US" w:eastAsia="zh-CN"/>
        </w:rPr>
        <w:t>。</w:t>
      </w:r>
    </w:p>
    <w:p w14:paraId="090DA90B">
      <w:pPr>
        <w:pStyle w:val="4"/>
        <w:numPr>
          <w:ilvl w:val="3"/>
          <w:numId w:val="10"/>
        </w:numPr>
        <w:tabs>
          <w:tab w:val="left" w:pos="1358"/>
          <w:tab w:val="left" w:pos="2153"/>
          <w:tab w:val="left" w:pos="2183"/>
        </w:tabs>
        <w:ind w:left="1358"/>
        <w:rPr>
          <w:rFonts w:hint="default" w:ascii="Times New Roman" w:hAnsi="Times New Roman" w:eastAsia="宋体" w:cs="Times New Roman"/>
          <w:b/>
          <w:color w:val="000000"/>
          <w:u w:val="none"/>
          <w:lang w:val="en-US" w:eastAsia="zh-CN"/>
        </w:rPr>
      </w:pPr>
      <w:r>
        <w:rPr>
          <w:rFonts w:hint="default" w:ascii="Times New Roman" w:hAnsi="Times New Roman" w:eastAsia="宋体" w:cs="Times New Roman"/>
          <w:b/>
          <w:color w:val="000000"/>
          <w:u w:val="none"/>
          <w:lang w:val="en-US" w:eastAsia="zh-CN"/>
        </w:rPr>
        <w:t>双环渗水试验成果</w:t>
      </w:r>
      <w:r>
        <w:rPr>
          <w:rFonts w:hint="eastAsia" w:ascii="Times New Roman" w:hAnsi="Times New Roman" w:cs="Times New Roman"/>
          <w:b/>
          <w:color w:val="000000"/>
          <w:u w:val="none"/>
          <w:lang w:val="en-US" w:eastAsia="zh-CN"/>
        </w:rPr>
        <w:t>统计</w:t>
      </w:r>
      <w:r>
        <w:rPr>
          <w:rFonts w:hint="default" w:ascii="Times New Roman" w:hAnsi="Times New Roman" w:eastAsia="宋体" w:cs="Times New Roman"/>
          <w:b/>
          <w:color w:val="000000"/>
          <w:u w:val="none"/>
          <w:lang w:val="en-US" w:eastAsia="zh-CN"/>
        </w:rPr>
        <w:t>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6"/>
        <w:gridCol w:w="1034"/>
        <w:gridCol w:w="1170"/>
        <w:gridCol w:w="1160"/>
        <w:gridCol w:w="959"/>
        <w:gridCol w:w="1170"/>
        <w:gridCol w:w="1237"/>
        <w:gridCol w:w="1457"/>
      </w:tblGrid>
      <w:tr w14:paraId="6B7F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vMerge w:val="restart"/>
            <w:noWrap w:val="0"/>
            <w:tcMar>
              <w:top w:w="15" w:type="dxa"/>
              <w:left w:w="15" w:type="dxa"/>
              <w:right w:w="15" w:type="dxa"/>
            </w:tcMar>
            <w:vAlign w:val="center"/>
          </w:tcPr>
          <w:p w14:paraId="7D97F614">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编号</w:t>
            </w:r>
          </w:p>
        </w:tc>
        <w:tc>
          <w:tcPr>
            <w:tcW w:w="590" w:type="pct"/>
            <w:vMerge w:val="restart"/>
            <w:noWrap w:val="0"/>
            <w:tcMar>
              <w:top w:w="15" w:type="dxa"/>
              <w:left w:w="15" w:type="dxa"/>
              <w:right w:w="15" w:type="dxa"/>
            </w:tcMar>
            <w:vAlign w:val="center"/>
          </w:tcPr>
          <w:p w14:paraId="097A6022">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岩土</w:t>
            </w:r>
          </w:p>
          <w:p w14:paraId="49DF14DA">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名称</w:t>
            </w:r>
          </w:p>
        </w:tc>
        <w:tc>
          <w:tcPr>
            <w:tcW w:w="667" w:type="pct"/>
            <w:vMerge w:val="restart"/>
            <w:noWrap w:val="0"/>
            <w:tcMar>
              <w:top w:w="15" w:type="dxa"/>
              <w:left w:w="15" w:type="dxa"/>
              <w:right w:w="15" w:type="dxa"/>
            </w:tcMar>
            <w:vAlign w:val="center"/>
          </w:tcPr>
          <w:p w14:paraId="701FEBEE">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面积（cm</w:t>
            </w:r>
            <w:r>
              <w:rPr>
                <w:rFonts w:hint="default" w:ascii="Times New Roman" w:hAnsi="Times New Roman" w:eastAsia="宋体" w:cs="Times New Roman"/>
                <w:color w:val="000000"/>
                <w:vertAlign w:val="superscript"/>
              </w:rPr>
              <w:t>2</w:t>
            </w:r>
            <w:r>
              <w:rPr>
                <w:rFonts w:hint="default" w:ascii="Times New Roman" w:hAnsi="Times New Roman" w:eastAsia="宋体" w:cs="Times New Roman"/>
                <w:color w:val="000000"/>
              </w:rPr>
              <w:t>）</w:t>
            </w:r>
          </w:p>
        </w:tc>
        <w:tc>
          <w:tcPr>
            <w:tcW w:w="638" w:type="pct"/>
            <w:vMerge w:val="restart"/>
            <w:noWrap w:val="0"/>
            <w:tcMar>
              <w:top w:w="15" w:type="dxa"/>
              <w:left w:w="15" w:type="dxa"/>
              <w:right w:w="15" w:type="dxa"/>
            </w:tcMar>
            <w:vAlign w:val="center"/>
          </w:tcPr>
          <w:p w14:paraId="375C1D80">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渗水量（cm</w:t>
            </w:r>
            <w:r>
              <w:rPr>
                <w:rFonts w:hint="default" w:ascii="Times New Roman" w:hAnsi="Times New Roman" w:eastAsia="宋体" w:cs="Times New Roman"/>
                <w:color w:val="000000"/>
                <w:vertAlign w:val="superscript"/>
              </w:rPr>
              <w:t>3</w:t>
            </w:r>
            <w:r>
              <w:rPr>
                <w:rFonts w:hint="default" w:ascii="Times New Roman" w:hAnsi="Times New Roman" w:eastAsia="宋体" w:cs="Times New Roman"/>
                <w:color w:val="000000"/>
              </w:rPr>
              <w:t>/min）</w:t>
            </w:r>
          </w:p>
        </w:tc>
        <w:tc>
          <w:tcPr>
            <w:tcW w:w="547" w:type="pct"/>
            <w:vMerge w:val="restart"/>
            <w:noWrap w:val="0"/>
            <w:tcMar>
              <w:top w:w="15" w:type="dxa"/>
              <w:left w:w="15" w:type="dxa"/>
              <w:right w:w="15" w:type="dxa"/>
            </w:tcMar>
            <w:vAlign w:val="center"/>
          </w:tcPr>
          <w:p w14:paraId="648E1585">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渗入深度（cm）</w:t>
            </w:r>
          </w:p>
        </w:tc>
        <w:tc>
          <w:tcPr>
            <w:tcW w:w="2202" w:type="pct"/>
            <w:gridSpan w:val="3"/>
            <w:noWrap w:val="0"/>
            <w:tcMar>
              <w:top w:w="15" w:type="dxa"/>
              <w:left w:w="15" w:type="dxa"/>
              <w:right w:w="15" w:type="dxa"/>
            </w:tcMar>
            <w:vAlign w:val="center"/>
          </w:tcPr>
          <w:p w14:paraId="3E953898">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渗透系数K</w:t>
            </w:r>
          </w:p>
        </w:tc>
      </w:tr>
      <w:tr w14:paraId="2E58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vMerge w:val="continue"/>
            <w:noWrap w:val="0"/>
            <w:tcMar>
              <w:top w:w="15" w:type="dxa"/>
              <w:left w:w="15" w:type="dxa"/>
              <w:right w:w="15" w:type="dxa"/>
            </w:tcMar>
            <w:vAlign w:val="center"/>
          </w:tcPr>
          <w:p w14:paraId="5DF8D561">
            <w:pPr>
              <w:adjustRightInd w:val="0"/>
              <w:snapToGrid w:val="0"/>
              <w:spacing w:line="240" w:lineRule="exact"/>
              <w:jc w:val="center"/>
              <w:rPr>
                <w:rFonts w:hint="default" w:ascii="Times New Roman" w:hAnsi="Times New Roman" w:eastAsia="宋体" w:cs="Times New Roman"/>
                <w:color w:val="000000"/>
              </w:rPr>
            </w:pPr>
          </w:p>
        </w:tc>
        <w:tc>
          <w:tcPr>
            <w:tcW w:w="590" w:type="pct"/>
            <w:vMerge w:val="continue"/>
            <w:noWrap w:val="0"/>
            <w:tcMar>
              <w:top w:w="15" w:type="dxa"/>
              <w:left w:w="15" w:type="dxa"/>
              <w:right w:w="15" w:type="dxa"/>
            </w:tcMar>
            <w:vAlign w:val="center"/>
          </w:tcPr>
          <w:p w14:paraId="55F96BF4">
            <w:pPr>
              <w:adjustRightInd w:val="0"/>
              <w:snapToGrid w:val="0"/>
              <w:spacing w:line="240" w:lineRule="exact"/>
              <w:jc w:val="center"/>
              <w:rPr>
                <w:rFonts w:hint="default" w:ascii="Times New Roman" w:hAnsi="Times New Roman" w:eastAsia="宋体" w:cs="Times New Roman"/>
                <w:color w:val="000000"/>
              </w:rPr>
            </w:pPr>
          </w:p>
        </w:tc>
        <w:tc>
          <w:tcPr>
            <w:tcW w:w="667" w:type="pct"/>
            <w:vMerge w:val="continue"/>
            <w:noWrap w:val="0"/>
            <w:tcMar>
              <w:top w:w="15" w:type="dxa"/>
              <w:left w:w="15" w:type="dxa"/>
              <w:right w:w="15" w:type="dxa"/>
            </w:tcMar>
            <w:vAlign w:val="center"/>
          </w:tcPr>
          <w:p w14:paraId="5F2A675B">
            <w:pPr>
              <w:adjustRightInd w:val="0"/>
              <w:snapToGrid w:val="0"/>
              <w:spacing w:line="240" w:lineRule="exact"/>
              <w:jc w:val="center"/>
              <w:rPr>
                <w:rFonts w:hint="default" w:ascii="Times New Roman" w:hAnsi="Times New Roman" w:eastAsia="宋体" w:cs="Times New Roman"/>
                <w:color w:val="000000"/>
              </w:rPr>
            </w:pPr>
          </w:p>
        </w:tc>
        <w:tc>
          <w:tcPr>
            <w:tcW w:w="638" w:type="pct"/>
            <w:vMerge w:val="continue"/>
            <w:noWrap w:val="0"/>
            <w:tcMar>
              <w:top w:w="15" w:type="dxa"/>
              <w:left w:w="15" w:type="dxa"/>
              <w:right w:w="15" w:type="dxa"/>
            </w:tcMar>
            <w:vAlign w:val="center"/>
          </w:tcPr>
          <w:p w14:paraId="369D3276">
            <w:pPr>
              <w:adjustRightInd w:val="0"/>
              <w:snapToGrid w:val="0"/>
              <w:spacing w:line="240" w:lineRule="exact"/>
              <w:jc w:val="center"/>
              <w:rPr>
                <w:rFonts w:hint="default" w:ascii="Times New Roman" w:hAnsi="Times New Roman" w:eastAsia="宋体" w:cs="Times New Roman"/>
                <w:color w:val="000000"/>
              </w:rPr>
            </w:pPr>
          </w:p>
        </w:tc>
        <w:tc>
          <w:tcPr>
            <w:tcW w:w="547" w:type="pct"/>
            <w:vMerge w:val="continue"/>
            <w:noWrap w:val="0"/>
            <w:tcMar>
              <w:top w:w="15" w:type="dxa"/>
              <w:left w:w="15" w:type="dxa"/>
              <w:right w:w="15" w:type="dxa"/>
            </w:tcMar>
            <w:vAlign w:val="center"/>
          </w:tcPr>
          <w:p w14:paraId="7062ADD5">
            <w:pPr>
              <w:adjustRightInd w:val="0"/>
              <w:snapToGrid w:val="0"/>
              <w:spacing w:line="240" w:lineRule="exact"/>
              <w:jc w:val="center"/>
              <w:rPr>
                <w:rFonts w:hint="default" w:ascii="Times New Roman" w:hAnsi="Times New Roman" w:eastAsia="宋体" w:cs="Times New Roman"/>
                <w:color w:val="000000"/>
              </w:rPr>
            </w:pPr>
          </w:p>
        </w:tc>
        <w:tc>
          <w:tcPr>
            <w:tcW w:w="667" w:type="pct"/>
            <w:noWrap w:val="0"/>
            <w:tcMar>
              <w:top w:w="15" w:type="dxa"/>
              <w:left w:w="15" w:type="dxa"/>
              <w:right w:w="15" w:type="dxa"/>
            </w:tcMar>
            <w:vAlign w:val="center"/>
          </w:tcPr>
          <w:p w14:paraId="6AAABF36">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(m/d)</w:t>
            </w:r>
          </w:p>
        </w:tc>
        <w:tc>
          <w:tcPr>
            <w:tcW w:w="705" w:type="pct"/>
            <w:noWrap w:val="0"/>
            <w:tcMar>
              <w:top w:w="15" w:type="dxa"/>
              <w:left w:w="15" w:type="dxa"/>
              <w:right w:w="15" w:type="dxa"/>
            </w:tcMar>
            <w:vAlign w:val="center"/>
          </w:tcPr>
          <w:p w14:paraId="4289FA06">
            <w:pPr>
              <w:adjustRightInd w:val="0"/>
              <w:snapToGrid w:val="0"/>
              <w:spacing w:line="240" w:lineRule="exact"/>
              <w:jc w:val="center"/>
              <w:rPr>
                <w:rFonts w:hint="default" w:ascii="Times New Roman" w:hAnsi="Times New Roman" w:eastAsia="宋体" w:cs="Times New Roman"/>
                <w:color w:val="000000"/>
              </w:rPr>
            </w:pPr>
            <w:r>
              <w:rPr>
                <w:rFonts w:hint="eastAsia" w:cs="Times New Roman"/>
                <w:color w:val="000000"/>
                <w:lang w:eastAsia="zh-CN"/>
              </w:rPr>
              <w:t>(</w:t>
            </w:r>
            <w:r>
              <w:rPr>
                <w:rFonts w:hint="default" w:ascii="Times New Roman" w:hAnsi="Times New Roman" w:eastAsia="宋体" w:cs="Times New Roman"/>
                <w:color w:val="000000"/>
              </w:rPr>
              <w:t>cm/s</w:t>
            </w:r>
            <w:r>
              <w:rPr>
                <w:rFonts w:hint="eastAsia" w:cs="Times New Roman"/>
                <w:color w:val="000000"/>
                <w:lang w:eastAsia="zh-CN"/>
              </w:rPr>
              <w:t>)</w:t>
            </w:r>
          </w:p>
        </w:tc>
        <w:tc>
          <w:tcPr>
            <w:tcW w:w="829" w:type="pct"/>
            <w:noWrap w:val="0"/>
            <w:tcMar>
              <w:top w:w="15" w:type="dxa"/>
              <w:left w:w="15" w:type="dxa"/>
              <w:right w:w="15" w:type="dxa"/>
            </w:tcMar>
            <w:vAlign w:val="center"/>
          </w:tcPr>
          <w:p w14:paraId="1E1B30CC">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平均值（cm/s）</w:t>
            </w:r>
          </w:p>
        </w:tc>
      </w:tr>
      <w:tr w14:paraId="1BF5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noWrap w:val="0"/>
            <w:tcMar>
              <w:top w:w="15" w:type="dxa"/>
              <w:left w:w="15" w:type="dxa"/>
              <w:right w:w="15" w:type="dxa"/>
            </w:tcMar>
            <w:vAlign w:val="center"/>
          </w:tcPr>
          <w:p w14:paraId="127820B0">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SS1</w:t>
            </w:r>
          </w:p>
        </w:tc>
        <w:tc>
          <w:tcPr>
            <w:tcW w:w="590" w:type="pct"/>
            <w:noWrap w:val="0"/>
            <w:tcMar>
              <w:top w:w="15" w:type="dxa"/>
              <w:left w:w="15" w:type="dxa"/>
              <w:right w:w="15" w:type="dxa"/>
            </w:tcMar>
            <w:vAlign w:val="center"/>
          </w:tcPr>
          <w:p w14:paraId="131A478E">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素填土</w:t>
            </w:r>
          </w:p>
        </w:tc>
        <w:tc>
          <w:tcPr>
            <w:tcW w:w="667" w:type="pct"/>
            <w:noWrap w:val="0"/>
            <w:tcMar>
              <w:top w:w="15" w:type="dxa"/>
              <w:left w:w="15" w:type="dxa"/>
              <w:right w:w="15" w:type="dxa"/>
            </w:tcMar>
            <w:vAlign w:val="center"/>
          </w:tcPr>
          <w:p w14:paraId="188B793C">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490.625</w:t>
            </w:r>
          </w:p>
        </w:tc>
        <w:tc>
          <w:tcPr>
            <w:tcW w:w="638" w:type="pct"/>
            <w:noWrap w:val="0"/>
            <w:tcMar>
              <w:top w:w="15" w:type="dxa"/>
              <w:left w:w="15" w:type="dxa"/>
              <w:right w:w="15" w:type="dxa"/>
            </w:tcMar>
            <w:vAlign w:val="center"/>
          </w:tcPr>
          <w:p w14:paraId="5B47684D">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0.041</w:t>
            </w:r>
          </w:p>
        </w:tc>
        <w:tc>
          <w:tcPr>
            <w:tcW w:w="547" w:type="pct"/>
            <w:noWrap w:val="0"/>
            <w:tcMar>
              <w:top w:w="15" w:type="dxa"/>
              <w:left w:w="15" w:type="dxa"/>
              <w:right w:w="15" w:type="dxa"/>
            </w:tcMar>
            <w:vAlign w:val="center"/>
          </w:tcPr>
          <w:p w14:paraId="540435C1">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6.49</w:t>
            </w:r>
          </w:p>
        </w:tc>
        <w:tc>
          <w:tcPr>
            <w:tcW w:w="667" w:type="pct"/>
            <w:noWrap w:val="0"/>
            <w:tcMar>
              <w:top w:w="15" w:type="dxa"/>
              <w:left w:w="15" w:type="dxa"/>
              <w:right w:w="15" w:type="dxa"/>
            </w:tcMar>
            <w:vAlign w:val="center"/>
          </w:tcPr>
          <w:p w14:paraId="7C841A9B">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0.285</w:t>
            </w:r>
          </w:p>
        </w:tc>
        <w:tc>
          <w:tcPr>
            <w:tcW w:w="705" w:type="pct"/>
            <w:noWrap w:val="0"/>
            <w:tcMar>
              <w:top w:w="15" w:type="dxa"/>
              <w:left w:w="15" w:type="dxa"/>
              <w:right w:w="15" w:type="dxa"/>
            </w:tcMar>
            <w:vAlign w:val="center"/>
          </w:tcPr>
          <w:p w14:paraId="679C54DB">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3.30×10</w:t>
            </w:r>
            <w:r>
              <w:rPr>
                <w:rFonts w:hint="default" w:ascii="Times New Roman" w:hAnsi="Times New Roman" w:eastAsia="宋体" w:cs="Times New Roman"/>
                <w:color w:val="000000"/>
                <w:vertAlign w:val="superscript"/>
              </w:rPr>
              <w:t>-4</w:t>
            </w:r>
          </w:p>
        </w:tc>
        <w:tc>
          <w:tcPr>
            <w:tcW w:w="829" w:type="pct"/>
            <w:vMerge w:val="restart"/>
            <w:noWrap w:val="0"/>
            <w:tcMar>
              <w:top w:w="15" w:type="dxa"/>
              <w:left w:w="15" w:type="dxa"/>
              <w:right w:w="15" w:type="dxa"/>
            </w:tcMar>
            <w:vAlign w:val="center"/>
          </w:tcPr>
          <w:p w14:paraId="07B8757D">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2.81×10</w:t>
            </w:r>
            <w:r>
              <w:rPr>
                <w:rFonts w:hint="default" w:ascii="Times New Roman" w:hAnsi="Times New Roman" w:eastAsia="宋体" w:cs="Times New Roman"/>
                <w:color w:val="000000"/>
                <w:vertAlign w:val="superscript"/>
              </w:rPr>
              <w:t>-4</w:t>
            </w:r>
          </w:p>
        </w:tc>
      </w:tr>
      <w:tr w14:paraId="5AB7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noWrap w:val="0"/>
            <w:tcMar>
              <w:top w:w="15" w:type="dxa"/>
              <w:left w:w="15" w:type="dxa"/>
              <w:right w:w="15" w:type="dxa"/>
            </w:tcMar>
            <w:vAlign w:val="center"/>
          </w:tcPr>
          <w:p w14:paraId="08E1BB49">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SS2</w:t>
            </w:r>
          </w:p>
        </w:tc>
        <w:tc>
          <w:tcPr>
            <w:tcW w:w="590" w:type="pct"/>
            <w:noWrap w:val="0"/>
            <w:tcMar>
              <w:top w:w="15" w:type="dxa"/>
              <w:left w:w="15" w:type="dxa"/>
              <w:right w:w="15" w:type="dxa"/>
            </w:tcMar>
            <w:vAlign w:val="center"/>
          </w:tcPr>
          <w:p w14:paraId="3585D489">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素填土</w:t>
            </w:r>
          </w:p>
        </w:tc>
        <w:tc>
          <w:tcPr>
            <w:tcW w:w="667" w:type="pct"/>
            <w:noWrap w:val="0"/>
            <w:tcMar>
              <w:top w:w="15" w:type="dxa"/>
              <w:left w:w="15" w:type="dxa"/>
              <w:right w:w="15" w:type="dxa"/>
            </w:tcMar>
            <w:vAlign w:val="center"/>
          </w:tcPr>
          <w:p w14:paraId="725797CA">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490.625</w:t>
            </w:r>
          </w:p>
        </w:tc>
        <w:tc>
          <w:tcPr>
            <w:tcW w:w="638" w:type="pct"/>
            <w:noWrap w:val="0"/>
            <w:tcMar>
              <w:top w:w="15" w:type="dxa"/>
              <w:left w:w="15" w:type="dxa"/>
              <w:right w:w="15" w:type="dxa"/>
            </w:tcMar>
            <w:vAlign w:val="center"/>
          </w:tcPr>
          <w:p w14:paraId="111389BA">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0.032</w:t>
            </w:r>
          </w:p>
        </w:tc>
        <w:tc>
          <w:tcPr>
            <w:tcW w:w="547" w:type="pct"/>
            <w:noWrap w:val="0"/>
            <w:tcMar>
              <w:top w:w="15" w:type="dxa"/>
              <w:left w:w="15" w:type="dxa"/>
              <w:right w:w="15" w:type="dxa"/>
            </w:tcMar>
            <w:vAlign w:val="center"/>
          </w:tcPr>
          <w:p w14:paraId="36544ADB">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5.95</w:t>
            </w:r>
          </w:p>
        </w:tc>
        <w:tc>
          <w:tcPr>
            <w:tcW w:w="667" w:type="pct"/>
            <w:noWrap w:val="0"/>
            <w:tcMar>
              <w:top w:w="15" w:type="dxa"/>
              <w:left w:w="15" w:type="dxa"/>
              <w:right w:w="15" w:type="dxa"/>
            </w:tcMar>
            <w:vAlign w:val="center"/>
          </w:tcPr>
          <w:p w14:paraId="7D45F41A">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0.201</w:t>
            </w:r>
          </w:p>
        </w:tc>
        <w:tc>
          <w:tcPr>
            <w:tcW w:w="705" w:type="pct"/>
            <w:noWrap w:val="0"/>
            <w:tcMar>
              <w:top w:w="15" w:type="dxa"/>
              <w:left w:w="15" w:type="dxa"/>
              <w:right w:w="15" w:type="dxa"/>
            </w:tcMar>
            <w:vAlign w:val="center"/>
          </w:tcPr>
          <w:p w14:paraId="3425AF72">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2.33×10</w:t>
            </w:r>
            <w:r>
              <w:rPr>
                <w:rFonts w:hint="default" w:ascii="Times New Roman" w:hAnsi="Times New Roman" w:eastAsia="宋体" w:cs="Times New Roman"/>
                <w:color w:val="000000"/>
                <w:vertAlign w:val="superscript"/>
              </w:rPr>
              <w:t>-4</w:t>
            </w:r>
          </w:p>
        </w:tc>
        <w:tc>
          <w:tcPr>
            <w:tcW w:w="829" w:type="pct"/>
            <w:vMerge w:val="continue"/>
            <w:noWrap w:val="0"/>
            <w:tcMar>
              <w:top w:w="15" w:type="dxa"/>
              <w:left w:w="15" w:type="dxa"/>
              <w:right w:w="15" w:type="dxa"/>
            </w:tcMar>
            <w:vAlign w:val="center"/>
          </w:tcPr>
          <w:p w14:paraId="0A8960A6">
            <w:pPr>
              <w:adjustRightInd w:val="0"/>
              <w:snapToGrid w:val="0"/>
              <w:spacing w:line="240" w:lineRule="exact"/>
              <w:jc w:val="center"/>
              <w:rPr>
                <w:rFonts w:hint="default" w:ascii="Times New Roman" w:hAnsi="Times New Roman" w:eastAsia="宋体" w:cs="Times New Roman"/>
                <w:color w:val="000000"/>
              </w:rPr>
            </w:pPr>
          </w:p>
        </w:tc>
      </w:tr>
      <w:tr w14:paraId="1C25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noWrap w:val="0"/>
            <w:tcMar>
              <w:top w:w="15" w:type="dxa"/>
              <w:left w:w="15" w:type="dxa"/>
              <w:right w:w="15" w:type="dxa"/>
            </w:tcMar>
            <w:vAlign w:val="center"/>
          </w:tcPr>
          <w:p w14:paraId="28C0649C">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SS3</w:t>
            </w:r>
          </w:p>
        </w:tc>
        <w:tc>
          <w:tcPr>
            <w:tcW w:w="590" w:type="pct"/>
            <w:noWrap w:val="0"/>
            <w:tcMar>
              <w:top w:w="15" w:type="dxa"/>
              <w:left w:w="15" w:type="dxa"/>
              <w:right w:w="15" w:type="dxa"/>
            </w:tcMar>
            <w:vAlign w:val="center"/>
          </w:tcPr>
          <w:p w14:paraId="481EDFE5">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粉质黏土</w:t>
            </w:r>
          </w:p>
        </w:tc>
        <w:tc>
          <w:tcPr>
            <w:tcW w:w="667" w:type="pct"/>
            <w:noWrap w:val="0"/>
            <w:tcMar>
              <w:top w:w="15" w:type="dxa"/>
              <w:left w:w="15" w:type="dxa"/>
              <w:right w:w="15" w:type="dxa"/>
            </w:tcMar>
            <w:vAlign w:val="center"/>
          </w:tcPr>
          <w:p w14:paraId="62DAF646">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490.625</w:t>
            </w:r>
          </w:p>
        </w:tc>
        <w:tc>
          <w:tcPr>
            <w:tcW w:w="638" w:type="pct"/>
            <w:noWrap w:val="0"/>
            <w:tcMar>
              <w:top w:w="15" w:type="dxa"/>
              <w:left w:w="15" w:type="dxa"/>
              <w:right w:w="15" w:type="dxa"/>
            </w:tcMar>
            <w:vAlign w:val="center"/>
          </w:tcPr>
          <w:p w14:paraId="5AE00567">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0.008</w:t>
            </w:r>
          </w:p>
        </w:tc>
        <w:tc>
          <w:tcPr>
            <w:tcW w:w="547" w:type="pct"/>
            <w:noWrap w:val="0"/>
            <w:tcMar>
              <w:top w:w="15" w:type="dxa"/>
              <w:left w:w="15" w:type="dxa"/>
              <w:right w:w="15" w:type="dxa"/>
            </w:tcMar>
            <w:vAlign w:val="center"/>
          </w:tcPr>
          <w:p w14:paraId="71CE36BB">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5.57</w:t>
            </w:r>
          </w:p>
        </w:tc>
        <w:tc>
          <w:tcPr>
            <w:tcW w:w="667" w:type="pct"/>
            <w:noWrap w:val="0"/>
            <w:tcMar>
              <w:top w:w="15" w:type="dxa"/>
              <w:left w:w="15" w:type="dxa"/>
              <w:right w:w="15" w:type="dxa"/>
            </w:tcMar>
            <w:vAlign w:val="center"/>
          </w:tcPr>
          <w:p w14:paraId="50EC17D4">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0.032</w:t>
            </w:r>
          </w:p>
        </w:tc>
        <w:tc>
          <w:tcPr>
            <w:tcW w:w="705" w:type="pct"/>
            <w:noWrap w:val="0"/>
            <w:tcMar>
              <w:top w:w="15" w:type="dxa"/>
              <w:left w:w="15" w:type="dxa"/>
              <w:right w:w="15" w:type="dxa"/>
            </w:tcMar>
            <w:vAlign w:val="center"/>
          </w:tcPr>
          <w:p w14:paraId="410326C0">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5.38×10</w:t>
            </w:r>
            <w:r>
              <w:rPr>
                <w:rFonts w:hint="default" w:ascii="Times New Roman" w:hAnsi="Times New Roman" w:eastAsia="宋体" w:cs="Times New Roman"/>
                <w:color w:val="000000"/>
                <w:vertAlign w:val="superscript"/>
              </w:rPr>
              <w:t>-5</w:t>
            </w:r>
          </w:p>
        </w:tc>
        <w:tc>
          <w:tcPr>
            <w:tcW w:w="829" w:type="pct"/>
            <w:vMerge w:val="restart"/>
            <w:noWrap w:val="0"/>
            <w:tcMar>
              <w:top w:w="15" w:type="dxa"/>
              <w:left w:w="15" w:type="dxa"/>
              <w:right w:w="15" w:type="dxa"/>
            </w:tcMar>
            <w:vAlign w:val="center"/>
          </w:tcPr>
          <w:p w14:paraId="32AD4118">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4.84×10</w:t>
            </w:r>
            <w:r>
              <w:rPr>
                <w:rFonts w:hint="default" w:ascii="Times New Roman" w:hAnsi="Times New Roman" w:eastAsia="宋体" w:cs="Times New Roman"/>
                <w:color w:val="000000"/>
                <w:vertAlign w:val="superscript"/>
              </w:rPr>
              <w:t>-5</w:t>
            </w:r>
          </w:p>
        </w:tc>
      </w:tr>
      <w:tr w14:paraId="222E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3" w:type="pct"/>
            <w:noWrap w:val="0"/>
            <w:tcMar>
              <w:top w:w="15" w:type="dxa"/>
              <w:left w:w="15" w:type="dxa"/>
              <w:right w:w="15" w:type="dxa"/>
            </w:tcMar>
            <w:vAlign w:val="center"/>
          </w:tcPr>
          <w:p w14:paraId="5A57E4FB">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SS4</w:t>
            </w:r>
          </w:p>
        </w:tc>
        <w:tc>
          <w:tcPr>
            <w:tcW w:w="590" w:type="pct"/>
            <w:noWrap w:val="0"/>
            <w:tcMar>
              <w:top w:w="15" w:type="dxa"/>
              <w:left w:w="15" w:type="dxa"/>
              <w:right w:w="15" w:type="dxa"/>
            </w:tcMar>
            <w:vAlign w:val="center"/>
          </w:tcPr>
          <w:p w14:paraId="30010BA9">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粉质黏土</w:t>
            </w:r>
          </w:p>
        </w:tc>
        <w:tc>
          <w:tcPr>
            <w:tcW w:w="667" w:type="pct"/>
            <w:noWrap w:val="0"/>
            <w:tcMar>
              <w:top w:w="15" w:type="dxa"/>
              <w:left w:w="15" w:type="dxa"/>
              <w:right w:w="15" w:type="dxa"/>
            </w:tcMar>
            <w:vAlign w:val="center"/>
          </w:tcPr>
          <w:p w14:paraId="43EBF289">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490.625</w:t>
            </w:r>
          </w:p>
        </w:tc>
        <w:tc>
          <w:tcPr>
            <w:tcW w:w="638" w:type="pct"/>
            <w:noWrap w:val="0"/>
            <w:tcMar>
              <w:top w:w="15" w:type="dxa"/>
              <w:left w:w="15" w:type="dxa"/>
              <w:right w:w="15" w:type="dxa"/>
            </w:tcMar>
            <w:vAlign w:val="center"/>
          </w:tcPr>
          <w:p w14:paraId="07D8E200">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0.005</w:t>
            </w:r>
          </w:p>
        </w:tc>
        <w:tc>
          <w:tcPr>
            <w:tcW w:w="547" w:type="pct"/>
            <w:noWrap w:val="0"/>
            <w:tcMar>
              <w:top w:w="15" w:type="dxa"/>
              <w:left w:w="15" w:type="dxa"/>
              <w:right w:w="15" w:type="dxa"/>
            </w:tcMar>
            <w:vAlign w:val="center"/>
          </w:tcPr>
          <w:p w14:paraId="7B677E7F">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6.86</w:t>
            </w:r>
          </w:p>
        </w:tc>
        <w:tc>
          <w:tcPr>
            <w:tcW w:w="667" w:type="pct"/>
            <w:noWrap w:val="0"/>
            <w:tcMar>
              <w:top w:w="15" w:type="dxa"/>
              <w:left w:w="15" w:type="dxa"/>
              <w:right w:w="15" w:type="dxa"/>
            </w:tcMar>
            <w:vAlign w:val="center"/>
          </w:tcPr>
          <w:p w14:paraId="6E01BF1F">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0.046</w:t>
            </w:r>
          </w:p>
        </w:tc>
        <w:tc>
          <w:tcPr>
            <w:tcW w:w="705" w:type="pct"/>
            <w:noWrap w:val="0"/>
            <w:tcMar>
              <w:top w:w="15" w:type="dxa"/>
              <w:left w:w="15" w:type="dxa"/>
              <w:right w:w="15" w:type="dxa"/>
            </w:tcMar>
            <w:vAlign w:val="center"/>
          </w:tcPr>
          <w:p w14:paraId="6E47261C">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4.29×10</w:t>
            </w:r>
            <w:r>
              <w:rPr>
                <w:rFonts w:hint="default" w:ascii="Times New Roman" w:hAnsi="Times New Roman" w:eastAsia="宋体" w:cs="Times New Roman"/>
                <w:color w:val="000000"/>
                <w:vertAlign w:val="superscript"/>
              </w:rPr>
              <w:t>-5</w:t>
            </w:r>
          </w:p>
        </w:tc>
        <w:tc>
          <w:tcPr>
            <w:tcW w:w="829" w:type="pct"/>
            <w:vMerge w:val="continue"/>
            <w:noWrap w:val="0"/>
            <w:tcMar>
              <w:top w:w="15" w:type="dxa"/>
              <w:left w:w="15" w:type="dxa"/>
              <w:right w:w="15" w:type="dxa"/>
            </w:tcMar>
            <w:vAlign w:val="center"/>
          </w:tcPr>
          <w:p w14:paraId="72009A44">
            <w:pPr>
              <w:textAlignment w:val="center"/>
              <w:rPr>
                <w:rFonts w:ascii="Times New Roman" w:hAnsi="Times New Roman" w:eastAsia="宋体" w:cs="Times New Roman"/>
                <w:color w:val="000000"/>
                <w:kern w:val="0"/>
                <w:sz w:val="22"/>
                <w:szCs w:val="18"/>
                <w:u w:val="single"/>
                <w:lang w:bidi="ar"/>
              </w:rPr>
            </w:pPr>
          </w:p>
        </w:tc>
      </w:tr>
    </w:tbl>
    <w:p w14:paraId="452C8E23">
      <w:pPr>
        <w:numPr>
          <w:ilvl w:val="0"/>
          <w:numId w:val="11"/>
        </w:num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（含水层）抽水试验</w:t>
      </w:r>
    </w:p>
    <w:p w14:paraId="7B8A8C12">
      <w:pPr>
        <w:pStyle w:val="4"/>
        <w:numPr>
          <w:ilvl w:val="3"/>
          <w:numId w:val="10"/>
        </w:numPr>
        <w:tabs>
          <w:tab w:val="left" w:pos="1358"/>
          <w:tab w:val="left" w:pos="2153"/>
          <w:tab w:val="left" w:pos="2183"/>
        </w:tabs>
        <w:ind w:left="1358"/>
        <w:rPr>
          <w:rFonts w:hint="default" w:ascii="Times New Roman" w:hAnsi="Times New Roman" w:eastAsia="宋体" w:cs="Times New Roman"/>
          <w:b/>
          <w:color w:val="000000"/>
          <w:u w:val="none"/>
          <w:lang w:val="en-US" w:eastAsia="zh-CN"/>
        </w:rPr>
      </w:pPr>
      <w:r>
        <w:rPr>
          <w:rFonts w:hint="default" w:ascii="Times New Roman" w:hAnsi="Times New Roman" w:eastAsia="宋体" w:cs="Times New Roman"/>
          <w:b/>
          <w:color w:val="000000"/>
          <w:u w:val="none"/>
          <w:lang w:val="en-US" w:eastAsia="zh-CN"/>
        </w:rPr>
        <w:t>抽水试验成果统计表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2"/>
        <w:gridCol w:w="971"/>
        <w:gridCol w:w="863"/>
        <w:gridCol w:w="863"/>
        <w:gridCol w:w="1048"/>
        <w:gridCol w:w="1034"/>
        <w:gridCol w:w="1110"/>
        <w:gridCol w:w="1069"/>
        <w:gridCol w:w="1302"/>
      </w:tblGrid>
      <w:tr w14:paraId="1A82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8" w:type="pct"/>
            <w:vMerge w:val="restart"/>
            <w:noWrap w:val="0"/>
            <w:tcMar>
              <w:top w:w="15" w:type="dxa"/>
              <w:left w:w="15" w:type="dxa"/>
              <w:right w:w="15" w:type="dxa"/>
            </w:tcMar>
            <w:vAlign w:val="center"/>
          </w:tcPr>
          <w:p w14:paraId="2BD4136A">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钻孔编号</w:t>
            </w:r>
          </w:p>
        </w:tc>
        <w:tc>
          <w:tcPr>
            <w:tcW w:w="551" w:type="pct"/>
            <w:vMerge w:val="restart"/>
            <w:noWrap w:val="0"/>
            <w:tcMar>
              <w:top w:w="15" w:type="dxa"/>
              <w:left w:w="15" w:type="dxa"/>
              <w:right w:w="15" w:type="dxa"/>
            </w:tcMar>
            <w:vAlign w:val="center"/>
          </w:tcPr>
          <w:p w14:paraId="6BB3801A">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岩土名称</w:t>
            </w:r>
          </w:p>
        </w:tc>
        <w:tc>
          <w:tcPr>
            <w:tcW w:w="490" w:type="pct"/>
            <w:vMerge w:val="restart"/>
            <w:noWrap w:val="0"/>
            <w:tcMar>
              <w:top w:w="15" w:type="dxa"/>
              <w:left w:w="15" w:type="dxa"/>
              <w:right w:w="15" w:type="dxa"/>
            </w:tcMar>
            <w:vAlign w:val="center"/>
          </w:tcPr>
          <w:p w14:paraId="4723B70B">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井口半径r（m）</w:t>
            </w:r>
          </w:p>
        </w:tc>
        <w:tc>
          <w:tcPr>
            <w:tcW w:w="490" w:type="pct"/>
            <w:vMerge w:val="restart"/>
            <w:noWrap w:val="0"/>
            <w:tcMar>
              <w:top w:w="15" w:type="dxa"/>
              <w:left w:w="15" w:type="dxa"/>
              <w:right w:w="15" w:type="dxa"/>
            </w:tcMar>
            <w:vAlign w:val="center"/>
          </w:tcPr>
          <w:p w14:paraId="121B68CC">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涌水量Q（m</w:t>
            </w:r>
            <w:r>
              <w:rPr>
                <w:rFonts w:hint="default" w:ascii="Times New Roman" w:hAnsi="Times New Roman" w:eastAsia="宋体" w:cs="Times New Roman"/>
                <w:color w:val="000000"/>
                <w:vertAlign w:val="superscript"/>
              </w:rPr>
              <w:t>3</w:t>
            </w:r>
            <w:r>
              <w:rPr>
                <w:rFonts w:hint="default" w:ascii="Times New Roman" w:hAnsi="Times New Roman" w:eastAsia="宋体" w:cs="Times New Roman"/>
                <w:color w:val="000000"/>
              </w:rPr>
              <w:t>/d）</w:t>
            </w:r>
          </w:p>
        </w:tc>
        <w:tc>
          <w:tcPr>
            <w:tcW w:w="595" w:type="pct"/>
            <w:vMerge w:val="restart"/>
            <w:noWrap w:val="0"/>
            <w:tcMar>
              <w:top w:w="15" w:type="dxa"/>
              <w:left w:w="15" w:type="dxa"/>
              <w:right w:w="15" w:type="dxa"/>
            </w:tcMar>
            <w:vAlign w:val="center"/>
          </w:tcPr>
          <w:p w14:paraId="30B7F142">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试验段深度</w:t>
            </w:r>
            <w:r>
              <w:rPr>
                <w:rFonts w:hint="eastAsia" w:cs="Times New Roman"/>
                <w:color w:val="000000"/>
                <w:lang w:eastAsia="zh-CN"/>
              </w:rPr>
              <w:t>（</w:t>
            </w:r>
            <w:r>
              <w:rPr>
                <w:rFonts w:hint="default" w:ascii="Times New Roman" w:hAnsi="Times New Roman" w:eastAsia="宋体" w:cs="Times New Roman"/>
                <w:color w:val="000000"/>
              </w:rPr>
              <w:t>m</w:t>
            </w:r>
            <w:r>
              <w:rPr>
                <w:rFonts w:hint="eastAsia" w:cs="Times New Roman"/>
                <w:color w:val="000000"/>
                <w:lang w:eastAsia="zh-CN"/>
              </w:rPr>
              <w:t>）</w:t>
            </w:r>
          </w:p>
        </w:tc>
        <w:tc>
          <w:tcPr>
            <w:tcW w:w="587" w:type="pct"/>
            <w:vMerge w:val="restart"/>
            <w:noWrap w:val="0"/>
            <w:tcMar>
              <w:top w:w="15" w:type="dxa"/>
              <w:left w:w="15" w:type="dxa"/>
              <w:right w:w="15" w:type="dxa"/>
            </w:tcMar>
            <w:vAlign w:val="center"/>
          </w:tcPr>
          <w:p w14:paraId="2CB49FDB">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水位降升（m）</w:t>
            </w:r>
          </w:p>
        </w:tc>
        <w:tc>
          <w:tcPr>
            <w:tcW w:w="1976" w:type="pct"/>
            <w:gridSpan w:val="3"/>
            <w:noWrap w:val="0"/>
            <w:tcMar>
              <w:top w:w="15" w:type="dxa"/>
              <w:left w:w="15" w:type="dxa"/>
              <w:right w:w="15" w:type="dxa"/>
            </w:tcMar>
            <w:vAlign w:val="center"/>
          </w:tcPr>
          <w:p w14:paraId="5726226C">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渗透系数K</w:t>
            </w:r>
          </w:p>
        </w:tc>
      </w:tr>
      <w:tr w14:paraId="0EB8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8" w:type="pct"/>
            <w:vMerge w:val="continue"/>
            <w:noWrap w:val="0"/>
            <w:tcMar>
              <w:top w:w="15" w:type="dxa"/>
              <w:left w:w="15" w:type="dxa"/>
              <w:right w:w="15" w:type="dxa"/>
            </w:tcMar>
            <w:vAlign w:val="center"/>
          </w:tcPr>
          <w:p w14:paraId="084BAB9E">
            <w:pPr>
              <w:adjustRightInd w:val="0"/>
              <w:snapToGrid w:val="0"/>
              <w:spacing w:line="240" w:lineRule="exact"/>
              <w:jc w:val="center"/>
              <w:rPr>
                <w:rFonts w:hint="default" w:ascii="Times New Roman" w:hAnsi="Times New Roman" w:eastAsia="宋体" w:cs="Times New Roman"/>
                <w:color w:val="000000"/>
              </w:rPr>
            </w:pPr>
          </w:p>
        </w:tc>
        <w:tc>
          <w:tcPr>
            <w:tcW w:w="551" w:type="pct"/>
            <w:vMerge w:val="continue"/>
            <w:noWrap w:val="0"/>
            <w:tcMar>
              <w:top w:w="15" w:type="dxa"/>
              <w:left w:w="15" w:type="dxa"/>
              <w:right w:w="15" w:type="dxa"/>
            </w:tcMar>
            <w:vAlign w:val="center"/>
          </w:tcPr>
          <w:p w14:paraId="191F6B46">
            <w:pPr>
              <w:adjustRightInd w:val="0"/>
              <w:snapToGrid w:val="0"/>
              <w:spacing w:line="240" w:lineRule="exact"/>
              <w:jc w:val="center"/>
              <w:rPr>
                <w:rFonts w:hint="default" w:ascii="Times New Roman" w:hAnsi="Times New Roman" w:eastAsia="宋体" w:cs="Times New Roman"/>
                <w:color w:val="000000"/>
              </w:rPr>
            </w:pPr>
          </w:p>
        </w:tc>
        <w:tc>
          <w:tcPr>
            <w:tcW w:w="490" w:type="pct"/>
            <w:vMerge w:val="continue"/>
            <w:noWrap w:val="0"/>
            <w:tcMar>
              <w:top w:w="15" w:type="dxa"/>
              <w:left w:w="15" w:type="dxa"/>
              <w:right w:w="15" w:type="dxa"/>
            </w:tcMar>
            <w:vAlign w:val="center"/>
          </w:tcPr>
          <w:p w14:paraId="567E19A6">
            <w:pPr>
              <w:adjustRightInd w:val="0"/>
              <w:snapToGrid w:val="0"/>
              <w:spacing w:line="240" w:lineRule="exact"/>
              <w:jc w:val="center"/>
              <w:rPr>
                <w:rFonts w:hint="default" w:ascii="Times New Roman" w:hAnsi="Times New Roman" w:eastAsia="宋体" w:cs="Times New Roman"/>
                <w:color w:val="000000"/>
              </w:rPr>
            </w:pPr>
          </w:p>
        </w:tc>
        <w:tc>
          <w:tcPr>
            <w:tcW w:w="490" w:type="pct"/>
            <w:vMerge w:val="continue"/>
            <w:noWrap w:val="0"/>
            <w:tcMar>
              <w:top w:w="15" w:type="dxa"/>
              <w:left w:w="15" w:type="dxa"/>
              <w:right w:w="15" w:type="dxa"/>
            </w:tcMar>
            <w:vAlign w:val="center"/>
          </w:tcPr>
          <w:p w14:paraId="7D9A2740">
            <w:pPr>
              <w:adjustRightInd w:val="0"/>
              <w:snapToGrid w:val="0"/>
              <w:spacing w:line="240" w:lineRule="exact"/>
              <w:jc w:val="center"/>
              <w:rPr>
                <w:rFonts w:hint="default" w:ascii="Times New Roman" w:hAnsi="Times New Roman" w:eastAsia="宋体" w:cs="Times New Roman"/>
                <w:color w:val="000000"/>
              </w:rPr>
            </w:pPr>
          </w:p>
        </w:tc>
        <w:tc>
          <w:tcPr>
            <w:tcW w:w="595" w:type="pct"/>
            <w:vMerge w:val="continue"/>
            <w:noWrap w:val="0"/>
            <w:tcMar>
              <w:top w:w="15" w:type="dxa"/>
              <w:left w:w="15" w:type="dxa"/>
              <w:right w:w="15" w:type="dxa"/>
            </w:tcMar>
            <w:vAlign w:val="center"/>
          </w:tcPr>
          <w:p w14:paraId="26E5CC5B">
            <w:pPr>
              <w:adjustRightInd w:val="0"/>
              <w:snapToGrid w:val="0"/>
              <w:spacing w:line="240" w:lineRule="exact"/>
              <w:jc w:val="center"/>
              <w:rPr>
                <w:rFonts w:hint="default" w:ascii="Times New Roman" w:hAnsi="Times New Roman" w:eastAsia="宋体" w:cs="Times New Roman"/>
                <w:color w:val="000000"/>
              </w:rPr>
            </w:pPr>
          </w:p>
        </w:tc>
        <w:tc>
          <w:tcPr>
            <w:tcW w:w="587" w:type="pct"/>
            <w:vMerge w:val="continue"/>
            <w:noWrap w:val="0"/>
            <w:tcMar>
              <w:top w:w="15" w:type="dxa"/>
              <w:left w:w="15" w:type="dxa"/>
              <w:right w:w="15" w:type="dxa"/>
            </w:tcMar>
            <w:vAlign w:val="center"/>
          </w:tcPr>
          <w:p w14:paraId="27D2CE60">
            <w:pPr>
              <w:adjustRightInd w:val="0"/>
              <w:snapToGrid w:val="0"/>
              <w:spacing w:line="240" w:lineRule="exact"/>
              <w:jc w:val="center"/>
              <w:rPr>
                <w:rFonts w:hint="default" w:ascii="Times New Roman" w:hAnsi="Times New Roman" w:eastAsia="宋体" w:cs="Times New Roman"/>
                <w:color w:val="000000"/>
              </w:rPr>
            </w:pPr>
          </w:p>
        </w:tc>
        <w:tc>
          <w:tcPr>
            <w:tcW w:w="630" w:type="pct"/>
            <w:noWrap w:val="0"/>
            <w:tcMar>
              <w:top w:w="15" w:type="dxa"/>
              <w:left w:w="15" w:type="dxa"/>
              <w:right w:w="15" w:type="dxa"/>
            </w:tcMar>
            <w:vAlign w:val="center"/>
          </w:tcPr>
          <w:p w14:paraId="239670D7">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(m/d)</w:t>
            </w:r>
          </w:p>
        </w:tc>
        <w:tc>
          <w:tcPr>
            <w:tcW w:w="607" w:type="pct"/>
            <w:noWrap w:val="0"/>
            <w:tcMar>
              <w:top w:w="15" w:type="dxa"/>
              <w:left w:w="15" w:type="dxa"/>
              <w:right w:w="15" w:type="dxa"/>
            </w:tcMar>
            <w:vAlign w:val="center"/>
          </w:tcPr>
          <w:p w14:paraId="6FA7D2E6">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(cm/s)</w:t>
            </w:r>
          </w:p>
        </w:tc>
        <w:tc>
          <w:tcPr>
            <w:tcW w:w="738" w:type="pct"/>
            <w:noWrap w:val="0"/>
            <w:tcMar>
              <w:top w:w="15" w:type="dxa"/>
              <w:left w:w="15" w:type="dxa"/>
              <w:right w:w="15" w:type="dxa"/>
            </w:tcMar>
            <w:vAlign w:val="center"/>
          </w:tcPr>
          <w:p w14:paraId="7AAFF928">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平均值</w:t>
            </w:r>
            <w:r>
              <w:rPr>
                <w:rFonts w:hint="eastAsia" w:cs="Times New Roman"/>
                <w:color w:val="000000"/>
                <w:lang w:eastAsia="zh-CN"/>
              </w:rPr>
              <w:t>（</w:t>
            </w:r>
            <w:r>
              <w:rPr>
                <w:rFonts w:hint="default" w:ascii="Times New Roman" w:hAnsi="Times New Roman" w:eastAsia="宋体" w:cs="Times New Roman"/>
                <w:color w:val="000000"/>
              </w:rPr>
              <w:t>cm/s</w:t>
            </w:r>
            <w:r>
              <w:rPr>
                <w:rFonts w:hint="eastAsia" w:cs="Times New Roman"/>
                <w:color w:val="000000"/>
                <w:lang w:eastAsia="zh-CN"/>
              </w:rPr>
              <w:t>）</w:t>
            </w:r>
          </w:p>
        </w:tc>
      </w:tr>
      <w:tr w14:paraId="566D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308" w:type="pct"/>
            <w:noWrap w:val="0"/>
            <w:tcMar>
              <w:top w:w="15" w:type="dxa"/>
              <w:left w:w="15" w:type="dxa"/>
              <w:right w:w="15" w:type="dxa"/>
            </w:tcMar>
            <w:vAlign w:val="center"/>
          </w:tcPr>
          <w:p w14:paraId="2FD22595">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SK3</w:t>
            </w:r>
          </w:p>
        </w:tc>
        <w:tc>
          <w:tcPr>
            <w:tcW w:w="551" w:type="pct"/>
            <w:noWrap w:val="0"/>
            <w:tcMar>
              <w:top w:w="15" w:type="dxa"/>
              <w:left w:w="15" w:type="dxa"/>
              <w:right w:w="15" w:type="dxa"/>
            </w:tcMar>
            <w:vAlign w:val="center"/>
          </w:tcPr>
          <w:p w14:paraId="5CA369B8">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泥质粉砂岩</w:t>
            </w:r>
          </w:p>
        </w:tc>
        <w:tc>
          <w:tcPr>
            <w:tcW w:w="490" w:type="pct"/>
            <w:noWrap w:val="0"/>
            <w:tcMar>
              <w:top w:w="15" w:type="dxa"/>
              <w:left w:w="15" w:type="dxa"/>
              <w:right w:w="15" w:type="dxa"/>
            </w:tcMar>
            <w:vAlign w:val="center"/>
          </w:tcPr>
          <w:p w14:paraId="1EDF36F9">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0.08</w:t>
            </w:r>
          </w:p>
        </w:tc>
        <w:tc>
          <w:tcPr>
            <w:tcW w:w="490" w:type="pct"/>
            <w:noWrap w:val="0"/>
            <w:tcMar>
              <w:top w:w="15" w:type="dxa"/>
              <w:left w:w="15" w:type="dxa"/>
              <w:right w:w="15" w:type="dxa"/>
            </w:tcMar>
            <w:vAlign w:val="center"/>
          </w:tcPr>
          <w:p w14:paraId="7F1CF5AD">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38.41</w:t>
            </w:r>
          </w:p>
        </w:tc>
        <w:tc>
          <w:tcPr>
            <w:tcW w:w="595" w:type="pct"/>
            <w:noWrap w:val="0"/>
            <w:tcMar>
              <w:top w:w="15" w:type="dxa"/>
              <w:left w:w="15" w:type="dxa"/>
              <w:right w:w="15" w:type="dxa"/>
            </w:tcMar>
            <w:vAlign w:val="center"/>
          </w:tcPr>
          <w:p w14:paraId="581B1880">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5.00</w:t>
            </w:r>
            <w:r>
              <w:rPr>
                <w:rFonts w:hint="eastAsia" w:cs="Times New Roman"/>
                <w:color w:val="000000"/>
                <w:lang w:eastAsia="zh-CN"/>
              </w:rPr>
              <w:t>~</w:t>
            </w:r>
            <w:r>
              <w:rPr>
                <w:rFonts w:hint="default" w:ascii="Times New Roman" w:hAnsi="Times New Roman" w:eastAsia="宋体" w:cs="Times New Roman"/>
                <w:color w:val="000000"/>
              </w:rPr>
              <w:t>25.00</w:t>
            </w:r>
          </w:p>
        </w:tc>
        <w:tc>
          <w:tcPr>
            <w:tcW w:w="587" w:type="pct"/>
            <w:noWrap w:val="0"/>
            <w:tcMar>
              <w:top w:w="15" w:type="dxa"/>
              <w:left w:w="15" w:type="dxa"/>
              <w:right w:w="15" w:type="dxa"/>
            </w:tcMar>
            <w:vAlign w:val="center"/>
          </w:tcPr>
          <w:p w14:paraId="47625C44">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19.14</w:t>
            </w:r>
          </w:p>
        </w:tc>
        <w:tc>
          <w:tcPr>
            <w:tcW w:w="630" w:type="pct"/>
            <w:noWrap w:val="0"/>
            <w:tcMar>
              <w:top w:w="15" w:type="dxa"/>
              <w:left w:w="15" w:type="dxa"/>
              <w:right w:w="15" w:type="dxa"/>
            </w:tcMar>
            <w:vAlign w:val="center"/>
          </w:tcPr>
          <w:p w14:paraId="09FCB529">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0.073</w:t>
            </w:r>
          </w:p>
        </w:tc>
        <w:tc>
          <w:tcPr>
            <w:tcW w:w="607" w:type="pct"/>
            <w:noWrap w:val="0"/>
            <w:tcMar>
              <w:top w:w="15" w:type="dxa"/>
              <w:left w:w="15" w:type="dxa"/>
              <w:right w:w="15" w:type="dxa"/>
            </w:tcMar>
            <w:vAlign w:val="center"/>
          </w:tcPr>
          <w:p w14:paraId="00BE0B38">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8.48×10</w:t>
            </w:r>
            <w:r>
              <w:rPr>
                <w:rFonts w:hint="default" w:ascii="Times New Roman" w:hAnsi="Times New Roman" w:eastAsia="宋体" w:cs="Times New Roman"/>
                <w:color w:val="000000"/>
                <w:vertAlign w:val="superscript"/>
              </w:rPr>
              <w:t>-5</w:t>
            </w:r>
          </w:p>
        </w:tc>
        <w:tc>
          <w:tcPr>
            <w:tcW w:w="738" w:type="pct"/>
            <w:vMerge w:val="restart"/>
            <w:noWrap w:val="0"/>
            <w:tcMar>
              <w:top w:w="15" w:type="dxa"/>
              <w:left w:w="15" w:type="dxa"/>
              <w:right w:w="15" w:type="dxa"/>
            </w:tcMar>
            <w:vAlign w:val="center"/>
          </w:tcPr>
          <w:p w14:paraId="67C85999">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7.98×10</w:t>
            </w:r>
            <w:r>
              <w:rPr>
                <w:rFonts w:hint="default" w:ascii="Times New Roman" w:hAnsi="Times New Roman" w:eastAsia="宋体" w:cs="Times New Roman"/>
                <w:color w:val="000000"/>
                <w:vertAlign w:val="superscript"/>
              </w:rPr>
              <w:t>-5</w:t>
            </w:r>
          </w:p>
        </w:tc>
      </w:tr>
      <w:tr w14:paraId="5302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8" w:type="pct"/>
            <w:noWrap w:val="0"/>
            <w:tcMar>
              <w:top w:w="15" w:type="dxa"/>
              <w:left w:w="15" w:type="dxa"/>
              <w:right w:w="15" w:type="dxa"/>
            </w:tcMar>
            <w:vAlign w:val="center"/>
          </w:tcPr>
          <w:p w14:paraId="728EF482">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SK5</w:t>
            </w:r>
          </w:p>
        </w:tc>
        <w:tc>
          <w:tcPr>
            <w:tcW w:w="551" w:type="pct"/>
            <w:noWrap w:val="0"/>
            <w:tcMar>
              <w:top w:w="15" w:type="dxa"/>
              <w:left w:w="15" w:type="dxa"/>
              <w:right w:w="15" w:type="dxa"/>
            </w:tcMar>
            <w:vAlign w:val="center"/>
          </w:tcPr>
          <w:p w14:paraId="0C7E9B2C">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泥质粉砂岩</w:t>
            </w:r>
          </w:p>
        </w:tc>
        <w:tc>
          <w:tcPr>
            <w:tcW w:w="490" w:type="pct"/>
            <w:noWrap w:val="0"/>
            <w:tcMar>
              <w:top w:w="15" w:type="dxa"/>
              <w:left w:w="15" w:type="dxa"/>
              <w:right w:w="15" w:type="dxa"/>
            </w:tcMar>
            <w:vAlign w:val="center"/>
          </w:tcPr>
          <w:p w14:paraId="37898B0A">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0.055</w:t>
            </w:r>
          </w:p>
        </w:tc>
        <w:tc>
          <w:tcPr>
            <w:tcW w:w="490" w:type="pct"/>
            <w:noWrap w:val="0"/>
            <w:tcMar>
              <w:top w:w="15" w:type="dxa"/>
              <w:left w:w="15" w:type="dxa"/>
              <w:right w:w="15" w:type="dxa"/>
            </w:tcMar>
            <w:vAlign w:val="center"/>
          </w:tcPr>
          <w:p w14:paraId="3F47F30E">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20.17</w:t>
            </w:r>
          </w:p>
        </w:tc>
        <w:tc>
          <w:tcPr>
            <w:tcW w:w="595" w:type="pct"/>
            <w:noWrap w:val="0"/>
            <w:tcMar>
              <w:top w:w="15" w:type="dxa"/>
              <w:left w:w="15" w:type="dxa"/>
              <w:right w:w="15" w:type="dxa"/>
            </w:tcMar>
            <w:vAlign w:val="center"/>
          </w:tcPr>
          <w:p w14:paraId="28F83589">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2.00</w:t>
            </w:r>
            <w:r>
              <w:rPr>
                <w:rFonts w:hint="eastAsia" w:cs="Times New Roman"/>
                <w:color w:val="000000"/>
                <w:lang w:eastAsia="zh-CN"/>
              </w:rPr>
              <w:t>~</w:t>
            </w:r>
            <w:r>
              <w:rPr>
                <w:rFonts w:hint="default" w:ascii="Times New Roman" w:hAnsi="Times New Roman" w:eastAsia="宋体" w:cs="Times New Roman"/>
                <w:color w:val="000000"/>
              </w:rPr>
              <w:t>20.00</w:t>
            </w:r>
          </w:p>
        </w:tc>
        <w:tc>
          <w:tcPr>
            <w:tcW w:w="587" w:type="pct"/>
            <w:noWrap w:val="0"/>
            <w:tcMar>
              <w:top w:w="15" w:type="dxa"/>
              <w:left w:w="15" w:type="dxa"/>
              <w:right w:w="15" w:type="dxa"/>
            </w:tcMar>
            <w:vAlign w:val="center"/>
          </w:tcPr>
          <w:p w14:paraId="5AC1A6ED">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15.93</w:t>
            </w:r>
          </w:p>
        </w:tc>
        <w:tc>
          <w:tcPr>
            <w:tcW w:w="630" w:type="pct"/>
            <w:noWrap w:val="0"/>
            <w:tcMar>
              <w:top w:w="15" w:type="dxa"/>
              <w:left w:w="15" w:type="dxa"/>
              <w:right w:w="15" w:type="dxa"/>
            </w:tcMar>
            <w:vAlign w:val="center"/>
          </w:tcPr>
          <w:p w14:paraId="14EAE604">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0.065</w:t>
            </w:r>
          </w:p>
        </w:tc>
        <w:tc>
          <w:tcPr>
            <w:tcW w:w="607" w:type="pct"/>
            <w:noWrap w:val="0"/>
            <w:tcMar>
              <w:top w:w="15" w:type="dxa"/>
              <w:left w:w="15" w:type="dxa"/>
              <w:right w:w="15" w:type="dxa"/>
            </w:tcMar>
            <w:vAlign w:val="center"/>
          </w:tcPr>
          <w:p w14:paraId="4A527A66">
            <w:pPr>
              <w:adjustRightInd w:val="0"/>
              <w:snapToGrid w:val="0"/>
              <w:spacing w:line="240" w:lineRule="exact"/>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7.48×10</w:t>
            </w:r>
            <w:r>
              <w:rPr>
                <w:rFonts w:hint="default" w:ascii="Times New Roman" w:hAnsi="Times New Roman" w:eastAsia="宋体" w:cs="Times New Roman"/>
                <w:color w:val="000000"/>
                <w:vertAlign w:val="superscript"/>
              </w:rPr>
              <w:t>-5</w:t>
            </w:r>
          </w:p>
        </w:tc>
        <w:tc>
          <w:tcPr>
            <w:tcW w:w="738" w:type="pct"/>
            <w:vMerge w:val="continue"/>
            <w:noWrap w:val="0"/>
            <w:tcMar>
              <w:top w:w="15" w:type="dxa"/>
              <w:left w:w="15" w:type="dxa"/>
              <w:right w:w="15" w:type="dxa"/>
            </w:tcMar>
            <w:vAlign w:val="center"/>
          </w:tcPr>
          <w:p w14:paraId="3BA8EBEA">
            <w:pPr>
              <w:jc w:val="center"/>
              <w:textAlignment w:val="center"/>
              <w:rPr>
                <w:rFonts w:ascii="Times New Roman" w:hAnsi="Times New Roman" w:eastAsia="楷体" w:cs="Times New Roman"/>
                <w:color w:val="000000"/>
                <w:kern w:val="0"/>
                <w:sz w:val="22"/>
                <w:szCs w:val="22"/>
                <w:u w:val="single"/>
                <w:lang w:bidi="ar"/>
              </w:rPr>
            </w:pPr>
          </w:p>
        </w:tc>
      </w:tr>
    </w:tbl>
    <w:p w14:paraId="1C9FEF3C">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根据区域弥散试验、结合注水、抽水等试验结果综合确定渗透系数、纵向与横向弥散系数等参数建议值。</w:t>
      </w:r>
    </w:p>
    <w:p w14:paraId="5597855E">
      <w:pPr>
        <w:pStyle w:val="4"/>
        <w:numPr>
          <w:ilvl w:val="3"/>
          <w:numId w:val="10"/>
        </w:numPr>
        <w:tabs>
          <w:tab w:val="left" w:pos="1358"/>
          <w:tab w:val="left" w:pos="2153"/>
          <w:tab w:val="left" w:pos="2183"/>
        </w:tabs>
        <w:ind w:left="1358"/>
        <w:rPr>
          <w:rFonts w:hint="default" w:ascii="Times New Roman" w:hAnsi="Times New Roman" w:eastAsia="宋体" w:cs="Times New Roman"/>
          <w:b/>
          <w:color w:val="000000"/>
          <w:u w:val="none"/>
          <w:lang w:val="en-US" w:eastAsia="zh-CN"/>
        </w:rPr>
      </w:pPr>
      <w:r>
        <w:rPr>
          <w:rFonts w:hint="default" w:ascii="Times New Roman" w:hAnsi="Times New Roman" w:eastAsia="宋体" w:cs="Times New Roman"/>
          <w:b/>
          <w:color w:val="000000"/>
          <w:u w:val="none"/>
          <w:lang w:val="en-US" w:eastAsia="zh-CN"/>
        </w:rPr>
        <w:t xml:space="preserve">各岩土层水文地质评价参数表 </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1142"/>
        <w:gridCol w:w="1124"/>
        <w:gridCol w:w="930"/>
        <w:gridCol w:w="1149"/>
        <w:gridCol w:w="1100"/>
        <w:gridCol w:w="940"/>
        <w:gridCol w:w="823"/>
      </w:tblGrid>
      <w:tr w14:paraId="6376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89" w:type="pct"/>
            <w:vMerge w:val="restart"/>
            <w:tcBorders>
              <w:top w:val="single" w:color="auto" w:sz="4" w:space="0"/>
            </w:tcBorders>
            <w:noWrap w:val="0"/>
            <w:vAlign w:val="center"/>
          </w:tcPr>
          <w:p w14:paraId="7CE208E6">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岩土层</w:t>
            </w:r>
          </w:p>
        </w:tc>
        <w:tc>
          <w:tcPr>
            <w:tcW w:w="635" w:type="pct"/>
            <w:tcBorders>
              <w:top w:val="single" w:color="auto" w:sz="4" w:space="0"/>
            </w:tcBorders>
            <w:noWrap w:val="0"/>
            <w:vAlign w:val="center"/>
          </w:tcPr>
          <w:p w14:paraId="76AB5F38">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水平渗透系数K</w:t>
            </w:r>
          </w:p>
        </w:tc>
        <w:tc>
          <w:tcPr>
            <w:tcW w:w="625" w:type="pct"/>
            <w:tcBorders>
              <w:top w:val="single" w:color="auto" w:sz="4" w:space="0"/>
            </w:tcBorders>
            <w:noWrap w:val="0"/>
            <w:vAlign w:val="center"/>
          </w:tcPr>
          <w:p w14:paraId="64160ED8">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流速V</w:t>
            </w:r>
          </w:p>
        </w:tc>
        <w:tc>
          <w:tcPr>
            <w:tcW w:w="517" w:type="pct"/>
            <w:tcBorders>
              <w:top w:val="single" w:color="auto" w:sz="4" w:space="0"/>
            </w:tcBorders>
            <w:noWrap w:val="0"/>
            <w:vAlign w:val="center"/>
          </w:tcPr>
          <w:p w14:paraId="25E1EBE7">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入渗系数a</w:t>
            </w:r>
          </w:p>
        </w:tc>
        <w:tc>
          <w:tcPr>
            <w:tcW w:w="639" w:type="pct"/>
            <w:tcBorders>
              <w:top w:val="single" w:color="auto" w:sz="4" w:space="0"/>
            </w:tcBorders>
            <w:noWrap w:val="0"/>
            <w:vAlign w:val="center"/>
          </w:tcPr>
          <w:p w14:paraId="719F0C13">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纵向弥散系数DL</w:t>
            </w:r>
          </w:p>
        </w:tc>
        <w:tc>
          <w:tcPr>
            <w:tcW w:w="612" w:type="pct"/>
            <w:tcBorders>
              <w:top w:val="single" w:color="auto" w:sz="4" w:space="0"/>
            </w:tcBorders>
            <w:noWrap w:val="0"/>
            <w:vAlign w:val="center"/>
          </w:tcPr>
          <w:p w14:paraId="7FF8C4E5">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横向弥散系数DT</w:t>
            </w:r>
          </w:p>
        </w:tc>
        <w:tc>
          <w:tcPr>
            <w:tcW w:w="523" w:type="pct"/>
            <w:tcBorders>
              <w:top w:val="single" w:color="auto" w:sz="4" w:space="0"/>
            </w:tcBorders>
            <w:noWrap w:val="0"/>
            <w:vAlign w:val="center"/>
          </w:tcPr>
          <w:p w14:paraId="7A348EDC">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平均水力坡度I</w:t>
            </w:r>
          </w:p>
        </w:tc>
        <w:tc>
          <w:tcPr>
            <w:tcW w:w="457" w:type="pct"/>
            <w:tcBorders>
              <w:top w:val="single" w:color="auto" w:sz="4" w:space="0"/>
            </w:tcBorders>
            <w:noWrap w:val="0"/>
            <w:vAlign w:val="center"/>
          </w:tcPr>
          <w:p w14:paraId="697E78F6">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孔隙率</w:t>
            </w:r>
          </w:p>
        </w:tc>
      </w:tr>
      <w:tr w14:paraId="038E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89" w:type="pct"/>
            <w:vMerge w:val="continue"/>
            <w:noWrap w:val="0"/>
            <w:vAlign w:val="center"/>
          </w:tcPr>
          <w:p w14:paraId="0DC7BFA1">
            <w:pPr>
              <w:spacing w:line="240" w:lineRule="exact"/>
              <w:jc w:val="center"/>
              <w:rPr>
                <w:rFonts w:hint="eastAsia" w:ascii="Times New Roman" w:hAnsi="Times New Roman" w:eastAsia="宋体" w:cs="Times New Roman"/>
                <w:color w:val="000000"/>
                <w:sz w:val="21"/>
                <w:szCs w:val="21"/>
                <w:u w:val="none"/>
                <w:lang w:val="en-US" w:eastAsia="zh-CN"/>
              </w:rPr>
            </w:pPr>
          </w:p>
        </w:tc>
        <w:tc>
          <w:tcPr>
            <w:tcW w:w="635" w:type="pct"/>
            <w:noWrap w:val="0"/>
            <w:vAlign w:val="center"/>
          </w:tcPr>
          <w:p w14:paraId="258F3D2A">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m/d</w:t>
            </w:r>
          </w:p>
        </w:tc>
        <w:tc>
          <w:tcPr>
            <w:tcW w:w="625" w:type="pct"/>
            <w:noWrap w:val="0"/>
            <w:vAlign w:val="center"/>
          </w:tcPr>
          <w:p w14:paraId="680664A1">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m/d</w:t>
            </w:r>
          </w:p>
        </w:tc>
        <w:tc>
          <w:tcPr>
            <w:tcW w:w="517" w:type="pct"/>
            <w:noWrap w:val="0"/>
            <w:vAlign w:val="center"/>
          </w:tcPr>
          <w:p w14:paraId="48A58ED3">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w:t>
            </w:r>
          </w:p>
        </w:tc>
        <w:tc>
          <w:tcPr>
            <w:tcW w:w="639" w:type="pct"/>
            <w:noWrap w:val="0"/>
            <w:vAlign w:val="center"/>
          </w:tcPr>
          <w:p w14:paraId="2824077D">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m</w:t>
            </w:r>
            <w:r>
              <w:rPr>
                <w:rFonts w:hint="eastAsia" w:ascii="Times New Roman" w:hAnsi="Times New Roman" w:eastAsia="宋体" w:cs="Times New Roman"/>
                <w:color w:val="000000"/>
                <w:sz w:val="21"/>
                <w:szCs w:val="21"/>
                <w:u w:val="none"/>
                <w:vertAlign w:val="superscript"/>
                <w:lang w:val="en-US" w:eastAsia="zh-CN"/>
              </w:rPr>
              <w:t>2</w:t>
            </w:r>
            <w:r>
              <w:rPr>
                <w:rFonts w:hint="eastAsia" w:ascii="Times New Roman" w:hAnsi="Times New Roman" w:eastAsia="宋体" w:cs="Times New Roman"/>
                <w:color w:val="000000"/>
                <w:sz w:val="21"/>
                <w:szCs w:val="21"/>
                <w:u w:val="none"/>
                <w:lang w:val="en-US" w:eastAsia="zh-CN"/>
              </w:rPr>
              <w:t>/d</w:t>
            </w:r>
          </w:p>
        </w:tc>
        <w:tc>
          <w:tcPr>
            <w:tcW w:w="612" w:type="pct"/>
            <w:noWrap w:val="0"/>
            <w:vAlign w:val="center"/>
          </w:tcPr>
          <w:p w14:paraId="4AC518A6">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m</w:t>
            </w:r>
            <w:r>
              <w:rPr>
                <w:rFonts w:hint="eastAsia" w:ascii="Times New Roman" w:hAnsi="Times New Roman" w:eastAsia="宋体" w:cs="Times New Roman"/>
                <w:color w:val="000000"/>
                <w:sz w:val="21"/>
                <w:szCs w:val="21"/>
                <w:u w:val="none"/>
                <w:vertAlign w:val="superscript"/>
                <w:lang w:val="en-US" w:eastAsia="zh-CN"/>
              </w:rPr>
              <w:t>2</w:t>
            </w:r>
            <w:r>
              <w:rPr>
                <w:rFonts w:hint="eastAsia" w:ascii="Times New Roman" w:hAnsi="Times New Roman" w:eastAsia="宋体" w:cs="Times New Roman"/>
                <w:color w:val="000000"/>
                <w:sz w:val="21"/>
                <w:szCs w:val="21"/>
                <w:u w:val="none"/>
                <w:lang w:val="en-US" w:eastAsia="zh-CN"/>
              </w:rPr>
              <w:t>/d</w:t>
            </w:r>
          </w:p>
        </w:tc>
        <w:tc>
          <w:tcPr>
            <w:tcW w:w="523" w:type="pct"/>
            <w:noWrap w:val="0"/>
            <w:vAlign w:val="center"/>
          </w:tcPr>
          <w:p w14:paraId="2A308AA9">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w:t>
            </w:r>
          </w:p>
        </w:tc>
        <w:tc>
          <w:tcPr>
            <w:tcW w:w="457" w:type="pct"/>
            <w:noWrap w:val="0"/>
            <w:vAlign w:val="center"/>
          </w:tcPr>
          <w:p w14:paraId="19C45D8E">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w:t>
            </w:r>
          </w:p>
        </w:tc>
      </w:tr>
      <w:tr w14:paraId="4D20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989" w:type="pct"/>
            <w:noWrap w:val="0"/>
            <w:vAlign w:val="center"/>
          </w:tcPr>
          <w:p w14:paraId="73FE45C9">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泥质粉砂岩（含水层）</w:t>
            </w:r>
          </w:p>
        </w:tc>
        <w:tc>
          <w:tcPr>
            <w:tcW w:w="635" w:type="pct"/>
            <w:noWrap w:val="0"/>
            <w:vAlign w:val="center"/>
          </w:tcPr>
          <w:p w14:paraId="0A753331">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0.073</w:t>
            </w:r>
          </w:p>
        </w:tc>
        <w:tc>
          <w:tcPr>
            <w:tcW w:w="625" w:type="pct"/>
            <w:noWrap w:val="0"/>
            <w:vAlign w:val="center"/>
          </w:tcPr>
          <w:p w14:paraId="518957C6">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0.0029</w:t>
            </w:r>
          </w:p>
        </w:tc>
        <w:tc>
          <w:tcPr>
            <w:tcW w:w="517" w:type="pct"/>
            <w:noWrap w:val="0"/>
            <w:vAlign w:val="center"/>
          </w:tcPr>
          <w:p w14:paraId="228D43A8">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0.26</w:t>
            </w:r>
          </w:p>
        </w:tc>
        <w:tc>
          <w:tcPr>
            <w:tcW w:w="639" w:type="pct"/>
            <w:noWrap w:val="0"/>
            <w:vAlign w:val="center"/>
          </w:tcPr>
          <w:p w14:paraId="417282B0">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0.026</w:t>
            </w:r>
          </w:p>
        </w:tc>
        <w:tc>
          <w:tcPr>
            <w:tcW w:w="612" w:type="pct"/>
            <w:noWrap w:val="0"/>
            <w:vAlign w:val="center"/>
          </w:tcPr>
          <w:p w14:paraId="10C9F2E5">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0.003</w:t>
            </w:r>
          </w:p>
        </w:tc>
        <w:tc>
          <w:tcPr>
            <w:tcW w:w="523" w:type="pct"/>
            <w:noWrap w:val="0"/>
            <w:vAlign w:val="center"/>
          </w:tcPr>
          <w:p w14:paraId="763498BA">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9.21</w:t>
            </w:r>
          </w:p>
        </w:tc>
        <w:tc>
          <w:tcPr>
            <w:tcW w:w="457" w:type="pct"/>
            <w:noWrap w:val="0"/>
            <w:vAlign w:val="center"/>
          </w:tcPr>
          <w:p w14:paraId="21B4C9E5">
            <w:pPr>
              <w:spacing w:line="240" w:lineRule="exact"/>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23</w:t>
            </w:r>
          </w:p>
        </w:tc>
      </w:tr>
    </w:tbl>
    <w:p w14:paraId="550D08F4">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结合场地内地下水类型，场地内潜水含水层以碎屑岩构造裂隙水为主，因此预测目标含水层为赋存于泥质砂中的碎屑岩构造裂隙水。预测参数取上表中泥质粉砂岩文地质参数。</w:t>
      </w:r>
    </w:p>
    <w:p w14:paraId="20CBC15A">
      <w:pPr>
        <w:autoSpaceDE w:val="0"/>
        <w:autoSpaceDN w:val="0"/>
        <w:adjustRightInd w:val="0"/>
        <w:spacing w:line="500" w:lineRule="exact"/>
        <w:rPr>
          <w:rFonts w:hint="default" w:ascii="Times New Roman" w:hAnsi="Times New Roman" w:eastAsia="宋体" w:cs="Times New Roman"/>
          <w:b/>
          <w:bCs/>
          <w:color w:val="000000"/>
          <w:spacing w:val="10"/>
          <w:sz w:val="24"/>
          <w:szCs w:val="32"/>
          <w:lang w:val="en-US" w:eastAsia="zh-CN"/>
        </w:rPr>
      </w:pPr>
      <w:r>
        <w:rPr>
          <w:rFonts w:hint="default" w:ascii="Times New Roman" w:hAnsi="Times New Roman" w:eastAsia="宋体" w:cs="Times New Roman"/>
          <w:b/>
          <w:bCs/>
          <w:color w:val="000000"/>
          <w:spacing w:val="10"/>
          <w:sz w:val="24"/>
          <w:szCs w:val="32"/>
          <w:lang w:val="en-US" w:eastAsia="zh-CN"/>
        </w:rPr>
        <w:t>1.7.3.2情景设定</w:t>
      </w:r>
    </w:p>
    <w:p w14:paraId="521B2DE5">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1、预测时间</w:t>
      </w:r>
    </w:p>
    <w:p w14:paraId="0A85B995">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污水对地下水的影响是无意间排放的，加之地下水隔水性能的差异性、含水层、地层分布的各向异性等原因，对地下水的预测只能建立在人为的假设基础之上，预测不同情况下的污染变化。根据导则，预测时间按拟建项目运行期间的相关时间段进行，选取预测时段分别为100d、365d、1000d。</w:t>
      </w:r>
    </w:p>
    <w:p w14:paraId="1B3E7C5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2、预测源强</w:t>
      </w:r>
    </w:p>
    <w:p w14:paraId="20C6AE24">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本次模拟预测，根据污染风险分析的情景设计，在选定优先控制污染物的基础上，分别对地下水污染物在不同时段的运移距离、超标范围进行模拟预测，污染情景的源强数据通过工程分析类比调查予以确定。</w:t>
      </w:r>
    </w:p>
    <w:p w14:paraId="059BB3AA">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项目实施运行过程可能</w:t>
      </w:r>
      <w:r>
        <w:rPr>
          <w:rFonts w:hint="eastAsia" w:cs="Times New Roman"/>
          <w:color w:val="000000"/>
          <w:spacing w:val="10"/>
          <w:sz w:val="24"/>
          <w:szCs w:val="32"/>
          <w:lang w:val="en-US" w:eastAsia="zh-CN"/>
        </w:rPr>
        <w:t>影响</w:t>
      </w:r>
      <w:r>
        <w:rPr>
          <w:rFonts w:hint="default" w:ascii="Times New Roman" w:hAnsi="Times New Roman" w:eastAsia="宋体" w:cs="Times New Roman"/>
          <w:color w:val="000000"/>
          <w:spacing w:val="10"/>
          <w:sz w:val="24"/>
          <w:szCs w:val="32"/>
          <w:lang w:val="en-US" w:eastAsia="zh-CN"/>
        </w:rPr>
        <w:t>地下水的有生活污水和危险化学品泄漏的物质，项目生活污水产生量较小，其COD排放量较小，对地下水影响不大，不</w:t>
      </w:r>
      <w:r>
        <w:rPr>
          <w:rFonts w:hint="eastAsia" w:cs="Times New Roman"/>
          <w:color w:val="000000"/>
          <w:spacing w:val="10"/>
          <w:sz w:val="24"/>
          <w:szCs w:val="32"/>
          <w:lang w:val="en-US" w:eastAsia="zh-CN"/>
        </w:rPr>
        <w:t>做</w:t>
      </w:r>
      <w:r>
        <w:rPr>
          <w:rFonts w:hint="default" w:ascii="Times New Roman" w:hAnsi="Times New Roman" w:eastAsia="宋体" w:cs="Times New Roman"/>
          <w:color w:val="000000"/>
          <w:spacing w:val="10"/>
          <w:sz w:val="24"/>
          <w:szCs w:val="32"/>
          <w:lang w:val="en-US" w:eastAsia="zh-CN"/>
        </w:rPr>
        <w:t>预测。项目危险化学品泄漏后导流至事故池，因此，项目主要对危险</w:t>
      </w:r>
      <w:r>
        <w:rPr>
          <w:rFonts w:hint="default" w:ascii="Times New Roman" w:hAnsi="Times New Roman" w:eastAsia="宋体" w:cs="Times New Roman"/>
          <w:color w:val="000000"/>
          <w:spacing w:val="10"/>
          <w:sz w:val="24"/>
          <w:szCs w:val="32"/>
          <w:highlight w:val="none"/>
          <w:lang w:val="en-US" w:eastAsia="zh-CN"/>
        </w:rPr>
        <w:t>化学品泄漏</w:t>
      </w:r>
      <w:r>
        <w:rPr>
          <w:rFonts w:hint="default" w:ascii="Times New Roman" w:hAnsi="Times New Roman" w:eastAsia="宋体" w:cs="Times New Roman"/>
          <w:color w:val="000000"/>
          <w:spacing w:val="10"/>
          <w:sz w:val="24"/>
          <w:szCs w:val="32"/>
          <w:lang w:val="en-US" w:eastAsia="zh-CN"/>
        </w:rPr>
        <w:t>对地下水质影响进行预测分析。</w:t>
      </w:r>
    </w:p>
    <w:p w14:paraId="0B29FC83">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模拟情景为假设事故池底部出现长15m、宽2.0cm的裂缝，泄漏物</w:t>
      </w:r>
      <w:r>
        <w:rPr>
          <w:rFonts w:hint="default" w:ascii="Times New Roman" w:hAnsi="Times New Roman" w:eastAsia="宋体" w:cs="Times New Roman"/>
          <w:color w:val="000000"/>
          <w:spacing w:val="10"/>
          <w:sz w:val="24"/>
          <w:szCs w:val="32"/>
          <w:highlight w:val="none"/>
          <w:lang w:val="en-US" w:eastAsia="zh-CN"/>
        </w:rPr>
        <w:t>泄漏</w:t>
      </w:r>
      <w:r>
        <w:rPr>
          <w:rFonts w:hint="default" w:ascii="Times New Roman" w:hAnsi="Times New Roman" w:eastAsia="宋体" w:cs="Times New Roman"/>
          <w:color w:val="000000"/>
          <w:spacing w:val="10"/>
          <w:sz w:val="24"/>
          <w:szCs w:val="32"/>
          <w:lang w:val="en-US" w:eastAsia="zh-CN"/>
        </w:rPr>
        <w:t>至事故应急池后，工作人员1</w:t>
      </w:r>
      <w:r>
        <w:rPr>
          <w:rFonts w:hint="eastAsia" w:ascii="Times New Roman" w:hAnsi="Times New Roman" w:eastAsia="宋体" w:cs="Times New Roman"/>
          <w:color w:val="000000"/>
          <w:spacing w:val="10"/>
          <w:sz w:val="24"/>
          <w:szCs w:val="32"/>
          <w:lang w:val="en-US" w:eastAsia="zh-CN"/>
        </w:rPr>
        <w:t>d</w:t>
      </w:r>
      <w:r>
        <w:rPr>
          <w:rFonts w:hint="default" w:ascii="Times New Roman" w:hAnsi="Times New Roman" w:eastAsia="宋体" w:cs="Times New Roman"/>
          <w:color w:val="000000"/>
          <w:spacing w:val="10"/>
          <w:sz w:val="24"/>
          <w:szCs w:val="32"/>
          <w:lang w:val="en-US" w:eastAsia="zh-CN"/>
        </w:rPr>
        <w:t>内</w:t>
      </w:r>
      <w:r>
        <w:rPr>
          <w:rFonts w:hint="eastAsia" w:ascii="Times New Roman" w:hAnsi="Times New Roman" w:eastAsia="宋体" w:cs="Times New Roman"/>
          <w:color w:val="000000"/>
          <w:spacing w:val="10"/>
          <w:sz w:val="24"/>
          <w:szCs w:val="32"/>
          <w:lang w:val="en-US" w:eastAsia="zh-CN"/>
        </w:rPr>
        <w:t>发现并</w:t>
      </w:r>
      <w:r>
        <w:rPr>
          <w:rFonts w:hint="default" w:ascii="Times New Roman" w:hAnsi="Times New Roman" w:eastAsia="宋体" w:cs="Times New Roman"/>
          <w:color w:val="000000"/>
          <w:spacing w:val="10"/>
          <w:sz w:val="24"/>
          <w:szCs w:val="32"/>
          <w:lang w:val="en-US" w:eastAsia="zh-CN"/>
        </w:rPr>
        <w:t>对泄漏物进行收集处置。</w:t>
      </w:r>
    </w:p>
    <w:p w14:paraId="2CB9F577">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事故应急池裂缝可泄漏的危险化学品泄漏量为：</w:t>
      </w:r>
    </w:p>
    <w:p w14:paraId="10181A33">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Q=K*A*T=</w:t>
      </w:r>
      <w:r>
        <w:rPr>
          <w:rFonts w:hint="eastAsia" w:ascii="Times New Roman" w:hAnsi="Times New Roman" w:eastAsia="宋体" w:cs="Times New Roman"/>
          <w:color w:val="000000"/>
          <w:spacing w:val="10"/>
          <w:sz w:val="24"/>
          <w:szCs w:val="32"/>
          <w:lang w:val="en-US" w:eastAsia="zh-CN"/>
        </w:rPr>
        <w:t>0.073</w:t>
      </w:r>
      <w:r>
        <w:rPr>
          <w:rFonts w:hint="default" w:ascii="Times New Roman" w:hAnsi="Times New Roman" w:eastAsia="宋体" w:cs="Times New Roman"/>
          <w:color w:val="000000"/>
          <w:spacing w:val="10"/>
          <w:sz w:val="24"/>
          <w:szCs w:val="32"/>
          <w:lang w:val="en-US" w:eastAsia="zh-CN"/>
        </w:rPr>
        <w:t>m/d×15m×0.02m×</w:t>
      </w:r>
      <w:r>
        <w:rPr>
          <w:rFonts w:hint="eastAsia" w:ascii="Times New Roman" w:hAnsi="Times New Roman" w:eastAsia="宋体" w:cs="Times New Roman"/>
          <w:color w:val="000000"/>
          <w:spacing w:val="10"/>
          <w:sz w:val="24"/>
          <w:szCs w:val="32"/>
          <w:lang w:val="en-US" w:eastAsia="zh-CN"/>
        </w:rPr>
        <w:t>1</w:t>
      </w:r>
      <w:r>
        <w:rPr>
          <w:rFonts w:hint="default" w:ascii="Times New Roman" w:hAnsi="Times New Roman" w:eastAsia="宋体" w:cs="Times New Roman"/>
          <w:color w:val="000000"/>
          <w:spacing w:val="10"/>
          <w:sz w:val="24"/>
          <w:szCs w:val="32"/>
          <w:lang w:val="en-US" w:eastAsia="zh-CN"/>
        </w:rPr>
        <w:t>d=0.0</w:t>
      </w:r>
      <w:r>
        <w:rPr>
          <w:rFonts w:hint="eastAsia" w:ascii="Times New Roman" w:hAnsi="Times New Roman" w:eastAsia="宋体" w:cs="Times New Roman"/>
          <w:color w:val="000000"/>
          <w:spacing w:val="10"/>
          <w:sz w:val="24"/>
          <w:szCs w:val="32"/>
          <w:lang w:val="en-US" w:eastAsia="zh-CN"/>
        </w:rPr>
        <w:t>2</w:t>
      </w:r>
      <w:r>
        <w:rPr>
          <w:rFonts w:hint="default" w:ascii="Times New Roman" w:hAnsi="Times New Roman" w:eastAsia="宋体" w:cs="Times New Roman"/>
          <w:color w:val="000000"/>
          <w:spacing w:val="10"/>
          <w:sz w:val="24"/>
          <w:szCs w:val="32"/>
          <w:lang w:val="en-US" w:eastAsia="zh-CN"/>
        </w:rPr>
        <w:t>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/d。</w:t>
      </w:r>
    </w:p>
    <w:p w14:paraId="445F2CAB">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根据项目危险化学品特征，本次评价选取1个20L磷酸桶泄漏的磷酸作为预测因子，即磷酸泄漏的量为0.0</w:t>
      </w:r>
      <w:r>
        <w:rPr>
          <w:rFonts w:hint="eastAsia" w:ascii="Times New Roman" w:hAnsi="Times New Roman" w:eastAsia="宋体" w:cs="Times New Roman"/>
          <w:color w:val="000000"/>
          <w:spacing w:val="10"/>
          <w:sz w:val="24"/>
          <w:szCs w:val="32"/>
          <w:lang w:val="en-US" w:eastAsia="zh-CN"/>
        </w:rPr>
        <w:t>2</w:t>
      </w:r>
      <w:r>
        <w:rPr>
          <w:rFonts w:hint="default" w:ascii="Times New Roman" w:hAnsi="Times New Roman" w:eastAsia="宋体" w:cs="Times New Roman"/>
          <w:color w:val="000000"/>
          <w:spacing w:val="10"/>
          <w:sz w:val="24"/>
          <w:szCs w:val="32"/>
          <w:lang w:val="en-US" w:eastAsia="zh-CN"/>
        </w:rPr>
        <w:t>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/d。</w:t>
      </w:r>
    </w:p>
    <w:p w14:paraId="0834FED3">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本项目储存的磷酸泄漏</w:t>
      </w:r>
      <w:r>
        <w:rPr>
          <w:rFonts w:hint="default" w:ascii="Times New Roman" w:hAnsi="Times New Roman" w:eastAsia="宋体" w:cs="Times New Roman"/>
          <w:color w:val="auto"/>
          <w:spacing w:val="10"/>
          <w:sz w:val="24"/>
          <w:szCs w:val="32"/>
          <w:lang w:val="en-US" w:eastAsia="zh-CN"/>
        </w:rPr>
        <w:t>浓度</w:t>
      </w:r>
      <w:r>
        <w:rPr>
          <w:rFonts w:hint="default" w:ascii="Times New Roman" w:hAnsi="Times New Roman" w:eastAsia="宋体" w:cs="Times New Roman"/>
          <w:color w:val="auto"/>
          <w:spacing w:val="10"/>
          <w:sz w:val="24"/>
          <w:szCs w:val="32"/>
          <w:u w:val="none"/>
          <w:lang w:val="en-US" w:eastAsia="zh-CN"/>
        </w:rPr>
        <w:t>1</w:t>
      </w:r>
      <w:r>
        <w:rPr>
          <w:rFonts w:hint="eastAsia" w:ascii="Times New Roman" w:hAnsi="Times New Roman" w:eastAsia="宋体" w:cs="Times New Roman"/>
          <w:color w:val="auto"/>
          <w:spacing w:val="10"/>
          <w:sz w:val="24"/>
          <w:szCs w:val="32"/>
          <w:u w:val="none"/>
          <w:lang w:val="en-US" w:eastAsia="zh-CN"/>
        </w:rPr>
        <w:t>7000</w:t>
      </w:r>
      <w:r>
        <w:rPr>
          <w:rFonts w:hint="default" w:ascii="Times New Roman" w:hAnsi="Times New Roman" w:eastAsia="宋体" w:cs="Times New Roman"/>
          <w:color w:val="auto"/>
          <w:spacing w:val="10"/>
          <w:sz w:val="24"/>
          <w:szCs w:val="32"/>
          <w:u w:val="none"/>
          <w:lang w:val="en-US" w:eastAsia="zh-CN"/>
        </w:rPr>
        <w:t>00mg/L</w:t>
      </w:r>
      <w:r>
        <w:rPr>
          <w:rFonts w:hint="default" w:ascii="Times New Roman" w:hAnsi="Times New Roman" w:eastAsia="宋体" w:cs="Times New Roman"/>
          <w:color w:val="000000"/>
          <w:spacing w:val="10"/>
          <w:sz w:val="24"/>
          <w:szCs w:val="32"/>
          <w:u w:val="none"/>
          <w:lang w:val="en-US" w:eastAsia="zh-CN"/>
        </w:rPr>
        <w:t>。</w:t>
      </w:r>
    </w:p>
    <w:p w14:paraId="496F736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3、评价标准</w:t>
      </w:r>
    </w:p>
    <w:p w14:paraId="6458E66F">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总磷参照执行《地表水质量标准》（GB3838-2022）中的Ⅲ类标准。</w:t>
      </w:r>
    </w:p>
    <w:p w14:paraId="25E69A3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标准限值见表1-</w:t>
      </w:r>
      <w:r>
        <w:rPr>
          <w:rFonts w:hint="eastAsia" w:cs="Times New Roman"/>
          <w:color w:val="000000"/>
          <w:spacing w:val="10"/>
          <w:sz w:val="24"/>
          <w:szCs w:val="32"/>
          <w:lang w:val="en-US" w:eastAsia="zh-CN"/>
        </w:rPr>
        <w:t>50</w:t>
      </w:r>
      <w:r>
        <w:rPr>
          <w:rFonts w:hint="default" w:ascii="Times New Roman" w:hAnsi="Times New Roman" w:eastAsia="宋体" w:cs="Times New Roman"/>
          <w:color w:val="000000"/>
          <w:spacing w:val="10"/>
          <w:sz w:val="24"/>
          <w:szCs w:val="32"/>
          <w:lang w:val="en-US" w:eastAsia="zh-CN"/>
        </w:rPr>
        <w:t>。</w:t>
      </w:r>
    </w:p>
    <w:p w14:paraId="03DD02F8">
      <w:pPr>
        <w:pStyle w:val="4"/>
        <w:numPr>
          <w:ilvl w:val="3"/>
          <w:numId w:val="10"/>
        </w:numPr>
        <w:tabs>
          <w:tab w:val="left" w:pos="1358"/>
          <w:tab w:val="left" w:pos="2153"/>
        </w:tabs>
        <w:ind w:left="1358"/>
        <w:rPr>
          <w:rFonts w:hint="default" w:ascii="Times New Roman" w:hAnsi="Times New Roman" w:eastAsia="宋体" w:cs="Times New Roman"/>
          <w:color w:val="000000"/>
          <w:u w:val="none"/>
        </w:rPr>
      </w:pPr>
      <w:bookmarkStart w:id="88" w:name="_Toc30993"/>
      <w:r>
        <w:rPr>
          <w:rFonts w:hint="default" w:ascii="Times New Roman" w:hAnsi="Times New Roman" w:eastAsia="宋体" w:cs="Times New Roman"/>
          <w:color w:val="000000"/>
          <w:u w:val="none"/>
        </w:rPr>
        <w:t>污染物因子标准限值</w:t>
      </w:r>
      <w:bookmarkEnd w:id="88"/>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2"/>
        <w:gridCol w:w="3150"/>
        <w:gridCol w:w="3226"/>
      </w:tblGrid>
      <w:tr w14:paraId="6688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12" w:type="dxa"/>
            <w:tcBorders>
              <w:top w:val="single" w:color="auto" w:sz="4" w:space="0"/>
              <w:left w:val="single" w:color="auto" w:sz="4" w:space="0"/>
              <w:bottom w:val="single" w:color="auto" w:sz="4" w:space="0"/>
              <w:right w:val="single" w:color="auto" w:sz="4" w:space="0"/>
            </w:tcBorders>
            <w:noWrap w:val="0"/>
            <w:vAlign w:val="center"/>
          </w:tcPr>
          <w:p w14:paraId="61DE0752">
            <w:pPr>
              <w:spacing w:line="240" w:lineRule="exact"/>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模拟预测因子</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5CF6BFDB">
            <w:pPr>
              <w:spacing w:line="240" w:lineRule="exact"/>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浓度（mg/L</w:t>
            </w:r>
            <w:r>
              <w:rPr>
                <w:rFonts w:hint="eastAsia" w:cs="Times New Roman"/>
                <w:color w:val="000000"/>
                <w:sz w:val="21"/>
                <w:szCs w:val="21"/>
                <w:u w:val="none"/>
                <w:lang w:eastAsia="zh-CN"/>
              </w:rPr>
              <w:t>）</w:t>
            </w:r>
          </w:p>
        </w:tc>
        <w:tc>
          <w:tcPr>
            <w:tcW w:w="3226" w:type="dxa"/>
            <w:tcBorders>
              <w:top w:val="single" w:color="auto" w:sz="4" w:space="0"/>
              <w:left w:val="single" w:color="auto" w:sz="4" w:space="0"/>
              <w:bottom w:val="single" w:color="auto" w:sz="4" w:space="0"/>
              <w:right w:val="single" w:color="auto" w:sz="4" w:space="0"/>
            </w:tcBorders>
            <w:noWrap w:val="0"/>
            <w:vAlign w:val="center"/>
          </w:tcPr>
          <w:p w14:paraId="043EBDA3">
            <w:pPr>
              <w:spacing w:line="240" w:lineRule="exact"/>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标准限值（mg/L</w:t>
            </w:r>
            <w:r>
              <w:rPr>
                <w:rFonts w:hint="eastAsia" w:cs="Times New Roman"/>
                <w:color w:val="000000"/>
                <w:sz w:val="21"/>
                <w:szCs w:val="21"/>
                <w:u w:val="none"/>
                <w:lang w:eastAsia="zh-CN"/>
              </w:rPr>
              <w:t>）</w:t>
            </w:r>
          </w:p>
        </w:tc>
      </w:tr>
      <w:tr w14:paraId="561A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12" w:type="dxa"/>
            <w:tcBorders>
              <w:top w:val="single" w:color="auto" w:sz="4" w:space="0"/>
              <w:left w:val="single" w:color="auto" w:sz="4" w:space="0"/>
              <w:bottom w:val="single" w:color="auto" w:sz="4" w:space="0"/>
              <w:right w:val="single" w:color="auto" w:sz="4" w:space="0"/>
            </w:tcBorders>
            <w:noWrap w:val="0"/>
            <w:vAlign w:val="center"/>
          </w:tcPr>
          <w:p w14:paraId="0EF6C451">
            <w:pPr>
              <w:spacing w:line="240" w:lineRule="exact"/>
              <w:jc w:val="center"/>
              <w:rPr>
                <w:rFonts w:hint="default" w:ascii="Times New Roman" w:hAnsi="Times New Roman" w:eastAsia="宋体" w:cs="Times New Roman"/>
                <w:color w:val="000000"/>
                <w:sz w:val="21"/>
                <w:szCs w:val="21"/>
                <w:u w:val="none"/>
                <w:lang w:eastAsia="zh-CN"/>
              </w:rPr>
            </w:pPr>
            <w:r>
              <w:rPr>
                <w:rFonts w:hint="default" w:ascii="Times New Roman" w:hAnsi="Times New Roman" w:eastAsia="宋体" w:cs="Times New Roman"/>
                <w:color w:val="000000"/>
                <w:sz w:val="21"/>
                <w:szCs w:val="21"/>
                <w:u w:val="none"/>
                <w:lang w:val="en-US" w:eastAsia="zh-CN"/>
              </w:rPr>
              <w:t>磷酸</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4C130A9E">
            <w:pPr>
              <w:spacing w:line="240" w:lineRule="exact"/>
              <w:jc w:val="center"/>
              <w:rPr>
                <w:rFonts w:hint="default" w:ascii="Times New Roman" w:hAnsi="Times New Roman" w:eastAsia="宋体" w:cs="Times New Roman"/>
                <w:color w:val="000000"/>
                <w:sz w:val="21"/>
                <w:szCs w:val="21"/>
                <w:u w:val="none"/>
                <w:lang w:val="en-US"/>
              </w:rPr>
            </w:pPr>
            <w:r>
              <w:rPr>
                <w:rFonts w:hint="eastAsia" w:ascii="Times New Roman" w:hAnsi="Times New Roman" w:eastAsia="宋体" w:cs="Times New Roman"/>
                <w:color w:val="000000"/>
                <w:sz w:val="21"/>
                <w:szCs w:val="21"/>
                <w:u w:val="none"/>
                <w:lang w:val="en-US" w:eastAsia="zh-CN"/>
              </w:rPr>
              <w:t>1700000</w:t>
            </w:r>
          </w:p>
        </w:tc>
        <w:tc>
          <w:tcPr>
            <w:tcW w:w="3226" w:type="dxa"/>
            <w:tcBorders>
              <w:top w:val="single" w:color="auto" w:sz="4" w:space="0"/>
              <w:left w:val="single" w:color="auto" w:sz="4" w:space="0"/>
              <w:bottom w:val="single" w:color="auto" w:sz="4" w:space="0"/>
              <w:right w:val="single" w:color="auto" w:sz="4" w:space="0"/>
            </w:tcBorders>
            <w:noWrap w:val="0"/>
            <w:vAlign w:val="center"/>
          </w:tcPr>
          <w:p w14:paraId="340BDD8F">
            <w:pPr>
              <w:spacing w:line="240" w:lineRule="exact"/>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0.2</w:t>
            </w:r>
          </w:p>
        </w:tc>
      </w:tr>
    </w:tbl>
    <w:p w14:paraId="1FDC0B5A">
      <w:pPr>
        <w:autoSpaceDE w:val="0"/>
        <w:autoSpaceDN w:val="0"/>
        <w:adjustRightInd w:val="0"/>
        <w:spacing w:line="500" w:lineRule="exact"/>
        <w:rPr>
          <w:rFonts w:hint="default" w:ascii="Times New Roman" w:hAnsi="Times New Roman" w:eastAsia="宋体" w:cs="Times New Roman"/>
          <w:b/>
          <w:bCs/>
          <w:color w:val="000000"/>
          <w:spacing w:val="10"/>
          <w:sz w:val="24"/>
          <w:szCs w:val="32"/>
          <w:lang w:val="en-US" w:eastAsia="zh-CN"/>
        </w:rPr>
      </w:pPr>
      <w:r>
        <w:rPr>
          <w:rFonts w:hint="default" w:ascii="Times New Roman" w:hAnsi="Times New Roman" w:eastAsia="宋体" w:cs="Times New Roman"/>
          <w:b/>
          <w:bCs/>
          <w:color w:val="000000"/>
          <w:spacing w:val="10"/>
          <w:sz w:val="24"/>
          <w:szCs w:val="32"/>
          <w:lang w:val="en-US" w:eastAsia="zh-CN"/>
        </w:rPr>
        <w:t>1.7.3.2预测</w:t>
      </w:r>
      <w:r>
        <w:rPr>
          <w:rFonts w:hint="eastAsia" w:ascii="Times New Roman" w:hAnsi="Times New Roman" w:eastAsia="宋体" w:cs="Times New Roman"/>
          <w:b/>
          <w:bCs/>
          <w:color w:val="000000"/>
          <w:spacing w:val="10"/>
          <w:sz w:val="24"/>
          <w:szCs w:val="32"/>
          <w:lang w:val="en-US" w:eastAsia="zh-CN"/>
        </w:rPr>
        <w:t>模型</w:t>
      </w:r>
    </w:p>
    <w:p w14:paraId="4DA29F41">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当项目运转出现事故时，含有污染物的废水将以入渗的方式进入含水层，本次评价假定的预测情景中物料泄漏量较小，对地下水流场没有明显影响，评价范围内的含水层基本参数基本不会发生变化。项目污水管为明管，污水管泄漏后短时间内能够及时发现和修复，因此本次将泄漏源概化为点源、恒定连续排放，按照一维稳定流动二维水动力弥散问题，瞬时注入示踪剂—平面连续点源，泄漏点概化为点源坐标（0，0），X轴为地下水径流方向（由</w:t>
      </w:r>
      <w:r>
        <w:rPr>
          <w:rFonts w:hint="eastAsia" w:ascii="Times New Roman" w:hAnsi="Times New Roman" w:eastAsia="宋体" w:cs="Times New Roman"/>
          <w:color w:val="000000"/>
          <w:spacing w:val="10"/>
          <w:sz w:val="24"/>
          <w:szCs w:val="32"/>
          <w:lang w:val="en-US" w:eastAsia="zh-CN"/>
        </w:rPr>
        <w:t>西北</w:t>
      </w:r>
      <w:r>
        <w:rPr>
          <w:rFonts w:hint="default" w:ascii="Times New Roman" w:hAnsi="Times New Roman" w:eastAsia="宋体" w:cs="Times New Roman"/>
          <w:color w:val="000000"/>
          <w:spacing w:val="10"/>
          <w:sz w:val="24"/>
          <w:szCs w:val="32"/>
          <w:lang w:val="en-US" w:eastAsia="zh-CN"/>
        </w:rPr>
        <w:t>向</w:t>
      </w:r>
      <w:r>
        <w:rPr>
          <w:rFonts w:hint="eastAsia" w:ascii="Times New Roman" w:hAnsi="Times New Roman" w:eastAsia="宋体" w:cs="Times New Roman"/>
          <w:color w:val="000000"/>
          <w:spacing w:val="10"/>
          <w:sz w:val="24"/>
          <w:szCs w:val="32"/>
          <w:lang w:val="en-US" w:eastAsia="zh-CN"/>
        </w:rPr>
        <w:t>东南</w:t>
      </w:r>
      <w:r>
        <w:rPr>
          <w:rFonts w:hint="default" w:ascii="Times New Roman" w:hAnsi="Times New Roman" w:eastAsia="宋体" w:cs="Times New Roman"/>
          <w:color w:val="000000"/>
          <w:spacing w:val="10"/>
          <w:sz w:val="24"/>
          <w:szCs w:val="32"/>
          <w:lang w:val="en-US" w:eastAsia="zh-CN"/>
        </w:rPr>
        <w:t>），Y轴则与X轴垂直，求取污染物浓度分布的模型公式如下</w:t>
      </w:r>
      <w:r>
        <w:rPr>
          <w:rFonts w:hint="eastAsia" w:cs="Times New Roman"/>
          <w:color w:val="000000"/>
          <w:spacing w:val="10"/>
          <w:sz w:val="24"/>
          <w:szCs w:val="32"/>
          <w:lang w:val="en-US" w:eastAsia="zh-CN"/>
        </w:rPr>
        <w:t>：</w:t>
      </w:r>
    </w:p>
    <w:p w14:paraId="1DB6A8AF">
      <w:pPr>
        <w:widowControl/>
        <w:jc w:val="center"/>
        <w:rPr>
          <w:rFonts w:hint="default" w:ascii="Times New Roman" w:hAnsi="Times New Roman" w:cs="Times New Roman"/>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"C:\\Users\\Administrator\\AppData\\Roaming\\Tencent\\Users\\849768552\\QQ\\WinTemp\\RichOle\\]QO__Q969T~5NWEZ7~EB(XV.png"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268980" cy="774700"/>
            <wp:effectExtent l="0" t="0" r="7620" b="6350"/>
            <wp:docPr id="33"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descr="IMG_256"/>
                    <pic:cNvPicPr>
                      <a:picLocks noChangeAspect="1"/>
                    </pic:cNvPicPr>
                  </pic:nvPicPr>
                  <pic:blipFill>
                    <a:blip r:embed="rId37"/>
                    <a:stretch>
                      <a:fillRect/>
                    </a:stretch>
                  </pic:blipFill>
                  <pic:spPr>
                    <a:xfrm>
                      <a:off x="0" y="0"/>
                      <a:ext cx="3268980" cy="77470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19373871">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式中：</w:t>
      </w:r>
    </w:p>
    <w:p w14:paraId="3FF1A492">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X，y—计算点处的位置坐标；</w:t>
      </w:r>
    </w:p>
    <w:p w14:paraId="2578A35A">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t—时间（d）；</w:t>
      </w:r>
    </w:p>
    <w:p w14:paraId="6AB23E76">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C（x，y，t）—t时刻x，y处的示踪剂浓度，g/L；</w:t>
      </w:r>
    </w:p>
    <w:p w14:paraId="69A8BAD9">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M—承压含水层的厚度，m</w:t>
      </w:r>
    </w:p>
    <w:p w14:paraId="6FDDE548">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m</w:t>
      </w:r>
      <w:r>
        <w:rPr>
          <w:rFonts w:hint="default" w:ascii="Times New Roman" w:hAnsi="Times New Roman" w:eastAsia="宋体" w:cs="Times New Roman"/>
          <w:color w:val="000000"/>
          <w:spacing w:val="10"/>
          <w:sz w:val="24"/>
          <w:szCs w:val="32"/>
          <w:vertAlign w:val="subscript"/>
          <w:lang w:val="en-US" w:eastAsia="zh-CN"/>
        </w:rPr>
        <w:t>M</w:t>
      </w:r>
      <w:r>
        <w:rPr>
          <w:rFonts w:hint="default" w:ascii="Times New Roman" w:hAnsi="Times New Roman" w:eastAsia="宋体" w:cs="Times New Roman"/>
          <w:color w:val="000000"/>
          <w:spacing w:val="10"/>
          <w:sz w:val="24"/>
          <w:szCs w:val="32"/>
          <w:lang w:val="en-US" w:eastAsia="zh-CN"/>
        </w:rPr>
        <w:t>—长度为M的线源瞬时注入的示踪剂质量，kg</w:t>
      </w:r>
      <w:r>
        <w:rPr>
          <w:rFonts w:hint="eastAsia" w:cs="Times New Roman"/>
          <w:color w:val="000000"/>
          <w:spacing w:val="10"/>
          <w:sz w:val="24"/>
          <w:szCs w:val="32"/>
          <w:lang w:val="en-US" w:eastAsia="zh-CN"/>
        </w:rPr>
        <w:t>；</w:t>
      </w:r>
    </w:p>
    <w:p w14:paraId="1CF65001">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u—水流速度，m/d；</w:t>
      </w:r>
    </w:p>
    <w:p w14:paraId="10E43B64">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n</w:t>
      </w:r>
      <w:r>
        <w:rPr>
          <w:rFonts w:hint="default" w:ascii="Times New Roman" w:hAnsi="Times New Roman" w:eastAsia="宋体" w:cs="Times New Roman"/>
          <w:color w:val="000000"/>
          <w:spacing w:val="10"/>
          <w:sz w:val="24"/>
          <w:szCs w:val="32"/>
          <w:vertAlign w:val="subscript"/>
          <w:lang w:val="en-US" w:eastAsia="zh-CN"/>
        </w:rPr>
        <w:t>e</w:t>
      </w:r>
      <w:r>
        <w:rPr>
          <w:rFonts w:hint="default" w:ascii="Times New Roman" w:hAnsi="Times New Roman" w:eastAsia="宋体" w:cs="Times New Roman"/>
          <w:color w:val="000000"/>
          <w:spacing w:val="10"/>
          <w:sz w:val="24"/>
          <w:szCs w:val="32"/>
          <w:lang w:val="en-US" w:eastAsia="zh-CN"/>
        </w:rPr>
        <w:t>—有效孔隙度，无量纲；</w:t>
      </w:r>
    </w:p>
    <w:p w14:paraId="5EF4BB31">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DL—纵向弥散系数，m</w:t>
      </w:r>
      <w:r>
        <w:rPr>
          <w:rFonts w:hint="default" w:ascii="Times New Roman" w:hAnsi="Times New Roman" w:eastAsia="宋体" w:cs="Times New Roman"/>
          <w:color w:val="000000"/>
          <w:spacing w:val="10"/>
          <w:sz w:val="24"/>
          <w:szCs w:val="32"/>
          <w:vertAlign w:val="superscript"/>
          <w:lang w:val="en-US" w:eastAsia="zh-CN"/>
        </w:rPr>
        <w:t>2</w:t>
      </w:r>
      <w:r>
        <w:rPr>
          <w:rFonts w:hint="default" w:ascii="Times New Roman" w:hAnsi="Times New Roman" w:eastAsia="宋体" w:cs="Times New Roman"/>
          <w:color w:val="000000"/>
          <w:spacing w:val="10"/>
          <w:sz w:val="24"/>
          <w:szCs w:val="32"/>
          <w:lang w:val="en-US" w:eastAsia="zh-CN"/>
        </w:rPr>
        <w:t>/d；</w:t>
      </w:r>
    </w:p>
    <w:p w14:paraId="48FEDFB6">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Dr—横向y方向的弥散系数，m</w:t>
      </w:r>
      <w:r>
        <w:rPr>
          <w:rFonts w:hint="default" w:ascii="Times New Roman" w:hAnsi="Times New Roman" w:eastAsia="宋体" w:cs="Times New Roman"/>
          <w:color w:val="000000"/>
          <w:spacing w:val="10"/>
          <w:sz w:val="24"/>
          <w:szCs w:val="32"/>
          <w:vertAlign w:val="superscript"/>
          <w:lang w:val="en-US" w:eastAsia="zh-CN"/>
        </w:rPr>
        <w:t>2</w:t>
      </w:r>
      <w:r>
        <w:rPr>
          <w:rFonts w:hint="default" w:ascii="Times New Roman" w:hAnsi="Times New Roman" w:eastAsia="宋体" w:cs="Times New Roman"/>
          <w:color w:val="000000"/>
          <w:spacing w:val="10"/>
          <w:sz w:val="24"/>
          <w:szCs w:val="32"/>
          <w:lang w:val="en-US" w:eastAsia="zh-CN"/>
        </w:rPr>
        <w:t>/d；</w:t>
      </w:r>
    </w:p>
    <w:p w14:paraId="7E2CF139">
      <w:pPr>
        <w:autoSpaceDE w:val="0"/>
        <w:autoSpaceDN w:val="0"/>
        <w:adjustRightInd w:val="0"/>
        <w:spacing w:line="500" w:lineRule="exact"/>
        <w:ind w:firstLine="1225" w:firstLineChars="5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π—圆周率。</w:t>
      </w:r>
    </w:p>
    <w:p w14:paraId="512D606A">
      <w:pPr>
        <w:autoSpaceDE w:val="0"/>
        <w:autoSpaceDN w:val="0"/>
        <w:adjustRightInd w:val="0"/>
        <w:spacing w:line="500" w:lineRule="exact"/>
        <w:rPr>
          <w:rFonts w:hint="default" w:ascii="Times New Roman" w:hAnsi="Times New Roman" w:eastAsia="宋体" w:cs="Times New Roman"/>
          <w:b/>
          <w:bCs/>
          <w:color w:val="000000"/>
          <w:spacing w:val="10"/>
          <w:sz w:val="24"/>
          <w:szCs w:val="32"/>
          <w:lang w:val="en-US" w:eastAsia="zh-CN"/>
        </w:rPr>
      </w:pPr>
      <w:r>
        <w:rPr>
          <w:rFonts w:hint="default" w:ascii="Times New Roman" w:hAnsi="Times New Roman" w:eastAsia="宋体" w:cs="Times New Roman"/>
          <w:b/>
          <w:bCs/>
          <w:color w:val="000000"/>
          <w:spacing w:val="10"/>
          <w:sz w:val="24"/>
          <w:szCs w:val="32"/>
          <w:lang w:val="en-US" w:eastAsia="zh-CN"/>
        </w:rPr>
        <w:t>1.7.3.3预测结果</w:t>
      </w:r>
    </w:p>
    <w:p w14:paraId="393A5623">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磷酸影响范围从事故池向外，强度由大到小，影响范围较小。泄漏发生后，区域地下水中的总磷浓度逐</w:t>
      </w:r>
      <w:r>
        <w:rPr>
          <w:rFonts w:hint="default" w:ascii="Times New Roman" w:hAnsi="Times New Roman" w:eastAsia="宋体" w:cs="Times New Roman"/>
          <w:color w:val="auto"/>
          <w:spacing w:val="10"/>
          <w:sz w:val="24"/>
          <w:szCs w:val="32"/>
          <w:lang w:val="en-US" w:eastAsia="zh-CN"/>
        </w:rPr>
        <w:t>渐增加，泄漏10天后，总磷超过《地表水质量标准》（GB3838-2022）中的Ⅲ类水标准的距离为</w:t>
      </w:r>
      <w:r>
        <w:rPr>
          <w:rFonts w:hint="default" w:ascii="Times New Roman" w:hAnsi="Times New Roman" w:eastAsia="宋体" w:cs="Times New Roman"/>
          <w:color w:val="auto"/>
          <w:spacing w:val="10"/>
          <w:sz w:val="24"/>
          <w:szCs w:val="32"/>
          <w:u w:val="none"/>
          <w:lang w:val="en-US" w:eastAsia="zh-CN"/>
        </w:rPr>
        <w:t>下游</w:t>
      </w:r>
      <w:r>
        <w:rPr>
          <w:rFonts w:hint="eastAsia" w:ascii="Times New Roman" w:hAnsi="Times New Roman" w:eastAsia="宋体" w:cs="Times New Roman"/>
          <w:color w:val="auto"/>
          <w:spacing w:val="10"/>
          <w:sz w:val="24"/>
          <w:szCs w:val="32"/>
          <w:u w:val="none"/>
          <w:lang w:val="en-US" w:eastAsia="zh-CN"/>
        </w:rPr>
        <w:t>4</w:t>
      </w:r>
      <w:r>
        <w:rPr>
          <w:rFonts w:hint="eastAsia" w:cs="Times New Roman"/>
          <w:color w:val="auto"/>
          <w:spacing w:val="10"/>
          <w:sz w:val="24"/>
          <w:szCs w:val="32"/>
          <w:u w:val="none"/>
          <w:lang w:val="en-US" w:eastAsia="zh-CN"/>
        </w:rPr>
        <w:t>.29</w:t>
      </w:r>
      <w:r>
        <w:rPr>
          <w:rFonts w:hint="default" w:ascii="Times New Roman" w:hAnsi="Times New Roman" w:eastAsia="宋体" w:cs="Times New Roman"/>
          <w:color w:val="auto"/>
          <w:spacing w:val="10"/>
          <w:sz w:val="24"/>
          <w:szCs w:val="32"/>
          <w:u w:val="none"/>
          <w:lang w:val="en-US" w:eastAsia="zh-CN"/>
        </w:rPr>
        <w:t>m，预测超标面积为</w:t>
      </w:r>
      <w:r>
        <w:rPr>
          <w:rFonts w:hint="eastAsia" w:cs="Times New Roman"/>
          <w:color w:val="auto"/>
          <w:spacing w:val="10"/>
          <w:sz w:val="24"/>
          <w:szCs w:val="32"/>
          <w:u w:val="none"/>
          <w:lang w:val="en-US" w:eastAsia="zh-CN"/>
        </w:rPr>
        <w:t>31</w:t>
      </w:r>
      <w:r>
        <w:rPr>
          <w:rFonts w:hint="default" w:ascii="Times New Roman" w:hAnsi="Times New Roman" w:eastAsia="宋体" w:cs="Times New Roman"/>
          <w:color w:val="auto"/>
          <w:spacing w:val="10"/>
          <w:sz w:val="24"/>
          <w:szCs w:val="32"/>
          <w:u w:val="none"/>
          <w:lang w:val="en-US" w:eastAsia="zh-CN"/>
        </w:rPr>
        <w:t>m</w:t>
      </w:r>
      <w:r>
        <w:rPr>
          <w:rFonts w:hint="default" w:ascii="Times New Roman" w:hAnsi="Times New Roman" w:eastAsia="宋体" w:cs="Times New Roman"/>
          <w:color w:val="auto"/>
          <w:spacing w:val="10"/>
          <w:sz w:val="24"/>
          <w:szCs w:val="32"/>
          <w:u w:val="none"/>
          <w:vertAlign w:val="superscript"/>
          <w:lang w:val="en-US" w:eastAsia="zh-CN"/>
        </w:rPr>
        <w:t>2</w:t>
      </w:r>
      <w:r>
        <w:rPr>
          <w:rFonts w:hint="default" w:ascii="Times New Roman" w:hAnsi="Times New Roman" w:eastAsia="宋体" w:cs="Times New Roman"/>
          <w:color w:val="auto"/>
          <w:spacing w:val="10"/>
          <w:sz w:val="24"/>
          <w:szCs w:val="32"/>
          <w:u w:val="none"/>
          <w:vertAlign w:val="baseline"/>
          <w:lang w:val="en-US" w:eastAsia="zh-CN"/>
        </w:rPr>
        <w:t>，下游总磷最大贡献浓度为</w:t>
      </w:r>
      <w:r>
        <w:rPr>
          <w:rFonts w:hint="eastAsia" w:cs="Times New Roman"/>
          <w:color w:val="auto"/>
          <w:spacing w:val="10"/>
          <w:sz w:val="24"/>
          <w:szCs w:val="32"/>
          <w:u w:val="none"/>
          <w:vertAlign w:val="baseline"/>
          <w:lang w:val="en-US" w:eastAsia="zh-CN"/>
        </w:rPr>
        <w:t>1645.33</w:t>
      </w:r>
      <w:r>
        <w:rPr>
          <w:rFonts w:hint="default" w:ascii="Times New Roman" w:hAnsi="Times New Roman" w:eastAsia="宋体" w:cs="Times New Roman"/>
          <w:color w:val="auto"/>
          <w:spacing w:val="10"/>
          <w:sz w:val="24"/>
          <w:szCs w:val="32"/>
          <w:u w:val="none"/>
          <w:vertAlign w:val="baseline"/>
          <w:lang w:val="en-US" w:eastAsia="zh-CN"/>
        </w:rPr>
        <w:t>mg/L</w:t>
      </w:r>
      <w:r>
        <w:rPr>
          <w:rFonts w:hint="eastAsia" w:ascii="Times New Roman" w:hAnsi="Times New Roman" w:eastAsia="宋体" w:cs="Times New Roman"/>
          <w:color w:val="auto"/>
          <w:spacing w:val="10"/>
          <w:sz w:val="24"/>
          <w:szCs w:val="32"/>
          <w:u w:val="none"/>
          <w:vertAlign w:val="baseline"/>
          <w:lang w:val="en-US" w:eastAsia="zh-CN"/>
        </w:rPr>
        <w:t>，超标</w:t>
      </w:r>
      <w:r>
        <w:rPr>
          <w:rFonts w:hint="eastAsia" w:cs="Times New Roman"/>
          <w:color w:val="auto"/>
          <w:spacing w:val="10"/>
          <w:sz w:val="24"/>
          <w:szCs w:val="32"/>
          <w:u w:val="none"/>
          <w:vertAlign w:val="baseline"/>
          <w:lang w:val="en-US" w:eastAsia="zh-CN"/>
        </w:rPr>
        <w:t>8226.65</w:t>
      </w:r>
      <w:r>
        <w:rPr>
          <w:rFonts w:hint="eastAsia" w:ascii="Times New Roman" w:hAnsi="Times New Roman" w:eastAsia="宋体" w:cs="Times New Roman"/>
          <w:color w:val="auto"/>
          <w:spacing w:val="10"/>
          <w:sz w:val="24"/>
          <w:szCs w:val="32"/>
          <w:u w:val="none"/>
          <w:vertAlign w:val="baseline"/>
          <w:lang w:val="en-US" w:eastAsia="zh-CN"/>
        </w:rPr>
        <w:t>倍</w:t>
      </w:r>
      <w:r>
        <w:rPr>
          <w:rFonts w:hint="default" w:ascii="Times New Roman" w:hAnsi="Times New Roman" w:eastAsia="宋体" w:cs="Times New Roman"/>
          <w:color w:val="auto"/>
          <w:spacing w:val="10"/>
          <w:sz w:val="24"/>
          <w:szCs w:val="32"/>
          <w:u w:val="none"/>
          <w:lang w:val="en-US" w:eastAsia="zh-CN"/>
        </w:rPr>
        <w:t>；泄漏100天后，总磷超过《地表水质量标准》（GB3838-2022）</w:t>
      </w:r>
      <w:r>
        <w:rPr>
          <w:rFonts w:hint="default" w:ascii="Times New Roman" w:hAnsi="Times New Roman" w:eastAsia="宋体" w:cs="Times New Roman"/>
          <w:color w:val="000000" w:themeColor="text1"/>
          <w:spacing w:val="10"/>
          <w:sz w:val="24"/>
          <w:szCs w:val="32"/>
          <w:u w:val="none"/>
          <w:lang w:val="en-US" w:eastAsia="zh-CN"/>
          <w14:textFill>
            <w14:solidFill>
              <w14:schemeClr w14:val="tx1"/>
            </w14:solidFill>
          </w14:textFill>
        </w:rPr>
        <w:t>中的Ⅲ类水标准的距离为下游</w:t>
      </w:r>
      <w:r>
        <w:rPr>
          <w:rFonts w:hint="eastAsia" w:cs="Times New Roman"/>
          <w:color w:val="000000" w:themeColor="text1"/>
          <w:spacing w:val="10"/>
          <w:sz w:val="24"/>
          <w:szCs w:val="32"/>
          <w:u w:val="none"/>
          <w:lang w:val="en-US" w:eastAsia="zh-CN"/>
          <w14:textFill>
            <w14:solidFill>
              <w14:schemeClr w14:val="tx1"/>
            </w14:solidFill>
          </w14:textFill>
        </w:rPr>
        <w:t>11.9</w:t>
      </w:r>
      <w:r>
        <w:rPr>
          <w:rFonts w:hint="default" w:ascii="Times New Roman" w:hAnsi="Times New Roman" w:eastAsia="宋体" w:cs="Times New Roman"/>
          <w:color w:val="000000" w:themeColor="text1"/>
          <w:spacing w:val="10"/>
          <w:sz w:val="24"/>
          <w:szCs w:val="32"/>
          <w:u w:val="none"/>
          <w:lang w:val="en-US" w:eastAsia="zh-CN"/>
          <w14:textFill>
            <w14:solidFill>
              <w14:schemeClr w14:val="tx1"/>
            </w14:solidFill>
          </w14:textFill>
        </w:rPr>
        <w:t>m，预测超标面积为</w:t>
      </w:r>
      <w:r>
        <w:rPr>
          <w:rFonts w:hint="eastAsia" w:cs="Times New Roman"/>
          <w:color w:val="000000" w:themeColor="text1"/>
          <w:spacing w:val="10"/>
          <w:sz w:val="24"/>
          <w:szCs w:val="32"/>
          <w:u w:val="none"/>
          <w:lang w:val="en-US" w:eastAsia="zh-CN"/>
          <w14:textFill>
            <w14:solidFill>
              <w14:schemeClr w14:val="tx1"/>
            </w14:solidFill>
          </w14:textFill>
        </w:rPr>
        <w:t>234</w:t>
      </w:r>
      <w:r>
        <w:rPr>
          <w:rFonts w:hint="default" w:ascii="Times New Roman" w:hAnsi="Times New Roman" w:eastAsia="宋体" w:cs="Times New Roman"/>
          <w:color w:val="000000" w:themeColor="text1"/>
          <w:spacing w:val="10"/>
          <w:sz w:val="24"/>
          <w:szCs w:val="32"/>
          <w:u w:val="none"/>
          <w:lang w:val="en-US" w:eastAsia="zh-CN"/>
          <w14:textFill>
            <w14:solidFill>
              <w14:schemeClr w14:val="tx1"/>
            </w14:solidFill>
          </w14:textFill>
        </w:rPr>
        <w:t>m</w:t>
      </w:r>
      <w:r>
        <w:rPr>
          <w:rFonts w:hint="default" w:ascii="Times New Roman" w:hAnsi="Times New Roman" w:eastAsia="宋体" w:cs="Times New Roman"/>
          <w:color w:val="000000" w:themeColor="text1"/>
          <w:spacing w:val="10"/>
          <w:sz w:val="24"/>
          <w:szCs w:val="32"/>
          <w:u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10"/>
          <w:sz w:val="24"/>
          <w:szCs w:val="32"/>
          <w:u w:val="none"/>
          <w:vertAlign w:val="baseline"/>
          <w:lang w:val="en-US" w:eastAsia="zh-CN"/>
          <w14:textFill>
            <w14:solidFill>
              <w14:schemeClr w14:val="tx1"/>
            </w14:solidFill>
          </w14:textFill>
        </w:rPr>
        <w:t>，下游</w:t>
      </w:r>
      <w:r>
        <w:rPr>
          <w:rFonts w:hint="default" w:ascii="Times New Roman" w:hAnsi="Times New Roman" w:eastAsia="宋体" w:cs="Times New Roman"/>
          <w:color w:val="000000" w:themeColor="text1"/>
          <w:spacing w:val="10"/>
          <w:sz w:val="24"/>
          <w:szCs w:val="32"/>
          <w:u w:val="none"/>
          <w:lang w:val="en-US" w:eastAsia="zh-CN"/>
          <w14:textFill>
            <w14:solidFill>
              <w14:schemeClr w14:val="tx1"/>
            </w14:solidFill>
          </w14:textFill>
        </w:rPr>
        <w:t>总磷</w:t>
      </w:r>
      <w:r>
        <w:rPr>
          <w:rFonts w:hint="default" w:ascii="Times New Roman" w:hAnsi="Times New Roman" w:eastAsia="宋体" w:cs="Times New Roman"/>
          <w:color w:val="000000" w:themeColor="text1"/>
          <w:spacing w:val="10"/>
          <w:sz w:val="24"/>
          <w:szCs w:val="32"/>
          <w:u w:val="none"/>
          <w:vertAlign w:val="baseline"/>
          <w:lang w:val="en-US" w:eastAsia="zh-CN"/>
          <w14:textFill>
            <w14:solidFill>
              <w14:schemeClr w14:val="tx1"/>
            </w14:solidFill>
          </w14:textFill>
        </w:rPr>
        <w:t>最大贡献浓度为</w:t>
      </w:r>
      <w:r>
        <w:rPr>
          <w:rFonts w:hint="eastAsia" w:cs="Times New Roman"/>
          <w:color w:val="000000" w:themeColor="text1"/>
          <w:spacing w:val="10"/>
          <w:sz w:val="24"/>
          <w:szCs w:val="32"/>
          <w:u w:val="none"/>
          <w:vertAlign w:val="baseline"/>
          <w:lang w:val="en-US" w:eastAsia="zh-CN"/>
          <w14:textFill>
            <w14:solidFill>
              <w14:schemeClr w14:val="tx1"/>
            </w14:solidFill>
          </w14:textFill>
        </w:rPr>
        <w:t>164.53</w:t>
      </w:r>
      <w:r>
        <w:rPr>
          <w:rFonts w:hint="default" w:ascii="Times New Roman" w:hAnsi="Times New Roman" w:eastAsia="宋体" w:cs="Times New Roman"/>
          <w:color w:val="000000" w:themeColor="text1"/>
          <w:spacing w:val="10"/>
          <w:sz w:val="24"/>
          <w:szCs w:val="32"/>
          <w:u w:val="none"/>
          <w:vertAlign w:val="baseline"/>
          <w:lang w:val="en-US" w:eastAsia="zh-CN"/>
          <w14:textFill>
            <w14:solidFill>
              <w14:schemeClr w14:val="tx1"/>
            </w14:solidFill>
          </w14:textFill>
        </w:rPr>
        <w:t>mg/L</w:t>
      </w:r>
      <w:r>
        <w:rPr>
          <w:rFonts w:hint="eastAsia" w:ascii="Times New Roman" w:hAnsi="Times New Roman" w:eastAsia="宋体" w:cs="Times New Roman"/>
          <w:color w:val="000000" w:themeColor="text1"/>
          <w:spacing w:val="10"/>
          <w:sz w:val="24"/>
          <w:szCs w:val="32"/>
          <w:u w:val="none"/>
          <w:vertAlign w:val="baseline"/>
          <w:lang w:val="en-US" w:eastAsia="zh-CN"/>
          <w14:textFill>
            <w14:solidFill>
              <w14:schemeClr w14:val="tx1"/>
            </w14:solidFill>
          </w14:textFill>
        </w:rPr>
        <w:t>，超标</w:t>
      </w:r>
      <w:r>
        <w:rPr>
          <w:rFonts w:hint="eastAsia" w:cs="Times New Roman"/>
          <w:color w:val="000000" w:themeColor="text1"/>
          <w:spacing w:val="10"/>
          <w:sz w:val="24"/>
          <w:szCs w:val="32"/>
          <w:u w:val="none"/>
          <w:vertAlign w:val="baseline"/>
          <w:lang w:val="en-US" w:eastAsia="zh-CN"/>
          <w14:textFill>
            <w14:solidFill>
              <w14:schemeClr w14:val="tx1"/>
            </w14:solidFill>
          </w14:textFill>
        </w:rPr>
        <w:t>822.65</w:t>
      </w:r>
      <w:r>
        <w:rPr>
          <w:rFonts w:hint="eastAsia" w:ascii="Times New Roman" w:hAnsi="Times New Roman" w:eastAsia="宋体" w:cs="Times New Roman"/>
          <w:color w:val="000000" w:themeColor="text1"/>
          <w:spacing w:val="10"/>
          <w:sz w:val="24"/>
          <w:szCs w:val="32"/>
          <w:u w:val="none"/>
          <w:vertAlign w:val="baseline"/>
          <w:lang w:val="en-US" w:eastAsia="zh-CN"/>
          <w14:textFill>
            <w14:solidFill>
              <w14:schemeClr w14:val="tx1"/>
            </w14:solidFill>
          </w14:textFill>
        </w:rPr>
        <w:t>倍</w:t>
      </w:r>
      <w:r>
        <w:rPr>
          <w:rFonts w:hint="default" w:ascii="Times New Roman" w:hAnsi="Times New Roman" w:eastAsia="宋体" w:cs="Times New Roman"/>
          <w:color w:val="000000" w:themeColor="text1"/>
          <w:spacing w:val="10"/>
          <w:sz w:val="24"/>
          <w:szCs w:val="32"/>
          <w:u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0"/>
          <w:sz w:val="24"/>
          <w:szCs w:val="32"/>
          <w:lang w:val="en-US" w:eastAsia="zh-CN"/>
          <w14:textFill>
            <w14:solidFill>
              <w14:schemeClr w14:val="tx1"/>
            </w14:solidFill>
          </w14:textFill>
        </w:rPr>
        <w:t>泄漏1000天后，总磷超过《地表水质量标准》（GB3838-2022）中的Ⅲ类水标准的距离为下游</w:t>
      </w:r>
      <w:r>
        <w:rPr>
          <w:rFonts w:hint="eastAsia" w:cs="Times New Roman"/>
          <w:color w:val="000000" w:themeColor="text1"/>
          <w:spacing w:val="10"/>
          <w:sz w:val="24"/>
          <w:szCs w:val="32"/>
          <w:lang w:val="en-US" w:eastAsia="zh-CN"/>
          <w14:textFill>
            <w14:solidFill>
              <w14:schemeClr w14:val="tx1"/>
            </w14:solidFill>
          </w14:textFill>
        </w:rPr>
        <w:t>51</w:t>
      </w:r>
      <w:r>
        <w:rPr>
          <w:rFonts w:hint="default" w:ascii="Times New Roman" w:hAnsi="Times New Roman" w:eastAsia="宋体" w:cs="Times New Roman"/>
          <w:color w:val="000000" w:themeColor="text1"/>
          <w:spacing w:val="10"/>
          <w:sz w:val="24"/>
          <w:szCs w:val="32"/>
          <w:lang w:val="en-US" w:eastAsia="zh-CN"/>
          <w14:textFill>
            <w14:solidFill>
              <w14:schemeClr w14:val="tx1"/>
            </w14:solidFill>
          </w14:textFill>
        </w:rPr>
        <w:t>m，</w:t>
      </w:r>
      <w:r>
        <w:rPr>
          <w:rFonts w:hint="default" w:ascii="Times New Roman" w:hAnsi="Times New Roman" w:eastAsia="宋体" w:cs="Times New Roman"/>
          <w:color w:val="000000" w:themeColor="text1"/>
          <w:spacing w:val="10"/>
          <w:sz w:val="24"/>
          <w:szCs w:val="32"/>
          <w:vertAlign w:val="baseline"/>
          <w:lang w:val="en-US" w:eastAsia="zh-CN"/>
          <w14:textFill>
            <w14:solidFill>
              <w14:schemeClr w14:val="tx1"/>
            </w14:solidFill>
          </w14:textFill>
        </w:rPr>
        <w:t>下游</w:t>
      </w:r>
      <w:r>
        <w:rPr>
          <w:rFonts w:hint="default" w:ascii="Times New Roman" w:hAnsi="Times New Roman" w:eastAsia="宋体" w:cs="Times New Roman"/>
          <w:color w:val="000000" w:themeColor="text1"/>
          <w:spacing w:val="10"/>
          <w:sz w:val="24"/>
          <w:szCs w:val="32"/>
          <w:lang w:val="en-US" w:eastAsia="zh-CN"/>
          <w14:textFill>
            <w14:solidFill>
              <w14:schemeClr w14:val="tx1"/>
            </w14:solidFill>
          </w14:textFill>
        </w:rPr>
        <w:t>总磷</w:t>
      </w:r>
      <w:r>
        <w:rPr>
          <w:rFonts w:hint="default" w:ascii="Times New Roman" w:hAnsi="Times New Roman" w:eastAsia="宋体" w:cs="Times New Roman"/>
          <w:color w:val="000000" w:themeColor="text1"/>
          <w:spacing w:val="10"/>
          <w:sz w:val="24"/>
          <w:szCs w:val="32"/>
          <w:vertAlign w:val="baseline"/>
          <w:lang w:val="en-US" w:eastAsia="zh-CN"/>
          <w14:textFill>
            <w14:solidFill>
              <w14:schemeClr w14:val="tx1"/>
            </w14:solidFill>
          </w14:textFill>
        </w:rPr>
        <w:t>最大贡献浓度为</w:t>
      </w:r>
      <w:r>
        <w:rPr>
          <w:rFonts w:hint="eastAsia" w:cs="Times New Roman"/>
          <w:color w:val="000000" w:themeColor="text1"/>
          <w:spacing w:val="10"/>
          <w:sz w:val="24"/>
          <w:szCs w:val="32"/>
          <w:vertAlign w:val="baseline"/>
          <w:lang w:val="en-US" w:eastAsia="zh-CN"/>
          <w14:textFill>
            <w14:solidFill>
              <w14:schemeClr w14:val="tx1"/>
            </w14:solidFill>
          </w14:textFill>
        </w:rPr>
        <w:t>16.45</w:t>
      </w:r>
      <w:r>
        <w:rPr>
          <w:rFonts w:hint="default" w:ascii="Times New Roman" w:hAnsi="Times New Roman" w:eastAsia="宋体" w:cs="Times New Roman"/>
          <w:color w:val="000000" w:themeColor="text1"/>
          <w:spacing w:val="10"/>
          <w:sz w:val="24"/>
          <w:szCs w:val="32"/>
          <w:vertAlign w:val="baseline"/>
          <w:lang w:val="en-US" w:eastAsia="zh-CN"/>
          <w14:textFill>
            <w14:solidFill>
              <w14:schemeClr w14:val="tx1"/>
            </w14:solidFill>
          </w14:textFill>
        </w:rPr>
        <w:t>mg/L</w:t>
      </w:r>
      <w:r>
        <w:rPr>
          <w:rFonts w:hint="eastAsia" w:ascii="Times New Roman" w:hAnsi="Times New Roman" w:eastAsia="宋体" w:cs="Times New Roman"/>
          <w:color w:val="000000" w:themeColor="text1"/>
          <w:spacing w:val="10"/>
          <w:sz w:val="24"/>
          <w:szCs w:val="32"/>
          <w:u w:val="none"/>
          <w:vertAlign w:val="baseline"/>
          <w:lang w:val="en-US" w:eastAsia="zh-CN"/>
          <w14:textFill>
            <w14:solidFill>
              <w14:schemeClr w14:val="tx1"/>
            </w14:solidFill>
          </w14:textFill>
        </w:rPr>
        <w:t>，超标</w:t>
      </w:r>
      <w:r>
        <w:rPr>
          <w:rFonts w:hint="eastAsia" w:cs="Times New Roman"/>
          <w:color w:val="000000" w:themeColor="text1"/>
          <w:spacing w:val="10"/>
          <w:sz w:val="24"/>
          <w:szCs w:val="32"/>
          <w:u w:val="none"/>
          <w:vertAlign w:val="baseline"/>
          <w:lang w:val="en-US" w:eastAsia="zh-CN"/>
          <w14:textFill>
            <w14:solidFill>
              <w14:schemeClr w14:val="tx1"/>
            </w14:solidFill>
          </w14:textFill>
        </w:rPr>
        <w:t>82.27</w:t>
      </w:r>
      <w:r>
        <w:rPr>
          <w:rFonts w:hint="eastAsia" w:ascii="Times New Roman" w:hAnsi="Times New Roman" w:eastAsia="宋体" w:cs="Times New Roman"/>
          <w:color w:val="000000" w:themeColor="text1"/>
          <w:spacing w:val="10"/>
          <w:sz w:val="24"/>
          <w:szCs w:val="32"/>
          <w:u w:val="none"/>
          <w:vertAlign w:val="baseline"/>
          <w:lang w:val="en-US" w:eastAsia="zh-CN"/>
          <w14:textFill>
            <w14:solidFill>
              <w14:schemeClr w14:val="tx1"/>
            </w14:solidFill>
          </w14:textFill>
        </w:rPr>
        <w:t>倍</w:t>
      </w:r>
      <w:r>
        <w:rPr>
          <w:rFonts w:hint="default" w:ascii="Times New Roman" w:hAnsi="Times New Roman" w:eastAsia="宋体" w:cs="Times New Roman"/>
          <w:color w:val="000000" w:themeColor="text1"/>
          <w:spacing w:val="10"/>
          <w:sz w:val="24"/>
          <w:szCs w:val="32"/>
          <w:lang w:val="en-US" w:eastAsia="zh-CN"/>
          <w14:textFill>
            <w14:solidFill>
              <w14:schemeClr w14:val="tx1"/>
            </w14:solidFill>
          </w14:textFill>
        </w:rPr>
        <w:t>。</w:t>
      </w:r>
      <w:r>
        <w:rPr>
          <w:rFonts w:hint="eastAsia" w:ascii="Times New Roman" w:hAnsi="Times New Roman" w:eastAsia="宋体" w:cs="Times New Roman"/>
          <w:color w:val="000000" w:themeColor="text1"/>
          <w:spacing w:val="10"/>
          <w:sz w:val="24"/>
          <w:szCs w:val="32"/>
          <w:lang w:val="en-US" w:eastAsia="zh-CN"/>
          <w14:textFill>
            <w14:solidFill>
              <w14:schemeClr w14:val="tx1"/>
            </w14:solidFill>
          </w14:textFill>
        </w:rPr>
        <w:t>危险化学品贮存仓库距钦州湾海域</w:t>
      </w:r>
      <w:r>
        <w:rPr>
          <w:rFonts w:hint="eastAsia" w:cs="Times New Roman"/>
          <w:color w:val="000000" w:themeColor="text1"/>
          <w:spacing w:val="10"/>
          <w:sz w:val="24"/>
          <w:szCs w:val="32"/>
          <w:lang w:val="en-US" w:eastAsia="zh-CN"/>
          <w14:textFill>
            <w14:solidFill>
              <w14:schemeClr w14:val="tx1"/>
            </w14:solidFill>
          </w14:textFill>
        </w:rPr>
        <w:t>约</w:t>
      </w:r>
      <w:r>
        <w:rPr>
          <w:rFonts w:hint="eastAsia" w:ascii="Times New Roman" w:hAnsi="Times New Roman" w:eastAsia="宋体" w:cs="Times New Roman"/>
          <w:color w:val="000000" w:themeColor="text1"/>
          <w:spacing w:val="10"/>
          <w:sz w:val="24"/>
          <w:szCs w:val="32"/>
          <w:lang w:val="en-US" w:eastAsia="zh-CN"/>
          <w14:textFill>
            <w14:solidFill>
              <w14:schemeClr w14:val="tx1"/>
            </w14:solidFill>
          </w14:textFill>
        </w:rPr>
        <w:t>25m，</w:t>
      </w:r>
      <w:r>
        <w:rPr>
          <w:rFonts w:hint="default" w:ascii="Times New Roman" w:hAnsi="Times New Roman" w:eastAsia="宋体" w:cs="Times New Roman"/>
          <w:color w:val="auto"/>
          <w:spacing w:val="10"/>
          <w:sz w:val="24"/>
          <w:szCs w:val="32"/>
          <w:lang w:val="en-US" w:eastAsia="zh-CN"/>
        </w:rPr>
        <w:t>污染物到达排泄边界。</w:t>
      </w:r>
    </w:p>
    <w:p w14:paraId="19C2B71D">
      <w:pPr>
        <w:pStyle w:val="4"/>
        <w:numPr>
          <w:ilvl w:val="3"/>
          <w:numId w:val="10"/>
        </w:numPr>
        <w:tabs>
          <w:tab w:val="left" w:pos="1358"/>
          <w:tab w:val="left" w:pos="2153"/>
        </w:tabs>
        <w:ind w:left="1358"/>
        <w:rPr>
          <w:rFonts w:hint="default" w:ascii="Times New Roman" w:hAnsi="Times New Roman" w:eastAsia="宋体" w:cs="Times New Roman"/>
          <w:b/>
          <w:color w:val="auto"/>
          <w:u w:val="none"/>
        </w:rPr>
      </w:pPr>
      <w:bookmarkStart w:id="89" w:name="_Toc27669"/>
      <w:r>
        <w:rPr>
          <w:rFonts w:hint="default" w:ascii="Times New Roman" w:hAnsi="Times New Roman" w:eastAsia="宋体" w:cs="Times New Roman"/>
          <w:b/>
          <w:color w:val="auto"/>
          <w:u w:val="none"/>
          <w:lang w:val="en-US" w:eastAsia="zh-CN"/>
        </w:rPr>
        <w:t>事故池</w:t>
      </w:r>
      <w:r>
        <w:rPr>
          <w:rFonts w:hint="default" w:ascii="Times New Roman" w:hAnsi="Times New Roman" w:eastAsia="宋体" w:cs="Times New Roman"/>
          <w:b/>
          <w:color w:val="auto"/>
          <w:u w:val="none"/>
        </w:rPr>
        <w:t>发生泄漏后（第10天）</w:t>
      </w:r>
      <w:r>
        <w:rPr>
          <w:rFonts w:hint="default" w:ascii="Times New Roman" w:hAnsi="Times New Roman" w:eastAsia="宋体" w:cs="Times New Roman"/>
          <w:b/>
          <w:color w:val="auto"/>
          <w:u w:val="none"/>
          <w:lang w:val="en-US" w:eastAsia="zh-CN"/>
        </w:rPr>
        <w:t>总磷</w:t>
      </w:r>
      <w:r>
        <w:rPr>
          <w:rFonts w:hint="default" w:ascii="Times New Roman" w:hAnsi="Times New Roman" w:eastAsia="宋体" w:cs="Times New Roman"/>
          <w:b/>
          <w:color w:val="auto"/>
          <w:u w:val="none"/>
        </w:rPr>
        <w:t>因子环境质量浓度贡献值预测结果表</w:t>
      </w:r>
      <w:bookmarkEnd w:id="89"/>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720"/>
        <w:gridCol w:w="1658"/>
        <w:gridCol w:w="1025"/>
        <w:gridCol w:w="993"/>
        <w:gridCol w:w="993"/>
        <w:gridCol w:w="993"/>
        <w:gridCol w:w="993"/>
        <w:gridCol w:w="923"/>
      </w:tblGrid>
      <w:tr w14:paraId="32FA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blHeader/>
          <w:jc w:val="center"/>
        </w:trPr>
        <w:tc>
          <w:tcPr>
            <w:tcW w:w="695" w:type="dxa"/>
            <w:vMerge w:val="restart"/>
            <w:noWrap w:val="0"/>
            <w:vAlign w:val="center"/>
          </w:tcPr>
          <w:p w14:paraId="3AACE5C6">
            <w:pPr>
              <w:widowControl/>
              <w:adjustRightInd w:val="0"/>
              <w:snapToGrid w:val="0"/>
              <w:jc w:val="center"/>
              <w:textAlignment w:val="center"/>
              <w:rPr>
                <w:rFonts w:hint="default" w:ascii="Times New Roman" w:hAnsi="Times New Roman" w:cs="Times New Roman"/>
                <w:color w:val="auto"/>
                <w:kern w:val="0"/>
              </w:rPr>
            </w:pPr>
            <w:r>
              <w:rPr>
                <w:rFonts w:hint="default" w:ascii="Times New Roman" w:hAnsi="Times New Roman" w:cs="Times New Roman"/>
                <w:color w:val="auto"/>
                <w:kern w:val="0"/>
                <w:lang w:eastAsia="zh-CN"/>
              </w:rPr>
              <w:t>泄漏</w:t>
            </w:r>
            <w:r>
              <w:rPr>
                <w:rFonts w:hint="default" w:ascii="Times New Roman" w:hAnsi="Times New Roman" w:cs="Times New Roman"/>
                <w:color w:val="auto"/>
                <w:kern w:val="0"/>
              </w:rPr>
              <w:t>量g/d</w:t>
            </w:r>
          </w:p>
        </w:tc>
        <w:tc>
          <w:tcPr>
            <w:tcW w:w="720" w:type="dxa"/>
            <w:vMerge w:val="restart"/>
            <w:noWrap w:val="0"/>
            <w:vAlign w:val="center"/>
          </w:tcPr>
          <w:p w14:paraId="33E8FF98">
            <w:pPr>
              <w:widowControl/>
              <w:adjustRightInd w:val="0"/>
              <w:snapToGrid w:val="0"/>
              <w:jc w:val="center"/>
              <w:textAlignment w:val="center"/>
              <w:rPr>
                <w:rFonts w:hint="default" w:ascii="Times New Roman" w:hAnsi="Times New Roman" w:cs="Times New Roman"/>
                <w:color w:val="auto"/>
                <w:kern w:val="0"/>
              </w:rPr>
            </w:pPr>
            <w:r>
              <w:rPr>
                <w:rFonts w:hint="default" w:ascii="Times New Roman" w:hAnsi="Times New Roman" w:cs="Times New Roman"/>
                <w:color w:val="auto"/>
                <w:kern w:val="0"/>
              </w:rPr>
              <w:t>预测因子</w:t>
            </w:r>
          </w:p>
        </w:tc>
        <w:tc>
          <w:tcPr>
            <w:tcW w:w="1658" w:type="dxa"/>
            <w:vMerge w:val="restart"/>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67A04D1">
            <w:pPr>
              <w:pStyle w:val="18"/>
              <w:snapToGrid w:val="0"/>
              <w:ind w:left="0" w:leftChars="0" w:firstLine="0" w:firstLineChars="0"/>
              <mc:AlternateContent>
                <mc:Choice Requires="wpsCustomData">
                  <wpsCustomData:diagonalParaType/>
                </mc:Choice>
              </mc:AlternateContent>
              <w:rPr>
                <w:rFonts w:hint="default" w:ascii="Times New Roman" w:hAnsi="Times New Roman" w:cs="Times New Roman"/>
                <w:color w:val="auto"/>
              </w:rPr>
            </w:pPr>
            <w:r>
              <w:rPr>
                <w:rFonts w:hint="default" w:ascii="Times New Roman" w:hAnsi="Times New Roman" w:eastAsia="宋体" w:cs="Times New Roman"/>
                <w:snapToGrid/>
                <w:color w:val="auto"/>
                <w:kern w:val="0"/>
                <w:sz w:val="21"/>
                <w:szCs w:val="24"/>
                <w:lang w:val="en-US" w:eastAsia="zh-CN" w:bidi="ar-SA"/>
              </w:rPr>
              <w:t>X轴坐标（m）</w:t>
            </w:r>
          </w:p>
          <w:p w14:paraId="51DCEB55">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eastAsia="宋体" w:cs="Times New Roman"/>
                <w:snapToGrid/>
                <w:color w:val="auto"/>
                <w:kern w:val="0"/>
                <w:sz w:val="21"/>
                <w:szCs w:val="24"/>
                <w:lang w:val="en-US" w:eastAsia="zh-CN" w:bidi="ar-SA"/>
              </w:rPr>
              <w:t>浓度（mg/L）</w:t>
            </w:r>
          </w:p>
        </w:tc>
        <w:tc>
          <w:tcPr>
            <w:tcW w:w="5920" w:type="dxa"/>
            <w:gridSpan w:val="6"/>
            <w:noWrap w:val="0"/>
            <w:vAlign w:val="center"/>
          </w:tcPr>
          <w:p w14:paraId="2F202F0F">
            <w:pPr>
              <w:widowControl/>
              <w:adjustRightInd w:val="0"/>
              <w:snapToGrid w:val="0"/>
              <w:jc w:val="center"/>
              <w:textAlignment w:val="center"/>
              <w:rPr>
                <w:rFonts w:hint="default" w:ascii="Times New Roman" w:hAnsi="Times New Roman" w:cs="Times New Roman"/>
                <w:color w:val="auto"/>
                <w:kern w:val="0"/>
              </w:rPr>
            </w:pPr>
            <w:r>
              <w:rPr>
                <w:rFonts w:hint="default" w:ascii="Times New Roman" w:hAnsi="Times New Roman" w:cs="Times New Roman"/>
                <w:color w:val="auto"/>
                <w:kern w:val="0"/>
              </w:rPr>
              <w:t>Y轴</w:t>
            </w:r>
          </w:p>
        </w:tc>
      </w:tr>
      <w:tr w14:paraId="021F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5" w:type="dxa"/>
            <w:vMerge w:val="continue"/>
            <w:noWrap w:val="0"/>
            <w:vAlign w:val="center"/>
          </w:tcPr>
          <w:p w14:paraId="477004F4">
            <w:pPr>
              <w:widowControl/>
              <w:adjustRightInd w:val="0"/>
              <w:snapToGrid w:val="0"/>
              <w:jc w:val="center"/>
              <w:textAlignment w:val="center"/>
              <w:rPr>
                <w:rFonts w:hint="default" w:ascii="Times New Roman" w:hAnsi="Times New Roman" w:cs="Times New Roman"/>
                <w:color w:val="auto"/>
                <w:kern w:val="0"/>
              </w:rPr>
            </w:pPr>
          </w:p>
        </w:tc>
        <w:tc>
          <w:tcPr>
            <w:tcW w:w="720" w:type="dxa"/>
            <w:vMerge w:val="continue"/>
            <w:noWrap w:val="0"/>
            <w:vAlign w:val="center"/>
          </w:tcPr>
          <w:p w14:paraId="3CE75F54">
            <w:pPr>
              <w:widowControl/>
              <w:adjustRightInd w:val="0"/>
              <w:snapToGrid w:val="0"/>
              <w:jc w:val="center"/>
              <w:textAlignment w:val="center"/>
              <w:rPr>
                <w:rFonts w:hint="default" w:ascii="Times New Roman" w:hAnsi="Times New Roman" w:cs="Times New Roman"/>
                <w:color w:val="auto"/>
                <w:kern w:val="0"/>
              </w:rPr>
            </w:pPr>
          </w:p>
        </w:tc>
        <w:tc>
          <w:tcPr>
            <w:tcW w:w="1658" w:type="dxa"/>
            <w:vMerge w:val="continue"/>
            <w:noWrap w:val="0"/>
            <w:vAlign w:val="center"/>
          </w:tcPr>
          <w:p w14:paraId="225C19F6">
            <w:pPr>
              <w:widowControl/>
              <w:adjustRightInd w:val="0"/>
              <w:snapToGrid w:val="0"/>
              <w:jc w:val="center"/>
              <w:textAlignment w:val="center"/>
              <w:rPr>
                <w:rFonts w:hint="default" w:ascii="Times New Roman" w:hAnsi="Times New Roman" w:cs="Times New Roman"/>
                <w:color w:val="auto"/>
                <w:kern w:val="0"/>
              </w:rPr>
            </w:pPr>
          </w:p>
        </w:tc>
        <w:tc>
          <w:tcPr>
            <w:tcW w:w="1025" w:type="dxa"/>
            <w:noWrap w:val="0"/>
            <w:vAlign w:val="center"/>
          </w:tcPr>
          <w:p w14:paraId="783B4301">
            <w:pPr>
              <w:widowControl/>
              <w:adjustRightInd w:val="0"/>
              <w:snapToGrid w:val="0"/>
              <w:jc w:val="center"/>
              <w:textAlignment w:val="center"/>
              <w:rPr>
                <w:rFonts w:hint="default" w:ascii="Times New Roman" w:hAnsi="Times New Roman" w:cs="Times New Roman"/>
                <w:color w:val="auto"/>
                <w:kern w:val="0"/>
              </w:rPr>
            </w:pPr>
            <w:r>
              <w:rPr>
                <w:rFonts w:hint="default" w:ascii="Times New Roman" w:hAnsi="Times New Roman" w:cs="Times New Roman"/>
                <w:color w:val="auto"/>
                <w:kern w:val="0"/>
              </w:rPr>
              <w:t>0</w:t>
            </w:r>
          </w:p>
        </w:tc>
        <w:tc>
          <w:tcPr>
            <w:tcW w:w="993" w:type="dxa"/>
            <w:noWrap w:val="0"/>
            <w:vAlign w:val="center"/>
          </w:tcPr>
          <w:p w14:paraId="7BDC0572">
            <w:pPr>
              <w:widowControl/>
              <w:adjustRightInd w:val="0"/>
              <w:snapToGrid w:val="0"/>
              <w:jc w:val="center"/>
              <w:textAlignment w:val="center"/>
              <w:rPr>
                <w:rFonts w:hint="eastAsia" w:ascii="Times New Roman" w:hAnsi="Times New Roman" w:eastAsia="宋体" w:cs="Times New Roman"/>
                <w:color w:val="auto"/>
                <w:kern w:val="0"/>
                <w:lang w:eastAsia="zh-CN"/>
              </w:rPr>
            </w:pPr>
            <w:r>
              <w:rPr>
                <w:rFonts w:hint="eastAsia" w:cs="Times New Roman"/>
                <w:color w:val="auto"/>
                <w:kern w:val="0"/>
                <w:lang w:val="en-US" w:eastAsia="zh-CN"/>
              </w:rPr>
              <w:t>5</w:t>
            </w:r>
          </w:p>
        </w:tc>
        <w:tc>
          <w:tcPr>
            <w:tcW w:w="993" w:type="dxa"/>
            <w:noWrap w:val="0"/>
            <w:vAlign w:val="center"/>
          </w:tcPr>
          <w:p w14:paraId="40EB47BC">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10</w:t>
            </w:r>
          </w:p>
        </w:tc>
        <w:tc>
          <w:tcPr>
            <w:tcW w:w="993" w:type="dxa"/>
            <w:noWrap w:val="0"/>
            <w:vAlign w:val="center"/>
          </w:tcPr>
          <w:p w14:paraId="67C2EC57">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15</w:t>
            </w:r>
          </w:p>
        </w:tc>
        <w:tc>
          <w:tcPr>
            <w:tcW w:w="993" w:type="dxa"/>
            <w:noWrap w:val="0"/>
            <w:vAlign w:val="center"/>
          </w:tcPr>
          <w:p w14:paraId="65792973">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20</w:t>
            </w:r>
          </w:p>
        </w:tc>
        <w:tc>
          <w:tcPr>
            <w:tcW w:w="923" w:type="dxa"/>
            <w:noWrap w:val="0"/>
            <w:vAlign w:val="center"/>
          </w:tcPr>
          <w:p w14:paraId="2D89561C">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25</w:t>
            </w:r>
          </w:p>
        </w:tc>
      </w:tr>
      <w:tr w14:paraId="2D77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95" w:type="dxa"/>
            <w:vMerge w:val="restart"/>
            <w:noWrap w:val="0"/>
            <w:vAlign w:val="center"/>
          </w:tcPr>
          <w:p w14:paraId="5EEB8FAF">
            <w:pPr>
              <w:widowControl/>
              <w:adjustRightInd w:val="0"/>
              <w:snapToGrid w:val="0"/>
              <w:jc w:val="center"/>
              <w:textAlignment w:val="center"/>
              <w:rPr>
                <w:rFonts w:hint="default" w:ascii="Times New Roman" w:hAnsi="Times New Roman" w:eastAsia="宋体" w:cs="Times New Roman"/>
                <w:color w:val="auto"/>
                <w:kern w:val="0"/>
                <w:u w:val="none"/>
                <w:lang w:val="en-US" w:eastAsia="zh-CN"/>
              </w:rPr>
            </w:pPr>
            <w:r>
              <w:rPr>
                <w:rFonts w:hint="eastAsia" w:ascii="Times New Roman" w:hAnsi="Times New Roman" w:cs="Times New Roman"/>
                <w:color w:val="auto"/>
                <w:u w:val="none"/>
                <w:lang w:val="en-US" w:eastAsia="zh-CN"/>
              </w:rPr>
              <w:t>34000</w:t>
            </w:r>
          </w:p>
        </w:tc>
        <w:tc>
          <w:tcPr>
            <w:tcW w:w="720" w:type="dxa"/>
            <w:vMerge w:val="restart"/>
            <w:noWrap w:val="0"/>
            <w:vAlign w:val="center"/>
          </w:tcPr>
          <w:p w14:paraId="18EE1430">
            <w:pPr>
              <w:widowControl/>
              <w:adjustRightInd w:val="0"/>
              <w:snapToGrid w:val="0"/>
              <w:jc w:val="center"/>
              <w:textAlignment w:val="center"/>
              <w:rPr>
                <w:rFonts w:hint="default" w:ascii="Times New Roman" w:hAnsi="Times New Roman" w:eastAsia="宋体" w:cs="Times New Roman"/>
                <w:color w:val="auto"/>
                <w:kern w:val="0"/>
                <w:u w:val="none"/>
                <w:lang w:eastAsia="zh-CN"/>
              </w:rPr>
            </w:pPr>
            <w:r>
              <w:rPr>
                <w:rFonts w:hint="default" w:ascii="Times New Roman" w:hAnsi="Times New Roman" w:cs="Times New Roman"/>
                <w:color w:val="auto"/>
                <w:kern w:val="0"/>
                <w:u w:val="none"/>
                <w:lang w:val="en-US" w:eastAsia="zh-CN"/>
              </w:rPr>
              <w:t>总磷</w:t>
            </w:r>
          </w:p>
        </w:tc>
        <w:tc>
          <w:tcPr>
            <w:tcW w:w="1658" w:type="dxa"/>
            <w:noWrap w:val="0"/>
            <w:vAlign w:val="center"/>
          </w:tcPr>
          <w:p w14:paraId="3B9D6946">
            <w:pPr>
              <w:widowControl/>
              <w:adjustRightInd w:val="0"/>
              <w:snapToGrid w:val="0"/>
              <w:jc w:val="center"/>
              <w:textAlignment w:val="center"/>
              <w:rPr>
                <w:rFonts w:hint="default" w:ascii="Times New Roman" w:hAnsi="Times New Roman" w:cs="Times New Roman"/>
                <w:color w:val="auto"/>
                <w:kern w:val="0"/>
              </w:rPr>
            </w:pPr>
            <w:r>
              <w:rPr>
                <w:rFonts w:hint="default" w:ascii="Times New Roman" w:hAnsi="Times New Roman" w:cs="Times New Roman"/>
                <w:color w:val="auto"/>
                <w:kern w:val="0"/>
              </w:rPr>
              <w:t>0</w:t>
            </w:r>
          </w:p>
        </w:tc>
        <w:tc>
          <w:tcPr>
            <w:tcW w:w="1025" w:type="dxa"/>
            <w:noWrap w:val="0"/>
            <w:vAlign w:val="center"/>
          </w:tcPr>
          <w:p w14:paraId="580FB2D6">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1.52E+03</w:t>
            </w:r>
          </w:p>
        </w:tc>
        <w:tc>
          <w:tcPr>
            <w:tcW w:w="993" w:type="dxa"/>
            <w:noWrap w:val="0"/>
            <w:vAlign w:val="center"/>
          </w:tcPr>
          <w:p w14:paraId="5CFC6FEE">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8.96E-07</w:t>
            </w:r>
          </w:p>
        </w:tc>
        <w:tc>
          <w:tcPr>
            <w:tcW w:w="993" w:type="dxa"/>
            <w:noWrap w:val="0"/>
            <w:vAlign w:val="center"/>
          </w:tcPr>
          <w:p w14:paraId="67675049">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787A5F58">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1E733ADF">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23" w:type="dxa"/>
            <w:noWrap w:val="0"/>
            <w:vAlign w:val="center"/>
          </w:tcPr>
          <w:p w14:paraId="26CA4D05">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r>
      <w:tr w14:paraId="6107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95" w:type="dxa"/>
            <w:vMerge w:val="continue"/>
            <w:noWrap w:val="0"/>
            <w:vAlign w:val="center"/>
          </w:tcPr>
          <w:p w14:paraId="4CBCBCCD">
            <w:pPr>
              <w:widowControl/>
              <w:adjustRightInd w:val="0"/>
              <w:snapToGrid w:val="0"/>
              <w:jc w:val="center"/>
              <w:textAlignment w:val="center"/>
              <w:rPr>
                <w:rFonts w:hint="default" w:ascii="Times New Roman" w:hAnsi="Times New Roman" w:cs="Times New Roman"/>
                <w:color w:val="auto"/>
                <w:kern w:val="0"/>
              </w:rPr>
            </w:pPr>
          </w:p>
        </w:tc>
        <w:tc>
          <w:tcPr>
            <w:tcW w:w="720" w:type="dxa"/>
            <w:vMerge w:val="continue"/>
            <w:noWrap w:val="0"/>
            <w:vAlign w:val="center"/>
          </w:tcPr>
          <w:p w14:paraId="07222333">
            <w:pPr>
              <w:widowControl/>
              <w:adjustRightInd w:val="0"/>
              <w:snapToGrid w:val="0"/>
              <w:jc w:val="center"/>
              <w:textAlignment w:val="center"/>
              <w:rPr>
                <w:rFonts w:hint="default" w:ascii="Times New Roman" w:hAnsi="Times New Roman" w:cs="Times New Roman"/>
                <w:color w:val="auto"/>
                <w:kern w:val="0"/>
              </w:rPr>
            </w:pPr>
          </w:p>
        </w:tc>
        <w:tc>
          <w:tcPr>
            <w:tcW w:w="1658" w:type="dxa"/>
            <w:noWrap w:val="0"/>
            <w:vAlign w:val="center"/>
          </w:tcPr>
          <w:p w14:paraId="486155D4">
            <w:pPr>
              <w:widowControl/>
              <w:adjustRightInd w:val="0"/>
              <w:snapToGrid w:val="0"/>
              <w:jc w:val="center"/>
              <w:textAlignment w:val="center"/>
              <w:rPr>
                <w:rFonts w:hint="eastAsia" w:ascii="Times New Roman" w:hAnsi="Times New Roman" w:eastAsia="宋体" w:cs="Times New Roman"/>
                <w:color w:val="auto"/>
                <w:kern w:val="0"/>
                <w:lang w:eastAsia="zh-CN"/>
              </w:rPr>
            </w:pPr>
            <w:r>
              <w:rPr>
                <w:rFonts w:hint="eastAsia" w:cs="Times New Roman"/>
                <w:color w:val="auto"/>
                <w:kern w:val="0"/>
                <w:lang w:val="en-US" w:eastAsia="zh-CN"/>
              </w:rPr>
              <w:t>5</w:t>
            </w:r>
          </w:p>
        </w:tc>
        <w:tc>
          <w:tcPr>
            <w:tcW w:w="1025" w:type="dxa"/>
            <w:noWrap w:val="0"/>
            <w:vAlign w:val="center"/>
          </w:tcPr>
          <w:p w14:paraId="0DA7CAA1">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1.36E-06</w:t>
            </w:r>
          </w:p>
        </w:tc>
        <w:tc>
          <w:tcPr>
            <w:tcW w:w="993" w:type="dxa"/>
            <w:noWrap w:val="0"/>
            <w:vAlign w:val="center"/>
          </w:tcPr>
          <w:p w14:paraId="12AA718B">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8.03E-16</w:t>
            </w:r>
          </w:p>
        </w:tc>
        <w:tc>
          <w:tcPr>
            <w:tcW w:w="993" w:type="dxa"/>
            <w:noWrap w:val="0"/>
            <w:vAlign w:val="center"/>
          </w:tcPr>
          <w:p w14:paraId="1CDBDE33">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62323B24">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4ED988C8">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23" w:type="dxa"/>
            <w:noWrap w:val="0"/>
            <w:vAlign w:val="center"/>
          </w:tcPr>
          <w:p w14:paraId="7A259810">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r>
      <w:tr w14:paraId="1CF6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95" w:type="dxa"/>
            <w:vMerge w:val="continue"/>
            <w:noWrap w:val="0"/>
            <w:vAlign w:val="center"/>
          </w:tcPr>
          <w:p w14:paraId="23DD8029">
            <w:pPr>
              <w:widowControl/>
              <w:adjustRightInd w:val="0"/>
              <w:snapToGrid w:val="0"/>
              <w:jc w:val="center"/>
              <w:textAlignment w:val="center"/>
              <w:rPr>
                <w:rFonts w:hint="default" w:ascii="Times New Roman" w:hAnsi="Times New Roman" w:cs="Times New Roman"/>
                <w:color w:val="auto"/>
                <w:kern w:val="0"/>
              </w:rPr>
            </w:pPr>
          </w:p>
        </w:tc>
        <w:tc>
          <w:tcPr>
            <w:tcW w:w="720" w:type="dxa"/>
            <w:vMerge w:val="continue"/>
            <w:noWrap w:val="0"/>
            <w:vAlign w:val="center"/>
          </w:tcPr>
          <w:p w14:paraId="1A90DD38">
            <w:pPr>
              <w:widowControl/>
              <w:adjustRightInd w:val="0"/>
              <w:snapToGrid w:val="0"/>
              <w:jc w:val="center"/>
              <w:textAlignment w:val="center"/>
              <w:rPr>
                <w:rFonts w:hint="default" w:ascii="Times New Roman" w:hAnsi="Times New Roman" w:cs="Times New Roman"/>
                <w:color w:val="auto"/>
                <w:kern w:val="0"/>
              </w:rPr>
            </w:pPr>
          </w:p>
        </w:tc>
        <w:tc>
          <w:tcPr>
            <w:tcW w:w="1658" w:type="dxa"/>
            <w:noWrap w:val="0"/>
            <w:vAlign w:val="center"/>
          </w:tcPr>
          <w:p w14:paraId="3D7D7122">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10</w:t>
            </w:r>
          </w:p>
        </w:tc>
        <w:tc>
          <w:tcPr>
            <w:tcW w:w="1025" w:type="dxa"/>
            <w:noWrap w:val="0"/>
            <w:vAlign w:val="center"/>
          </w:tcPr>
          <w:p w14:paraId="5689173A">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0FF48351">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3DB11362">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3B36AC7A">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65FA5737">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23" w:type="dxa"/>
            <w:noWrap w:val="0"/>
            <w:vAlign w:val="center"/>
          </w:tcPr>
          <w:p w14:paraId="513614AF">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r>
      <w:tr w14:paraId="391A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95" w:type="dxa"/>
            <w:vMerge w:val="continue"/>
            <w:noWrap w:val="0"/>
            <w:vAlign w:val="center"/>
          </w:tcPr>
          <w:p w14:paraId="15B65447">
            <w:pPr>
              <w:widowControl/>
              <w:adjustRightInd w:val="0"/>
              <w:snapToGrid w:val="0"/>
              <w:jc w:val="center"/>
              <w:textAlignment w:val="center"/>
              <w:rPr>
                <w:rFonts w:hint="default" w:ascii="Times New Roman" w:hAnsi="Times New Roman" w:cs="Times New Roman"/>
                <w:color w:val="auto"/>
                <w:kern w:val="0"/>
              </w:rPr>
            </w:pPr>
          </w:p>
        </w:tc>
        <w:tc>
          <w:tcPr>
            <w:tcW w:w="720" w:type="dxa"/>
            <w:vMerge w:val="continue"/>
            <w:noWrap w:val="0"/>
            <w:vAlign w:val="center"/>
          </w:tcPr>
          <w:p w14:paraId="67D15640">
            <w:pPr>
              <w:widowControl/>
              <w:adjustRightInd w:val="0"/>
              <w:snapToGrid w:val="0"/>
              <w:jc w:val="center"/>
              <w:textAlignment w:val="center"/>
              <w:rPr>
                <w:rFonts w:hint="default" w:ascii="Times New Roman" w:hAnsi="Times New Roman" w:cs="Times New Roman"/>
                <w:color w:val="auto"/>
                <w:kern w:val="0"/>
              </w:rPr>
            </w:pPr>
          </w:p>
        </w:tc>
        <w:tc>
          <w:tcPr>
            <w:tcW w:w="1658" w:type="dxa"/>
            <w:noWrap w:val="0"/>
            <w:vAlign w:val="center"/>
          </w:tcPr>
          <w:p w14:paraId="40A379CA">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15</w:t>
            </w:r>
          </w:p>
        </w:tc>
        <w:tc>
          <w:tcPr>
            <w:tcW w:w="1025" w:type="dxa"/>
            <w:noWrap w:val="0"/>
            <w:vAlign w:val="center"/>
          </w:tcPr>
          <w:p w14:paraId="572E7C8C">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633138CA">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2E8AFD93">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3113BE27">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678E4594">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23" w:type="dxa"/>
            <w:noWrap w:val="0"/>
            <w:vAlign w:val="center"/>
          </w:tcPr>
          <w:p w14:paraId="243854D5">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r>
      <w:tr w14:paraId="4E14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95" w:type="dxa"/>
            <w:vMerge w:val="continue"/>
            <w:noWrap w:val="0"/>
            <w:vAlign w:val="center"/>
          </w:tcPr>
          <w:p w14:paraId="407E69C2">
            <w:pPr>
              <w:widowControl/>
              <w:adjustRightInd w:val="0"/>
              <w:snapToGrid w:val="0"/>
              <w:jc w:val="center"/>
              <w:textAlignment w:val="center"/>
              <w:rPr>
                <w:rFonts w:hint="default" w:ascii="Times New Roman" w:hAnsi="Times New Roman" w:cs="Times New Roman"/>
                <w:color w:val="auto"/>
                <w:kern w:val="0"/>
              </w:rPr>
            </w:pPr>
          </w:p>
        </w:tc>
        <w:tc>
          <w:tcPr>
            <w:tcW w:w="720" w:type="dxa"/>
            <w:vMerge w:val="continue"/>
            <w:noWrap w:val="0"/>
            <w:vAlign w:val="center"/>
          </w:tcPr>
          <w:p w14:paraId="6118D44F">
            <w:pPr>
              <w:widowControl/>
              <w:adjustRightInd w:val="0"/>
              <w:snapToGrid w:val="0"/>
              <w:jc w:val="center"/>
              <w:textAlignment w:val="center"/>
              <w:rPr>
                <w:rFonts w:hint="default" w:ascii="Times New Roman" w:hAnsi="Times New Roman" w:cs="Times New Roman"/>
                <w:color w:val="auto"/>
                <w:kern w:val="0"/>
              </w:rPr>
            </w:pPr>
          </w:p>
        </w:tc>
        <w:tc>
          <w:tcPr>
            <w:tcW w:w="1658" w:type="dxa"/>
            <w:noWrap w:val="0"/>
            <w:vAlign w:val="center"/>
          </w:tcPr>
          <w:p w14:paraId="75C0B92E">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20</w:t>
            </w:r>
          </w:p>
        </w:tc>
        <w:tc>
          <w:tcPr>
            <w:tcW w:w="1025" w:type="dxa"/>
            <w:noWrap w:val="0"/>
            <w:vAlign w:val="center"/>
          </w:tcPr>
          <w:p w14:paraId="193EDF4D">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500D1FC2">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454C4FE8">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53BE5AE4">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2CE00E71">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23" w:type="dxa"/>
            <w:noWrap w:val="0"/>
            <w:vAlign w:val="center"/>
          </w:tcPr>
          <w:p w14:paraId="2E6FFE63">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r>
      <w:tr w14:paraId="5353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95" w:type="dxa"/>
            <w:vMerge w:val="continue"/>
            <w:noWrap w:val="0"/>
            <w:vAlign w:val="center"/>
          </w:tcPr>
          <w:p w14:paraId="0C670BF2">
            <w:pPr>
              <w:widowControl/>
              <w:adjustRightInd w:val="0"/>
              <w:snapToGrid w:val="0"/>
              <w:jc w:val="center"/>
              <w:textAlignment w:val="center"/>
              <w:rPr>
                <w:rFonts w:hint="default" w:ascii="Times New Roman" w:hAnsi="Times New Roman" w:cs="Times New Roman"/>
                <w:color w:val="auto"/>
                <w:kern w:val="0"/>
              </w:rPr>
            </w:pPr>
          </w:p>
        </w:tc>
        <w:tc>
          <w:tcPr>
            <w:tcW w:w="720" w:type="dxa"/>
            <w:vMerge w:val="continue"/>
            <w:noWrap w:val="0"/>
            <w:vAlign w:val="center"/>
          </w:tcPr>
          <w:p w14:paraId="6AEFD0DB">
            <w:pPr>
              <w:widowControl/>
              <w:adjustRightInd w:val="0"/>
              <w:snapToGrid w:val="0"/>
              <w:jc w:val="center"/>
              <w:textAlignment w:val="center"/>
              <w:rPr>
                <w:rFonts w:hint="default" w:ascii="Times New Roman" w:hAnsi="Times New Roman" w:cs="Times New Roman"/>
                <w:color w:val="auto"/>
                <w:kern w:val="0"/>
              </w:rPr>
            </w:pPr>
          </w:p>
        </w:tc>
        <w:tc>
          <w:tcPr>
            <w:tcW w:w="1658" w:type="dxa"/>
            <w:noWrap w:val="0"/>
            <w:vAlign w:val="center"/>
          </w:tcPr>
          <w:p w14:paraId="6820B1EA">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25</w:t>
            </w:r>
          </w:p>
        </w:tc>
        <w:tc>
          <w:tcPr>
            <w:tcW w:w="1025" w:type="dxa"/>
            <w:noWrap w:val="0"/>
            <w:vAlign w:val="center"/>
          </w:tcPr>
          <w:p w14:paraId="3265B7D8">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6D66BA7D">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0ABA2A7E">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59A920BE">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93" w:type="dxa"/>
            <w:noWrap w:val="0"/>
            <w:vAlign w:val="center"/>
          </w:tcPr>
          <w:p w14:paraId="19629309">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c>
          <w:tcPr>
            <w:tcW w:w="923" w:type="dxa"/>
            <w:noWrap w:val="0"/>
            <w:vAlign w:val="center"/>
          </w:tcPr>
          <w:p w14:paraId="2166F15A">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0.00E+00</w:t>
            </w:r>
          </w:p>
        </w:tc>
      </w:tr>
    </w:tbl>
    <w:p w14:paraId="62AF657E">
      <w:pPr>
        <w:pStyle w:val="4"/>
        <w:numPr>
          <w:ilvl w:val="3"/>
          <w:numId w:val="10"/>
        </w:numPr>
        <w:tabs>
          <w:tab w:val="left" w:pos="1358"/>
          <w:tab w:val="left" w:pos="2153"/>
        </w:tabs>
        <w:ind w:left="1358"/>
        <w:rPr>
          <w:rFonts w:hint="default" w:ascii="Times New Roman" w:hAnsi="Times New Roman" w:eastAsia="宋体" w:cs="Times New Roman"/>
          <w:b/>
          <w:color w:val="auto"/>
          <w:u w:val="none"/>
          <w:lang w:val="en-US" w:eastAsia="zh-CN"/>
        </w:rPr>
      </w:pPr>
      <w:bookmarkStart w:id="90" w:name="_Toc15794"/>
      <w:r>
        <w:rPr>
          <w:rFonts w:hint="default" w:ascii="Times New Roman" w:hAnsi="Times New Roman" w:eastAsia="宋体" w:cs="Times New Roman"/>
          <w:b/>
          <w:color w:val="auto"/>
          <w:u w:val="none"/>
          <w:lang w:val="en-US" w:eastAsia="zh-CN"/>
        </w:rPr>
        <w:t>事故池发生泄漏后（第100天）总磷因子环境质量浓度贡献值预测结果表</w:t>
      </w:r>
      <w:bookmarkEnd w:id="90"/>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661"/>
        <w:gridCol w:w="1575"/>
        <w:gridCol w:w="1049"/>
        <w:gridCol w:w="1065"/>
        <w:gridCol w:w="1004"/>
        <w:gridCol w:w="1020"/>
        <w:gridCol w:w="1020"/>
        <w:gridCol w:w="933"/>
      </w:tblGrid>
      <w:tr w14:paraId="1BEE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666" w:type="dxa"/>
            <w:vMerge w:val="restart"/>
            <w:noWrap w:val="0"/>
            <w:vAlign w:val="center"/>
          </w:tcPr>
          <w:p w14:paraId="738C7BD1">
            <w:pPr>
              <w:widowControl/>
              <w:adjustRightInd w:val="0"/>
              <w:snapToGrid w:val="0"/>
              <w:jc w:val="center"/>
              <w:textAlignment w:val="center"/>
              <w:rPr>
                <w:rFonts w:hint="default" w:ascii="Times New Roman" w:hAnsi="Times New Roman" w:cs="Times New Roman"/>
                <w:color w:val="auto"/>
                <w:kern w:val="0"/>
              </w:rPr>
            </w:pPr>
            <w:r>
              <w:rPr>
                <w:rFonts w:hint="default" w:ascii="Times New Roman" w:hAnsi="Times New Roman" w:cs="Times New Roman"/>
                <w:color w:val="auto"/>
                <w:kern w:val="0"/>
                <w:lang w:eastAsia="zh-CN"/>
              </w:rPr>
              <w:t>泄漏</w:t>
            </w:r>
            <w:r>
              <w:rPr>
                <w:rFonts w:hint="default" w:ascii="Times New Roman" w:hAnsi="Times New Roman" w:cs="Times New Roman"/>
                <w:color w:val="auto"/>
                <w:kern w:val="0"/>
              </w:rPr>
              <w:t>量g/d</w:t>
            </w:r>
          </w:p>
        </w:tc>
        <w:tc>
          <w:tcPr>
            <w:tcW w:w="661" w:type="dxa"/>
            <w:vMerge w:val="restart"/>
            <w:noWrap w:val="0"/>
            <w:vAlign w:val="center"/>
          </w:tcPr>
          <w:p w14:paraId="56304B54">
            <w:pPr>
              <w:widowControl/>
              <w:adjustRightInd w:val="0"/>
              <w:snapToGrid w:val="0"/>
              <w:jc w:val="center"/>
              <w:textAlignment w:val="center"/>
              <w:rPr>
                <w:rFonts w:hint="default" w:ascii="Times New Roman" w:hAnsi="Times New Roman" w:cs="Times New Roman"/>
                <w:color w:val="auto"/>
                <w:kern w:val="0"/>
              </w:rPr>
            </w:pPr>
            <w:r>
              <w:rPr>
                <w:rFonts w:hint="default" w:ascii="Times New Roman" w:hAnsi="Times New Roman" w:cs="Times New Roman"/>
                <w:color w:val="auto"/>
                <w:kern w:val="0"/>
              </w:rPr>
              <w:t>预测因子</w:t>
            </w:r>
          </w:p>
        </w:tc>
        <w:tc>
          <w:tcPr>
            <w:tcW w:w="1575" w:type="dxa"/>
            <w:vMerge w:val="restart"/>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219E5DBE">
            <w:pPr>
              <w:pStyle w:val="18"/>
              <w:snapToGrid w:val="0"/>
              <w:ind w:left="0" w:leftChars="0" w:firstLine="0" w:firstLineChars="0"/>
              <mc:AlternateContent>
                <mc:Choice Requires="wpsCustomData">
                  <wpsCustomData:diagonalParaType/>
                </mc:Choice>
              </mc:AlternateContent>
              <w:rPr>
                <w:rFonts w:hint="default" w:ascii="Times New Roman" w:hAnsi="Times New Roman" w:cs="Times New Roman"/>
                <w:color w:val="auto"/>
              </w:rPr>
            </w:pPr>
            <w:r>
              <w:rPr>
                <w:rFonts w:hint="default" w:ascii="Times New Roman" w:hAnsi="Times New Roman" w:eastAsia="宋体" w:cs="Times New Roman"/>
                <w:snapToGrid/>
                <w:color w:val="auto"/>
                <w:kern w:val="0"/>
                <w:sz w:val="21"/>
                <w:szCs w:val="24"/>
                <w:lang w:val="en-US" w:eastAsia="zh-CN" w:bidi="ar-SA"/>
              </w:rPr>
              <w:t>X轴坐标（m）</w:t>
            </w:r>
          </w:p>
          <w:p w14:paraId="05961AC5">
            <w:pPr>
              <w:pStyle w:val="18"/>
              <w:snapToGrid w:val="0"/>
              <w:ind w:left="0" w:leftChars="0" w:firstLine="0" w:firstLineChars="0"/>
              <w:rPr>
                <w:rFonts w:hint="default" w:ascii="Times New Roman" w:hAnsi="Times New Roman" w:cs="Times New Roman"/>
                <w:color w:val="auto"/>
              </w:rPr>
            </w:pPr>
            <w:r>
              <w:rPr>
                <w:rFonts w:hint="default" w:ascii="Times New Roman" w:hAnsi="Times New Roman" w:eastAsia="宋体" w:cs="Times New Roman"/>
                <w:snapToGrid/>
                <w:color w:val="auto"/>
                <w:kern w:val="0"/>
                <w:sz w:val="21"/>
                <w:szCs w:val="24"/>
                <w:lang w:val="en-US" w:eastAsia="zh-CN" w:bidi="ar-SA"/>
              </w:rPr>
              <w:t>浓度（mg/L）</w:t>
            </w:r>
          </w:p>
        </w:tc>
        <w:tc>
          <w:tcPr>
            <w:tcW w:w="6091" w:type="dxa"/>
            <w:gridSpan w:val="6"/>
            <w:noWrap w:val="0"/>
            <w:vAlign w:val="center"/>
          </w:tcPr>
          <w:p w14:paraId="67043FB4">
            <w:pPr>
              <w:widowControl/>
              <w:adjustRightInd w:val="0"/>
              <w:snapToGrid w:val="0"/>
              <w:jc w:val="center"/>
              <w:textAlignment w:val="center"/>
              <w:rPr>
                <w:rFonts w:hint="default" w:ascii="Times New Roman" w:hAnsi="Times New Roman" w:cs="Times New Roman"/>
                <w:color w:val="auto"/>
                <w:kern w:val="0"/>
              </w:rPr>
            </w:pPr>
            <w:r>
              <w:rPr>
                <w:rFonts w:hint="default" w:ascii="Times New Roman" w:hAnsi="Times New Roman" w:cs="Times New Roman"/>
                <w:color w:val="auto"/>
                <w:kern w:val="0"/>
              </w:rPr>
              <w:t>Y轴</w:t>
            </w:r>
          </w:p>
        </w:tc>
      </w:tr>
      <w:tr w14:paraId="423C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66" w:type="dxa"/>
            <w:vMerge w:val="continue"/>
            <w:noWrap w:val="0"/>
            <w:vAlign w:val="center"/>
          </w:tcPr>
          <w:p w14:paraId="39344684">
            <w:pPr>
              <w:widowControl/>
              <w:adjustRightInd w:val="0"/>
              <w:snapToGrid w:val="0"/>
              <w:jc w:val="center"/>
              <w:textAlignment w:val="center"/>
              <w:rPr>
                <w:rFonts w:hint="default" w:ascii="Times New Roman" w:hAnsi="Times New Roman" w:cs="Times New Roman"/>
                <w:color w:val="auto"/>
                <w:kern w:val="0"/>
              </w:rPr>
            </w:pPr>
          </w:p>
        </w:tc>
        <w:tc>
          <w:tcPr>
            <w:tcW w:w="661" w:type="dxa"/>
            <w:vMerge w:val="continue"/>
            <w:noWrap w:val="0"/>
            <w:vAlign w:val="center"/>
          </w:tcPr>
          <w:p w14:paraId="5C7D4572">
            <w:pPr>
              <w:widowControl/>
              <w:adjustRightInd w:val="0"/>
              <w:snapToGrid w:val="0"/>
              <w:jc w:val="center"/>
              <w:textAlignment w:val="center"/>
              <w:rPr>
                <w:rFonts w:hint="default" w:ascii="Times New Roman" w:hAnsi="Times New Roman" w:cs="Times New Roman"/>
                <w:color w:val="auto"/>
                <w:kern w:val="0"/>
              </w:rPr>
            </w:pPr>
          </w:p>
        </w:tc>
        <w:tc>
          <w:tcPr>
            <w:tcW w:w="1575" w:type="dxa"/>
            <w:vMerge w:val="continue"/>
            <w:noWrap w:val="0"/>
            <w:vAlign w:val="center"/>
          </w:tcPr>
          <w:p w14:paraId="763924F1">
            <w:pPr>
              <w:widowControl/>
              <w:adjustRightInd w:val="0"/>
              <w:snapToGrid w:val="0"/>
              <w:jc w:val="center"/>
              <w:textAlignment w:val="center"/>
              <w:rPr>
                <w:rFonts w:hint="default" w:ascii="Times New Roman" w:hAnsi="Times New Roman" w:cs="Times New Roman"/>
                <w:color w:val="auto"/>
                <w:kern w:val="0"/>
              </w:rPr>
            </w:pPr>
          </w:p>
        </w:tc>
        <w:tc>
          <w:tcPr>
            <w:tcW w:w="1049" w:type="dxa"/>
            <w:noWrap w:val="0"/>
            <w:vAlign w:val="center"/>
          </w:tcPr>
          <w:p w14:paraId="00DD907C">
            <w:pPr>
              <w:widowControl/>
              <w:adjustRightInd w:val="0"/>
              <w:snapToGrid w:val="0"/>
              <w:jc w:val="center"/>
              <w:textAlignment w:val="center"/>
              <w:rPr>
                <w:rFonts w:hint="default" w:ascii="Times New Roman" w:hAnsi="Times New Roman" w:cs="Times New Roman"/>
                <w:color w:val="auto"/>
                <w:kern w:val="0"/>
              </w:rPr>
            </w:pPr>
            <w:r>
              <w:rPr>
                <w:rFonts w:hint="default" w:ascii="Times New Roman" w:hAnsi="Times New Roman" w:cs="Times New Roman"/>
                <w:color w:val="auto"/>
                <w:kern w:val="0"/>
              </w:rPr>
              <w:t>0</w:t>
            </w:r>
          </w:p>
        </w:tc>
        <w:tc>
          <w:tcPr>
            <w:tcW w:w="1065" w:type="dxa"/>
            <w:noWrap w:val="0"/>
            <w:vAlign w:val="center"/>
          </w:tcPr>
          <w:p w14:paraId="4E9DB9FE">
            <w:pPr>
              <w:widowControl/>
              <w:adjustRightInd w:val="0"/>
              <w:snapToGrid w:val="0"/>
              <w:jc w:val="center"/>
              <w:textAlignment w:val="center"/>
              <w:rPr>
                <w:rFonts w:hint="eastAsia" w:ascii="Times New Roman" w:hAnsi="Times New Roman" w:eastAsia="宋体" w:cs="Times New Roman"/>
                <w:color w:val="auto"/>
                <w:kern w:val="0"/>
                <w:lang w:eastAsia="zh-CN"/>
              </w:rPr>
            </w:pPr>
            <w:r>
              <w:rPr>
                <w:rFonts w:hint="eastAsia" w:cs="Times New Roman"/>
                <w:color w:val="auto"/>
                <w:kern w:val="0"/>
                <w:lang w:val="en-US" w:eastAsia="zh-CN"/>
              </w:rPr>
              <w:t>5</w:t>
            </w:r>
          </w:p>
        </w:tc>
        <w:tc>
          <w:tcPr>
            <w:tcW w:w="1004" w:type="dxa"/>
            <w:noWrap w:val="0"/>
            <w:vAlign w:val="center"/>
          </w:tcPr>
          <w:p w14:paraId="0B200283">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10</w:t>
            </w:r>
          </w:p>
        </w:tc>
        <w:tc>
          <w:tcPr>
            <w:tcW w:w="1020" w:type="dxa"/>
            <w:noWrap w:val="0"/>
            <w:vAlign w:val="center"/>
          </w:tcPr>
          <w:p w14:paraId="1981E71E">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15</w:t>
            </w:r>
          </w:p>
        </w:tc>
        <w:tc>
          <w:tcPr>
            <w:tcW w:w="1020" w:type="dxa"/>
            <w:noWrap w:val="0"/>
            <w:vAlign w:val="center"/>
          </w:tcPr>
          <w:p w14:paraId="71E2484A">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20</w:t>
            </w:r>
          </w:p>
        </w:tc>
        <w:tc>
          <w:tcPr>
            <w:tcW w:w="933" w:type="dxa"/>
            <w:noWrap w:val="0"/>
            <w:vAlign w:val="center"/>
          </w:tcPr>
          <w:p w14:paraId="6BF6855A">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25</w:t>
            </w:r>
          </w:p>
        </w:tc>
      </w:tr>
      <w:tr w14:paraId="5300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66" w:type="dxa"/>
            <w:vMerge w:val="restart"/>
            <w:noWrap w:val="0"/>
            <w:vAlign w:val="center"/>
          </w:tcPr>
          <w:p w14:paraId="0E4C5C71">
            <w:pPr>
              <w:widowControl/>
              <w:adjustRightInd w:val="0"/>
              <w:snapToGrid w:val="0"/>
              <w:jc w:val="center"/>
              <w:textAlignment w:val="center"/>
              <w:rPr>
                <w:rFonts w:hint="default" w:ascii="Times New Roman" w:hAnsi="Times New Roman" w:cs="Times New Roman"/>
                <w:color w:val="auto"/>
                <w:kern w:val="0"/>
                <w:u w:val="none"/>
                <w:lang w:val="en-US"/>
              </w:rPr>
            </w:pPr>
            <w:r>
              <w:rPr>
                <w:rFonts w:hint="eastAsia" w:ascii="Times New Roman" w:hAnsi="Times New Roman" w:cs="Times New Roman"/>
                <w:color w:val="auto"/>
                <w:u w:val="none"/>
                <w:lang w:val="en-US" w:eastAsia="zh-CN"/>
              </w:rPr>
              <w:t>34000</w:t>
            </w:r>
          </w:p>
        </w:tc>
        <w:tc>
          <w:tcPr>
            <w:tcW w:w="661" w:type="dxa"/>
            <w:vMerge w:val="restart"/>
            <w:noWrap w:val="0"/>
            <w:vAlign w:val="center"/>
          </w:tcPr>
          <w:p w14:paraId="2BE76893">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lang w:val="en-US" w:eastAsia="zh-CN"/>
              </w:rPr>
              <w:t>总磷</w:t>
            </w:r>
          </w:p>
        </w:tc>
        <w:tc>
          <w:tcPr>
            <w:tcW w:w="1575" w:type="dxa"/>
            <w:noWrap w:val="0"/>
            <w:vAlign w:val="center"/>
          </w:tcPr>
          <w:p w14:paraId="3515401D">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0</w:t>
            </w:r>
          </w:p>
        </w:tc>
        <w:tc>
          <w:tcPr>
            <w:tcW w:w="1049" w:type="dxa"/>
            <w:noWrap w:val="0"/>
            <w:vAlign w:val="center"/>
          </w:tcPr>
          <w:p w14:paraId="68260796">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7.33E+01</w:t>
            </w:r>
          </w:p>
        </w:tc>
        <w:tc>
          <w:tcPr>
            <w:tcW w:w="1065" w:type="dxa"/>
            <w:noWrap w:val="0"/>
            <w:vAlign w:val="center"/>
          </w:tcPr>
          <w:p w14:paraId="3602F6C7">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1.08E+02</w:t>
            </w:r>
          </w:p>
        </w:tc>
        <w:tc>
          <w:tcPr>
            <w:tcW w:w="1004" w:type="dxa"/>
            <w:noWrap w:val="0"/>
            <w:vAlign w:val="center"/>
          </w:tcPr>
          <w:p w14:paraId="4E0BE6AD">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1.29E+00</w:t>
            </w:r>
          </w:p>
        </w:tc>
        <w:tc>
          <w:tcPr>
            <w:tcW w:w="1020" w:type="dxa"/>
            <w:noWrap w:val="0"/>
            <w:vAlign w:val="center"/>
          </w:tcPr>
          <w:p w14:paraId="592E11B3">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1.27E-04</w:t>
            </w:r>
          </w:p>
        </w:tc>
        <w:tc>
          <w:tcPr>
            <w:tcW w:w="1020" w:type="dxa"/>
            <w:noWrap w:val="0"/>
            <w:vAlign w:val="center"/>
          </w:tcPr>
          <w:p w14:paraId="41D26972">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1.01E-10</w:t>
            </w:r>
          </w:p>
        </w:tc>
        <w:tc>
          <w:tcPr>
            <w:tcW w:w="933" w:type="dxa"/>
            <w:noWrap w:val="0"/>
            <w:vAlign w:val="center"/>
          </w:tcPr>
          <w:p w14:paraId="253C4136">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6.62E-19</w:t>
            </w:r>
          </w:p>
        </w:tc>
      </w:tr>
      <w:tr w14:paraId="0B40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66" w:type="dxa"/>
            <w:vMerge w:val="continue"/>
            <w:noWrap w:val="0"/>
            <w:vAlign w:val="center"/>
          </w:tcPr>
          <w:p w14:paraId="21033FFA">
            <w:pPr>
              <w:widowControl/>
              <w:adjustRightInd w:val="0"/>
              <w:snapToGrid w:val="0"/>
              <w:jc w:val="center"/>
              <w:textAlignment w:val="center"/>
              <w:rPr>
                <w:rFonts w:hint="default" w:ascii="Times New Roman" w:hAnsi="Times New Roman" w:cs="Times New Roman"/>
                <w:color w:val="auto"/>
                <w:kern w:val="0"/>
                <w:u w:val="none"/>
              </w:rPr>
            </w:pPr>
          </w:p>
        </w:tc>
        <w:tc>
          <w:tcPr>
            <w:tcW w:w="661" w:type="dxa"/>
            <w:vMerge w:val="continue"/>
            <w:noWrap w:val="0"/>
            <w:vAlign w:val="center"/>
          </w:tcPr>
          <w:p w14:paraId="2B4656CA">
            <w:pPr>
              <w:widowControl/>
              <w:adjustRightInd w:val="0"/>
              <w:snapToGrid w:val="0"/>
              <w:jc w:val="center"/>
              <w:textAlignment w:val="center"/>
              <w:rPr>
                <w:rFonts w:hint="default" w:ascii="Times New Roman" w:hAnsi="Times New Roman" w:cs="Times New Roman"/>
                <w:color w:val="auto"/>
                <w:kern w:val="0"/>
                <w:u w:val="none"/>
              </w:rPr>
            </w:pPr>
          </w:p>
        </w:tc>
        <w:tc>
          <w:tcPr>
            <w:tcW w:w="1575" w:type="dxa"/>
            <w:noWrap w:val="0"/>
            <w:vAlign w:val="center"/>
          </w:tcPr>
          <w:p w14:paraId="3634D1D2">
            <w:pPr>
              <w:widowControl/>
              <w:adjustRightInd w:val="0"/>
              <w:snapToGrid w:val="0"/>
              <w:jc w:val="center"/>
              <w:textAlignment w:val="center"/>
              <w:rPr>
                <w:rFonts w:hint="eastAsia" w:ascii="Times New Roman" w:hAnsi="Times New Roman" w:eastAsia="宋体" w:cs="Times New Roman"/>
                <w:color w:val="auto"/>
                <w:kern w:val="0"/>
                <w:u w:val="none"/>
                <w:lang w:eastAsia="zh-CN"/>
              </w:rPr>
            </w:pPr>
            <w:r>
              <w:rPr>
                <w:rFonts w:hint="eastAsia" w:cs="Times New Roman"/>
                <w:color w:val="auto"/>
                <w:kern w:val="0"/>
                <w:u w:val="none"/>
                <w:lang w:val="en-US" w:eastAsia="zh-CN"/>
              </w:rPr>
              <w:t>5</w:t>
            </w:r>
          </w:p>
        </w:tc>
        <w:tc>
          <w:tcPr>
            <w:tcW w:w="1049" w:type="dxa"/>
            <w:noWrap w:val="0"/>
            <w:vAlign w:val="center"/>
          </w:tcPr>
          <w:p w14:paraId="7F073176">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1.76E-02</w:t>
            </w:r>
          </w:p>
        </w:tc>
        <w:tc>
          <w:tcPr>
            <w:tcW w:w="1065" w:type="dxa"/>
            <w:noWrap w:val="0"/>
            <w:vAlign w:val="center"/>
          </w:tcPr>
          <w:p w14:paraId="2A18D2E4">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1.34E+01</w:t>
            </w:r>
          </w:p>
        </w:tc>
        <w:tc>
          <w:tcPr>
            <w:tcW w:w="1004" w:type="dxa"/>
            <w:noWrap w:val="0"/>
            <w:vAlign w:val="center"/>
          </w:tcPr>
          <w:p w14:paraId="40C188AC">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1.61E-01</w:t>
            </w:r>
          </w:p>
        </w:tc>
        <w:tc>
          <w:tcPr>
            <w:tcW w:w="1020" w:type="dxa"/>
            <w:noWrap w:val="0"/>
            <w:vAlign w:val="center"/>
          </w:tcPr>
          <w:p w14:paraId="215AF3DA">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1.58E-05</w:t>
            </w:r>
          </w:p>
        </w:tc>
        <w:tc>
          <w:tcPr>
            <w:tcW w:w="1020" w:type="dxa"/>
            <w:noWrap w:val="0"/>
            <w:vAlign w:val="center"/>
          </w:tcPr>
          <w:p w14:paraId="03261425">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1.26E-11</w:t>
            </w:r>
          </w:p>
        </w:tc>
        <w:tc>
          <w:tcPr>
            <w:tcW w:w="933" w:type="dxa"/>
            <w:noWrap w:val="0"/>
            <w:vAlign w:val="center"/>
          </w:tcPr>
          <w:p w14:paraId="69820E71">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8.24E-20</w:t>
            </w:r>
          </w:p>
        </w:tc>
      </w:tr>
      <w:tr w14:paraId="6217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66" w:type="dxa"/>
            <w:vMerge w:val="continue"/>
            <w:noWrap w:val="0"/>
            <w:vAlign w:val="center"/>
          </w:tcPr>
          <w:p w14:paraId="55287C75">
            <w:pPr>
              <w:widowControl/>
              <w:adjustRightInd w:val="0"/>
              <w:snapToGrid w:val="0"/>
              <w:jc w:val="center"/>
              <w:textAlignment w:val="center"/>
              <w:rPr>
                <w:rFonts w:hint="default" w:ascii="Times New Roman" w:hAnsi="Times New Roman" w:cs="Times New Roman"/>
                <w:color w:val="auto"/>
                <w:kern w:val="0"/>
                <w:u w:val="none"/>
              </w:rPr>
            </w:pPr>
          </w:p>
        </w:tc>
        <w:tc>
          <w:tcPr>
            <w:tcW w:w="661" w:type="dxa"/>
            <w:vMerge w:val="continue"/>
            <w:noWrap w:val="0"/>
            <w:vAlign w:val="center"/>
          </w:tcPr>
          <w:p w14:paraId="594EC516">
            <w:pPr>
              <w:widowControl/>
              <w:adjustRightInd w:val="0"/>
              <w:snapToGrid w:val="0"/>
              <w:jc w:val="center"/>
              <w:textAlignment w:val="center"/>
              <w:rPr>
                <w:rFonts w:hint="default" w:ascii="Times New Roman" w:hAnsi="Times New Roman" w:cs="Times New Roman"/>
                <w:color w:val="auto"/>
                <w:kern w:val="0"/>
                <w:u w:val="none"/>
              </w:rPr>
            </w:pPr>
          </w:p>
        </w:tc>
        <w:tc>
          <w:tcPr>
            <w:tcW w:w="1575" w:type="dxa"/>
            <w:noWrap w:val="0"/>
            <w:vAlign w:val="center"/>
          </w:tcPr>
          <w:p w14:paraId="0642C0E3">
            <w:pPr>
              <w:widowControl/>
              <w:adjustRightInd w:val="0"/>
              <w:snapToGrid w:val="0"/>
              <w:jc w:val="center"/>
              <w:textAlignment w:val="center"/>
              <w:rPr>
                <w:rFonts w:hint="default" w:ascii="Times New Roman" w:hAnsi="Times New Roman" w:eastAsia="宋体" w:cs="Times New Roman"/>
                <w:color w:val="auto"/>
                <w:kern w:val="0"/>
                <w:u w:val="none"/>
                <w:lang w:val="en-US" w:eastAsia="zh-CN"/>
              </w:rPr>
            </w:pPr>
            <w:r>
              <w:rPr>
                <w:rFonts w:hint="eastAsia" w:cs="Times New Roman"/>
                <w:color w:val="auto"/>
                <w:kern w:val="0"/>
                <w:u w:val="none"/>
                <w:lang w:val="en-US" w:eastAsia="zh-CN"/>
              </w:rPr>
              <w:t>10</w:t>
            </w:r>
          </w:p>
        </w:tc>
        <w:tc>
          <w:tcPr>
            <w:tcW w:w="1049" w:type="dxa"/>
            <w:noWrap w:val="0"/>
            <w:vAlign w:val="center"/>
          </w:tcPr>
          <w:p w14:paraId="2F109C9A">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auto"/>
                <w:kern w:val="0"/>
                <w:u w:val="none"/>
              </w:rPr>
              <w:t>1.76E-02</w:t>
            </w:r>
          </w:p>
        </w:tc>
        <w:tc>
          <w:tcPr>
            <w:tcW w:w="1065" w:type="dxa"/>
            <w:noWrap w:val="0"/>
            <w:vAlign w:val="center"/>
          </w:tcPr>
          <w:p w14:paraId="034C445E">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2.59E-02</w:t>
            </w:r>
          </w:p>
        </w:tc>
        <w:tc>
          <w:tcPr>
            <w:tcW w:w="1004" w:type="dxa"/>
            <w:noWrap w:val="0"/>
            <w:vAlign w:val="center"/>
          </w:tcPr>
          <w:p w14:paraId="5081FA5F">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3.10E-04</w:t>
            </w:r>
          </w:p>
        </w:tc>
        <w:tc>
          <w:tcPr>
            <w:tcW w:w="1020" w:type="dxa"/>
            <w:noWrap w:val="0"/>
            <w:vAlign w:val="center"/>
          </w:tcPr>
          <w:p w14:paraId="02B9B8CD">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3.04E-08</w:t>
            </w:r>
          </w:p>
        </w:tc>
        <w:tc>
          <w:tcPr>
            <w:tcW w:w="1020" w:type="dxa"/>
            <w:noWrap w:val="0"/>
            <w:vAlign w:val="center"/>
          </w:tcPr>
          <w:p w14:paraId="79B667C4">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2.43E-14</w:t>
            </w:r>
          </w:p>
        </w:tc>
        <w:tc>
          <w:tcPr>
            <w:tcW w:w="933" w:type="dxa"/>
            <w:noWrap w:val="0"/>
            <w:vAlign w:val="center"/>
          </w:tcPr>
          <w:p w14:paraId="7E9809CB">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1.59E-22</w:t>
            </w:r>
          </w:p>
        </w:tc>
      </w:tr>
      <w:tr w14:paraId="6344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66" w:type="dxa"/>
            <w:vMerge w:val="continue"/>
            <w:noWrap w:val="0"/>
            <w:vAlign w:val="center"/>
          </w:tcPr>
          <w:p w14:paraId="68D2C8F5">
            <w:pPr>
              <w:widowControl/>
              <w:adjustRightInd w:val="0"/>
              <w:snapToGrid w:val="0"/>
              <w:jc w:val="center"/>
              <w:textAlignment w:val="center"/>
              <w:rPr>
                <w:rFonts w:hint="default" w:ascii="Times New Roman" w:hAnsi="Times New Roman" w:cs="Times New Roman"/>
                <w:color w:val="auto"/>
                <w:kern w:val="0"/>
                <w:u w:val="none"/>
              </w:rPr>
            </w:pPr>
          </w:p>
        </w:tc>
        <w:tc>
          <w:tcPr>
            <w:tcW w:w="661" w:type="dxa"/>
            <w:vMerge w:val="continue"/>
            <w:noWrap w:val="0"/>
            <w:vAlign w:val="center"/>
          </w:tcPr>
          <w:p w14:paraId="0B675CCD">
            <w:pPr>
              <w:widowControl/>
              <w:adjustRightInd w:val="0"/>
              <w:snapToGrid w:val="0"/>
              <w:jc w:val="center"/>
              <w:textAlignment w:val="center"/>
              <w:rPr>
                <w:rFonts w:hint="default" w:ascii="Times New Roman" w:hAnsi="Times New Roman" w:cs="Times New Roman"/>
                <w:color w:val="auto"/>
                <w:kern w:val="0"/>
                <w:u w:val="none"/>
              </w:rPr>
            </w:pPr>
          </w:p>
        </w:tc>
        <w:tc>
          <w:tcPr>
            <w:tcW w:w="1575" w:type="dxa"/>
            <w:noWrap w:val="0"/>
            <w:vAlign w:val="center"/>
          </w:tcPr>
          <w:p w14:paraId="669D80CA">
            <w:pPr>
              <w:widowControl/>
              <w:adjustRightInd w:val="0"/>
              <w:snapToGrid w:val="0"/>
              <w:jc w:val="center"/>
              <w:textAlignment w:val="center"/>
              <w:rPr>
                <w:rFonts w:hint="default" w:ascii="Times New Roman" w:hAnsi="Times New Roman" w:eastAsia="宋体" w:cs="Times New Roman"/>
                <w:color w:val="auto"/>
                <w:kern w:val="0"/>
                <w:u w:val="none"/>
                <w:lang w:val="en-US" w:eastAsia="zh-CN"/>
              </w:rPr>
            </w:pPr>
            <w:r>
              <w:rPr>
                <w:rFonts w:hint="eastAsia" w:cs="Times New Roman"/>
                <w:color w:val="auto"/>
                <w:kern w:val="0"/>
                <w:u w:val="none"/>
                <w:lang w:val="en-US" w:eastAsia="zh-CN"/>
              </w:rPr>
              <w:t>15</w:t>
            </w:r>
          </w:p>
        </w:tc>
        <w:tc>
          <w:tcPr>
            <w:tcW w:w="1049" w:type="dxa"/>
            <w:noWrap w:val="0"/>
            <w:vAlign w:val="center"/>
          </w:tcPr>
          <w:p w14:paraId="1CB25242">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5.27E-07</w:t>
            </w:r>
          </w:p>
        </w:tc>
        <w:tc>
          <w:tcPr>
            <w:tcW w:w="1065" w:type="dxa"/>
            <w:noWrap w:val="0"/>
            <w:vAlign w:val="center"/>
          </w:tcPr>
          <w:p w14:paraId="6A604A04">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7.75E-07</w:t>
            </w:r>
          </w:p>
        </w:tc>
        <w:tc>
          <w:tcPr>
            <w:tcW w:w="1004" w:type="dxa"/>
            <w:noWrap w:val="0"/>
            <w:vAlign w:val="center"/>
          </w:tcPr>
          <w:p w14:paraId="477F312C">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9.29E-09</w:t>
            </w:r>
          </w:p>
        </w:tc>
        <w:tc>
          <w:tcPr>
            <w:tcW w:w="1020" w:type="dxa"/>
            <w:noWrap w:val="0"/>
            <w:vAlign w:val="center"/>
          </w:tcPr>
          <w:p w14:paraId="16CE30F7">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9.11E-13</w:t>
            </w:r>
          </w:p>
        </w:tc>
        <w:tc>
          <w:tcPr>
            <w:tcW w:w="1020" w:type="dxa"/>
            <w:noWrap w:val="0"/>
            <w:vAlign w:val="center"/>
          </w:tcPr>
          <w:p w14:paraId="79A79998">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7.29E-19</w:t>
            </w:r>
          </w:p>
        </w:tc>
        <w:tc>
          <w:tcPr>
            <w:tcW w:w="933" w:type="dxa"/>
            <w:noWrap w:val="0"/>
            <w:vAlign w:val="center"/>
          </w:tcPr>
          <w:p w14:paraId="4A4D57AA">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4.76E-27</w:t>
            </w:r>
          </w:p>
        </w:tc>
      </w:tr>
      <w:tr w14:paraId="6889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66" w:type="dxa"/>
            <w:vMerge w:val="continue"/>
            <w:noWrap w:val="0"/>
            <w:vAlign w:val="center"/>
          </w:tcPr>
          <w:p w14:paraId="0C9D0195">
            <w:pPr>
              <w:widowControl/>
              <w:adjustRightInd w:val="0"/>
              <w:snapToGrid w:val="0"/>
              <w:jc w:val="center"/>
              <w:textAlignment w:val="center"/>
              <w:rPr>
                <w:rFonts w:hint="default" w:ascii="Times New Roman" w:hAnsi="Times New Roman" w:cs="Times New Roman"/>
                <w:color w:val="auto"/>
                <w:kern w:val="0"/>
                <w:u w:val="none"/>
              </w:rPr>
            </w:pPr>
          </w:p>
        </w:tc>
        <w:tc>
          <w:tcPr>
            <w:tcW w:w="661" w:type="dxa"/>
            <w:vMerge w:val="continue"/>
            <w:noWrap w:val="0"/>
            <w:vAlign w:val="center"/>
          </w:tcPr>
          <w:p w14:paraId="424F40B3">
            <w:pPr>
              <w:widowControl/>
              <w:adjustRightInd w:val="0"/>
              <w:snapToGrid w:val="0"/>
              <w:jc w:val="center"/>
              <w:textAlignment w:val="center"/>
              <w:rPr>
                <w:rFonts w:hint="default" w:ascii="Times New Roman" w:hAnsi="Times New Roman" w:cs="Times New Roman"/>
                <w:color w:val="auto"/>
                <w:kern w:val="0"/>
                <w:u w:val="none"/>
              </w:rPr>
            </w:pPr>
          </w:p>
        </w:tc>
        <w:tc>
          <w:tcPr>
            <w:tcW w:w="1575" w:type="dxa"/>
            <w:noWrap w:val="0"/>
            <w:vAlign w:val="center"/>
          </w:tcPr>
          <w:p w14:paraId="326A31E9">
            <w:pPr>
              <w:widowControl/>
              <w:adjustRightInd w:val="0"/>
              <w:snapToGrid w:val="0"/>
              <w:jc w:val="center"/>
              <w:textAlignment w:val="center"/>
              <w:rPr>
                <w:rFonts w:hint="default" w:ascii="Times New Roman" w:hAnsi="Times New Roman" w:eastAsia="宋体" w:cs="Times New Roman"/>
                <w:color w:val="auto"/>
                <w:kern w:val="0"/>
                <w:u w:val="none"/>
                <w:lang w:val="en-US" w:eastAsia="zh-CN"/>
              </w:rPr>
            </w:pPr>
            <w:r>
              <w:rPr>
                <w:rFonts w:hint="eastAsia" w:cs="Times New Roman"/>
                <w:color w:val="auto"/>
                <w:kern w:val="0"/>
                <w:u w:val="none"/>
                <w:lang w:val="en-US" w:eastAsia="zh-CN"/>
              </w:rPr>
              <w:t>20</w:t>
            </w:r>
          </w:p>
        </w:tc>
        <w:tc>
          <w:tcPr>
            <w:tcW w:w="1049" w:type="dxa"/>
            <w:noWrap w:val="0"/>
            <w:vAlign w:val="center"/>
          </w:tcPr>
          <w:p w14:paraId="681F901D">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2.45E-13</w:t>
            </w:r>
          </w:p>
        </w:tc>
        <w:tc>
          <w:tcPr>
            <w:tcW w:w="1065" w:type="dxa"/>
            <w:noWrap w:val="0"/>
            <w:vAlign w:val="center"/>
          </w:tcPr>
          <w:p w14:paraId="3C6784CB">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3.59E-13</w:t>
            </w:r>
          </w:p>
        </w:tc>
        <w:tc>
          <w:tcPr>
            <w:tcW w:w="1004" w:type="dxa"/>
            <w:noWrap w:val="0"/>
            <w:vAlign w:val="center"/>
          </w:tcPr>
          <w:p w14:paraId="75067838">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4.31E-15</w:t>
            </w:r>
          </w:p>
        </w:tc>
        <w:tc>
          <w:tcPr>
            <w:tcW w:w="1020" w:type="dxa"/>
            <w:noWrap w:val="0"/>
            <w:vAlign w:val="center"/>
          </w:tcPr>
          <w:p w14:paraId="7DA632CD">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4.22E-19</w:t>
            </w:r>
          </w:p>
        </w:tc>
        <w:tc>
          <w:tcPr>
            <w:tcW w:w="1020" w:type="dxa"/>
            <w:noWrap w:val="0"/>
            <w:vAlign w:val="center"/>
          </w:tcPr>
          <w:p w14:paraId="7AD3EA19">
            <w:pPr>
              <w:widowControl/>
              <w:adjustRightInd w:val="0"/>
              <w:snapToGrid w:val="0"/>
              <w:jc w:val="center"/>
              <w:textAlignment w:val="center"/>
              <w:rPr>
                <w:rFonts w:hint="default" w:ascii="Times New Roman" w:hAnsi="Times New Roman" w:eastAsia="宋体" w:cs="Times New Roman"/>
                <w:color w:val="auto"/>
                <w:kern w:val="0"/>
                <w:u w:val="none"/>
                <w:lang w:eastAsia="zh-CN"/>
              </w:rPr>
            </w:pPr>
            <w:r>
              <w:rPr>
                <w:rFonts w:hint="default" w:ascii="Times New Roman" w:hAnsi="Times New Roman" w:eastAsia="宋体" w:cs="Times New Roman"/>
                <w:color w:val="auto"/>
                <w:kern w:val="0"/>
                <w:u w:val="none"/>
                <w:lang w:eastAsia="zh-CN"/>
              </w:rPr>
              <w:t>3.38E-25</w:t>
            </w:r>
          </w:p>
        </w:tc>
        <w:tc>
          <w:tcPr>
            <w:tcW w:w="933" w:type="dxa"/>
            <w:noWrap w:val="0"/>
            <w:vAlign w:val="center"/>
          </w:tcPr>
          <w:p w14:paraId="0748B9D4">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2.21E-33</w:t>
            </w:r>
          </w:p>
        </w:tc>
      </w:tr>
      <w:tr w14:paraId="2EC3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66" w:type="dxa"/>
            <w:vMerge w:val="continue"/>
            <w:noWrap w:val="0"/>
            <w:vAlign w:val="center"/>
          </w:tcPr>
          <w:p w14:paraId="2DA94F6E">
            <w:pPr>
              <w:widowControl/>
              <w:adjustRightInd w:val="0"/>
              <w:snapToGrid w:val="0"/>
              <w:jc w:val="center"/>
              <w:textAlignment w:val="center"/>
              <w:rPr>
                <w:rFonts w:hint="default" w:ascii="Times New Roman" w:hAnsi="Times New Roman" w:cs="Times New Roman"/>
                <w:color w:val="auto"/>
                <w:kern w:val="0"/>
                <w:u w:val="none"/>
              </w:rPr>
            </w:pPr>
          </w:p>
        </w:tc>
        <w:tc>
          <w:tcPr>
            <w:tcW w:w="661" w:type="dxa"/>
            <w:vMerge w:val="continue"/>
            <w:noWrap w:val="0"/>
            <w:vAlign w:val="center"/>
          </w:tcPr>
          <w:p w14:paraId="4D4F1965">
            <w:pPr>
              <w:widowControl/>
              <w:adjustRightInd w:val="0"/>
              <w:snapToGrid w:val="0"/>
              <w:jc w:val="center"/>
              <w:textAlignment w:val="center"/>
              <w:rPr>
                <w:rFonts w:hint="default" w:ascii="Times New Roman" w:hAnsi="Times New Roman" w:cs="Times New Roman"/>
                <w:color w:val="auto"/>
                <w:kern w:val="0"/>
                <w:u w:val="none"/>
              </w:rPr>
            </w:pPr>
          </w:p>
        </w:tc>
        <w:tc>
          <w:tcPr>
            <w:tcW w:w="1575" w:type="dxa"/>
            <w:noWrap w:val="0"/>
            <w:vAlign w:val="center"/>
          </w:tcPr>
          <w:p w14:paraId="709AB680">
            <w:pPr>
              <w:widowControl/>
              <w:adjustRightInd w:val="0"/>
              <w:snapToGrid w:val="0"/>
              <w:jc w:val="center"/>
              <w:textAlignment w:val="center"/>
              <w:rPr>
                <w:rFonts w:hint="default" w:ascii="Times New Roman" w:hAnsi="Times New Roman" w:eastAsia="宋体" w:cs="Times New Roman"/>
                <w:color w:val="auto"/>
                <w:kern w:val="0"/>
                <w:u w:val="none"/>
                <w:lang w:val="en-US" w:eastAsia="zh-CN"/>
              </w:rPr>
            </w:pPr>
            <w:r>
              <w:rPr>
                <w:rFonts w:hint="eastAsia" w:cs="Times New Roman"/>
                <w:color w:val="auto"/>
                <w:kern w:val="0"/>
                <w:u w:val="none"/>
                <w:lang w:val="en-US" w:eastAsia="zh-CN"/>
              </w:rPr>
              <w:t>25</w:t>
            </w:r>
          </w:p>
        </w:tc>
        <w:tc>
          <w:tcPr>
            <w:tcW w:w="1049" w:type="dxa"/>
            <w:noWrap w:val="0"/>
            <w:vAlign w:val="center"/>
          </w:tcPr>
          <w:p w14:paraId="11FDCD31">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1.76E-21</w:t>
            </w:r>
          </w:p>
        </w:tc>
        <w:tc>
          <w:tcPr>
            <w:tcW w:w="1065" w:type="dxa"/>
            <w:noWrap w:val="0"/>
            <w:vAlign w:val="center"/>
          </w:tcPr>
          <w:p w14:paraId="19C89918">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2.59E-21</w:t>
            </w:r>
          </w:p>
        </w:tc>
        <w:tc>
          <w:tcPr>
            <w:tcW w:w="1004" w:type="dxa"/>
            <w:noWrap w:val="0"/>
            <w:vAlign w:val="center"/>
          </w:tcPr>
          <w:p w14:paraId="71AE7CCB">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3.10E-23</w:t>
            </w:r>
          </w:p>
        </w:tc>
        <w:tc>
          <w:tcPr>
            <w:tcW w:w="1020" w:type="dxa"/>
            <w:noWrap w:val="0"/>
            <w:vAlign w:val="center"/>
          </w:tcPr>
          <w:p w14:paraId="6CF018DF">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cs="Times New Roman"/>
                <w:color w:val="auto"/>
                <w:kern w:val="0"/>
                <w:u w:val="none"/>
              </w:rPr>
              <w:t>3.04E-27</w:t>
            </w:r>
          </w:p>
        </w:tc>
        <w:tc>
          <w:tcPr>
            <w:tcW w:w="1020" w:type="dxa"/>
            <w:noWrap w:val="0"/>
            <w:vAlign w:val="center"/>
          </w:tcPr>
          <w:p w14:paraId="4FD4AC9E">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000000" w:themeColor="text1"/>
                <w:kern w:val="0"/>
                <w:u w:val="none"/>
                <w14:textFill>
                  <w14:solidFill>
                    <w14:schemeClr w14:val="tx1"/>
                  </w14:solidFill>
                </w14:textFill>
              </w:rPr>
              <w:t>2.43E-33</w:t>
            </w:r>
          </w:p>
        </w:tc>
        <w:tc>
          <w:tcPr>
            <w:tcW w:w="933" w:type="dxa"/>
            <w:noWrap w:val="0"/>
            <w:vAlign w:val="center"/>
          </w:tcPr>
          <w:p w14:paraId="5AC1B6B0">
            <w:pPr>
              <w:widowControl/>
              <w:adjustRightInd w:val="0"/>
              <w:snapToGrid w:val="0"/>
              <w:jc w:val="center"/>
              <w:textAlignment w:val="center"/>
              <w:rPr>
                <w:rFonts w:hint="default" w:ascii="Times New Roman" w:hAnsi="Times New Roman" w:cs="Times New Roman"/>
                <w:color w:val="auto"/>
                <w:kern w:val="0"/>
                <w:u w:val="none"/>
              </w:rPr>
            </w:pPr>
            <w:r>
              <w:rPr>
                <w:rFonts w:hint="default" w:ascii="Times New Roman" w:hAnsi="Times New Roman" w:eastAsia="宋体" w:cs="Times New Roman"/>
                <w:color w:val="000000" w:themeColor="text1"/>
                <w:kern w:val="0"/>
                <w:u w:val="none"/>
                <w14:textFill>
                  <w14:solidFill>
                    <w14:schemeClr w14:val="tx1"/>
                  </w14:solidFill>
                </w14:textFill>
              </w:rPr>
              <w:t>1.59E-41</w:t>
            </w:r>
          </w:p>
        </w:tc>
      </w:tr>
    </w:tbl>
    <w:p w14:paraId="53FD9905">
      <w:pPr>
        <w:pStyle w:val="4"/>
        <w:numPr>
          <w:ilvl w:val="3"/>
          <w:numId w:val="10"/>
        </w:numPr>
        <w:tabs>
          <w:tab w:val="left" w:pos="1358"/>
          <w:tab w:val="left" w:pos="2153"/>
        </w:tabs>
        <w:ind w:left="1358"/>
        <w:rPr>
          <w:rFonts w:hint="default" w:ascii="Times New Roman" w:hAnsi="Times New Roman" w:eastAsia="宋体" w:cs="Times New Roman"/>
          <w:b/>
          <w:color w:val="auto"/>
          <w:u w:val="none"/>
          <w:lang w:val="en-US" w:eastAsia="zh-CN"/>
        </w:rPr>
      </w:pPr>
      <w:bookmarkStart w:id="91" w:name="_Toc4114"/>
      <w:r>
        <w:rPr>
          <w:rFonts w:hint="default" w:ascii="Times New Roman" w:hAnsi="Times New Roman" w:eastAsia="宋体" w:cs="Times New Roman"/>
          <w:b/>
          <w:color w:val="auto"/>
          <w:u w:val="none"/>
          <w:lang w:val="en-US" w:eastAsia="zh-CN"/>
        </w:rPr>
        <w:t>事故池发生泄漏后（第1000天）总磷因子环境质量浓度贡献值预测结果表</w:t>
      </w:r>
      <w:bookmarkEnd w:id="91"/>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661"/>
        <w:gridCol w:w="1575"/>
        <w:gridCol w:w="1049"/>
        <w:gridCol w:w="1065"/>
        <w:gridCol w:w="1004"/>
        <w:gridCol w:w="1020"/>
        <w:gridCol w:w="1020"/>
        <w:gridCol w:w="933"/>
      </w:tblGrid>
      <w:tr w14:paraId="3A56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666" w:type="dxa"/>
            <w:vMerge w:val="restart"/>
            <w:noWrap w:val="0"/>
            <w:vAlign w:val="center"/>
          </w:tcPr>
          <w:p w14:paraId="78B279D4">
            <w:pPr>
              <w:widowControl/>
              <w:adjustRightInd w:val="0"/>
              <w:snapToGrid w:val="0"/>
              <w:jc w:val="center"/>
              <w:textAlignment w:val="center"/>
              <w:rPr>
                <w:rFonts w:hint="default" w:ascii="Times New Roman" w:hAnsi="Times New Roman" w:cs="Times New Roman"/>
                <w:color w:val="auto"/>
                <w:kern w:val="0"/>
              </w:rPr>
            </w:pPr>
            <w:r>
              <w:rPr>
                <w:rFonts w:hint="default" w:ascii="Times New Roman" w:hAnsi="Times New Roman" w:cs="Times New Roman"/>
                <w:color w:val="auto"/>
                <w:kern w:val="0"/>
                <w:lang w:eastAsia="zh-CN"/>
              </w:rPr>
              <w:t>泄漏</w:t>
            </w:r>
            <w:r>
              <w:rPr>
                <w:rFonts w:hint="default" w:ascii="Times New Roman" w:hAnsi="Times New Roman" w:cs="Times New Roman"/>
                <w:color w:val="auto"/>
                <w:kern w:val="0"/>
              </w:rPr>
              <w:t>量g/d</w:t>
            </w:r>
          </w:p>
        </w:tc>
        <w:tc>
          <w:tcPr>
            <w:tcW w:w="661" w:type="dxa"/>
            <w:vMerge w:val="restart"/>
            <w:noWrap w:val="0"/>
            <w:vAlign w:val="center"/>
          </w:tcPr>
          <w:p w14:paraId="680C746E">
            <w:pPr>
              <w:widowControl/>
              <w:adjustRightInd w:val="0"/>
              <w:snapToGrid w:val="0"/>
              <w:jc w:val="center"/>
              <w:textAlignment w:val="center"/>
              <w:rPr>
                <w:rFonts w:hint="default" w:ascii="Times New Roman" w:hAnsi="Times New Roman" w:cs="Times New Roman"/>
                <w:color w:val="auto"/>
                <w:kern w:val="0"/>
              </w:rPr>
            </w:pPr>
            <w:r>
              <w:rPr>
                <w:rFonts w:hint="default" w:ascii="Times New Roman" w:hAnsi="Times New Roman" w:cs="Times New Roman"/>
                <w:color w:val="auto"/>
                <w:kern w:val="0"/>
              </w:rPr>
              <w:t>预测因子</w:t>
            </w:r>
          </w:p>
        </w:tc>
        <w:tc>
          <w:tcPr>
            <w:tcW w:w="1575" w:type="dxa"/>
            <w:vMerge w:val="restart"/>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67B486FF">
            <w:pPr>
              <w:pStyle w:val="18"/>
              <w:snapToGrid w:val="0"/>
              <w:ind w:left="0" w:leftChars="0" w:firstLine="0" w:firstLineChars="0"/>
              <mc:AlternateContent>
                <mc:Choice Requires="wpsCustomData">
                  <wpsCustomData:diagonalParaType/>
                </mc:Choice>
              </mc:AlternateContent>
              <w:rPr>
                <w:rFonts w:hint="default" w:ascii="Times New Roman" w:hAnsi="Times New Roman" w:cs="Times New Roman"/>
                <w:color w:val="auto"/>
              </w:rPr>
            </w:pPr>
            <w:r>
              <w:rPr>
                <w:rFonts w:hint="default" w:ascii="Times New Roman" w:hAnsi="Times New Roman" w:eastAsia="宋体" w:cs="Times New Roman"/>
                <w:snapToGrid/>
                <w:color w:val="auto"/>
                <w:kern w:val="0"/>
                <w:sz w:val="21"/>
                <w:szCs w:val="24"/>
                <w:lang w:val="en-US" w:eastAsia="zh-CN" w:bidi="ar-SA"/>
              </w:rPr>
              <w:t>X轴坐标（m）</w:t>
            </w:r>
          </w:p>
          <w:p w14:paraId="355DF508">
            <w:pPr>
              <w:pStyle w:val="18"/>
              <w:snapToGrid w:val="0"/>
              <w:ind w:left="0" w:leftChars="0" w:firstLine="0" w:firstLineChars="0"/>
              <w:rPr>
                <w:rFonts w:hint="default" w:ascii="Times New Roman" w:hAnsi="Times New Roman" w:cs="Times New Roman"/>
                <w:color w:val="auto"/>
              </w:rPr>
            </w:pPr>
            <w:r>
              <w:rPr>
                <w:rFonts w:hint="default" w:ascii="Times New Roman" w:hAnsi="Times New Roman" w:eastAsia="宋体" w:cs="Times New Roman"/>
                <w:snapToGrid/>
                <w:color w:val="auto"/>
                <w:kern w:val="0"/>
                <w:sz w:val="21"/>
                <w:szCs w:val="24"/>
                <w:lang w:val="en-US" w:eastAsia="zh-CN" w:bidi="ar-SA"/>
              </w:rPr>
              <w:t>浓度（mg/L）</w:t>
            </w:r>
          </w:p>
        </w:tc>
        <w:tc>
          <w:tcPr>
            <w:tcW w:w="6091" w:type="dxa"/>
            <w:gridSpan w:val="6"/>
            <w:noWrap w:val="0"/>
            <w:vAlign w:val="center"/>
          </w:tcPr>
          <w:p w14:paraId="34CAFF3B">
            <w:pPr>
              <w:widowControl/>
              <w:adjustRightInd w:val="0"/>
              <w:snapToGrid w:val="0"/>
              <w:jc w:val="center"/>
              <w:textAlignment w:val="center"/>
              <w:rPr>
                <w:rFonts w:hint="default" w:ascii="Times New Roman" w:hAnsi="Times New Roman" w:cs="Times New Roman"/>
                <w:color w:val="auto"/>
                <w:kern w:val="0"/>
              </w:rPr>
            </w:pPr>
            <w:r>
              <w:rPr>
                <w:rFonts w:hint="default" w:ascii="Times New Roman" w:hAnsi="Times New Roman" w:cs="Times New Roman"/>
                <w:color w:val="auto"/>
                <w:kern w:val="0"/>
              </w:rPr>
              <w:t>Y轴</w:t>
            </w:r>
          </w:p>
        </w:tc>
      </w:tr>
      <w:tr w14:paraId="3CC8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66" w:type="dxa"/>
            <w:vMerge w:val="continue"/>
            <w:noWrap w:val="0"/>
            <w:vAlign w:val="center"/>
          </w:tcPr>
          <w:p w14:paraId="7E4E50E1">
            <w:pPr>
              <w:widowControl/>
              <w:adjustRightInd w:val="0"/>
              <w:snapToGrid w:val="0"/>
              <w:jc w:val="center"/>
              <w:textAlignment w:val="center"/>
              <w:rPr>
                <w:rFonts w:hint="default" w:ascii="Times New Roman" w:hAnsi="Times New Roman" w:cs="Times New Roman"/>
                <w:color w:val="auto"/>
                <w:kern w:val="0"/>
              </w:rPr>
            </w:pPr>
          </w:p>
        </w:tc>
        <w:tc>
          <w:tcPr>
            <w:tcW w:w="661" w:type="dxa"/>
            <w:vMerge w:val="continue"/>
            <w:noWrap w:val="0"/>
            <w:vAlign w:val="center"/>
          </w:tcPr>
          <w:p w14:paraId="10B879EB">
            <w:pPr>
              <w:widowControl/>
              <w:adjustRightInd w:val="0"/>
              <w:snapToGrid w:val="0"/>
              <w:jc w:val="center"/>
              <w:textAlignment w:val="center"/>
              <w:rPr>
                <w:rFonts w:hint="default" w:ascii="Times New Roman" w:hAnsi="Times New Roman" w:cs="Times New Roman"/>
                <w:color w:val="auto"/>
                <w:kern w:val="0"/>
              </w:rPr>
            </w:pPr>
          </w:p>
        </w:tc>
        <w:tc>
          <w:tcPr>
            <w:tcW w:w="1575" w:type="dxa"/>
            <w:vMerge w:val="continue"/>
            <w:noWrap w:val="0"/>
            <w:vAlign w:val="center"/>
          </w:tcPr>
          <w:p w14:paraId="60340B69">
            <w:pPr>
              <w:widowControl/>
              <w:adjustRightInd w:val="0"/>
              <w:snapToGrid w:val="0"/>
              <w:jc w:val="center"/>
              <w:textAlignment w:val="center"/>
              <w:rPr>
                <w:rFonts w:hint="default" w:ascii="Times New Roman" w:hAnsi="Times New Roman" w:cs="Times New Roman"/>
                <w:color w:val="auto"/>
                <w:kern w:val="0"/>
              </w:rPr>
            </w:pPr>
          </w:p>
        </w:tc>
        <w:tc>
          <w:tcPr>
            <w:tcW w:w="1049" w:type="dxa"/>
            <w:noWrap w:val="0"/>
            <w:vAlign w:val="center"/>
          </w:tcPr>
          <w:p w14:paraId="473F5B9D">
            <w:pPr>
              <w:widowControl/>
              <w:adjustRightInd w:val="0"/>
              <w:snapToGrid w:val="0"/>
              <w:jc w:val="center"/>
              <w:textAlignment w:val="center"/>
              <w:rPr>
                <w:rFonts w:hint="default" w:ascii="Times New Roman" w:hAnsi="Times New Roman" w:cs="Times New Roman"/>
                <w:color w:val="auto"/>
                <w:kern w:val="0"/>
              </w:rPr>
            </w:pPr>
            <w:r>
              <w:rPr>
                <w:rFonts w:hint="default" w:ascii="Times New Roman" w:hAnsi="Times New Roman" w:cs="Times New Roman"/>
                <w:color w:val="auto"/>
                <w:kern w:val="0"/>
              </w:rPr>
              <w:t>0</w:t>
            </w:r>
          </w:p>
        </w:tc>
        <w:tc>
          <w:tcPr>
            <w:tcW w:w="1065" w:type="dxa"/>
            <w:noWrap w:val="0"/>
            <w:vAlign w:val="center"/>
          </w:tcPr>
          <w:p w14:paraId="20F44557">
            <w:pPr>
              <w:widowControl/>
              <w:adjustRightInd w:val="0"/>
              <w:snapToGrid w:val="0"/>
              <w:jc w:val="center"/>
              <w:textAlignment w:val="center"/>
              <w:rPr>
                <w:rFonts w:hint="eastAsia" w:ascii="Times New Roman" w:hAnsi="Times New Roman" w:eastAsia="宋体" w:cs="Times New Roman"/>
                <w:color w:val="auto"/>
                <w:kern w:val="0"/>
                <w:lang w:eastAsia="zh-CN"/>
              </w:rPr>
            </w:pPr>
            <w:r>
              <w:rPr>
                <w:rFonts w:hint="eastAsia" w:cs="Times New Roman"/>
                <w:color w:val="auto"/>
                <w:kern w:val="0"/>
                <w:lang w:val="en-US" w:eastAsia="zh-CN"/>
              </w:rPr>
              <w:t>5</w:t>
            </w:r>
          </w:p>
        </w:tc>
        <w:tc>
          <w:tcPr>
            <w:tcW w:w="1004" w:type="dxa"/>
            <w:noWrap w:val="0"/>
            <w:vAlign w:val="center"/>
          </w:tcPr>
          <w:p w14:paraId="6F3EE5F2">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10</w:t>
            </w:r>
          </w:p>
        </w:tc>
        <w:tc>
          <w:tcPr>
            <w:tcW w:w="1020" w:type="dxa"/>
            <w:noWrap w:val="0"/>
            <w:vAlign w:val="center"/>
          </w:tcPr>
          <w:p w14:paraId="64D7CBC3">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15</w:t>
            </w:r>
          </w:p>
        </w:tc>
        <w:tc>
          <w:tcPr>
            <w:tcW w:w="1020" w:type="dxa"/>
            <w:noWrap w:val="0"/>
            <w:vAlign w:val="center"/>
          </w:tcPr>
          <w:p w14:paraId="554995E0">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20</w:t>
            </w:r>
          </w:p>
        </w:tc>
        <w:tc>
          <w:tcPr>
            <w:tcW w:w="933" w:type="dxa"/>
            <w:noWrap w:val="0"/>
            <w:vAlign w:val="center"/>
          </w:tcPr>
          <w:p w14:paraId="36D59009">
            <w:pPr>
              <w:widowControl/>
              <w:adjustRightInd w:val="0"/>
              <w:snapToGrid w:val="0"/>
              <w:jc w:val="center"/>
              <w:textAlignment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25</w:t>
            </w:r>
          </w:p>
        </w:tc>
      </w:tr>
      <w:tr w14:paraId="0742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66" w:type="dxa"/>
            <w:vMerge w:val="restart"/>
            <w:noWrap w:val="0"/>
            <w:vAlign w:val="center"/>
          </w:tcPr>
          <w:p w14:paraId="20DA6EC9">
            <w:pPr>
              <w:widowControl/>
              <w:adjustRightInd w:val="0"/>
              <w:snapToGrid w:val="0"/>
              <w:jc w:val="center"/>
              <w:textAlignment w:val="center"/>
              <w:rPr>
                <w:rFonts w:hint="default" w:ascii="Times New Roman" w:hAnsi="Times New Roman" w:cs="Times New Roman"/>
                <w:color w:val="0000FF"/>
                <w:kern w:val="0"/>
                <w:u w:val="none"/>
              </w:rPr>
            </w:pPr>
            <w:r>
              <w:rPr>
                <w:rFonts w:hint="eastAsia" w:ascii="Times New Roman" w:hAnsi="Times New Roman" w:cs="Times New Roman"/>
                <w:color w:val="auto"/>
                <w:u w:val="none"/>
                <w:lang w:val="en-US" w:eastAsia="zh-CN"/>
              </w:rPr>
              <w:t>34000</w:t>
            </w:r>
          </w:p>
        </w:tc>
        <w:tc>
          <w:tcPr>
            <w:tcW w:w="661" w:type="dxa"/>
            <w:vMerge w:val="restart"/>
            <w:noWrap w:val="0"/>
            <w:vAlign w:val="center"/>
          </w:tcPr>
          <w:p w14:paraId="355588AE">
            <w:pPr>
              <w:widowControl/>
              <w:adjustRightInd w:val="0"/>
              <w:snapToGrid w:val="0"/>
              <w:jc w:val="center"/>
              <w:textAlignment w:val="center"/>
              <w:rPr>
                <w:rFonts w:hint="default" w:ascii="Times New Roman" w:hAnsi="Times New Roman" w:cs="Times New Roman"/>
                <w:color w:val="000000" w:themeColor="text1"/>
                <w:kern w:val="0"/>
                <w:u w:val="none"/>
                <w14:textFill>
                  <w14:solidFill>
                    <w14:schemeClr w14:val="tx1"/>
                  </w14:solidFill>
                </w14:textFill>
              </w:rPr>
            </w:pPr>
            <w:r>
              <w:rPr>
                <w:rFonts w:hint="default" w:ascii="Times New Roman" w:hAnsi="Times New Roman" w:cs="Times New Roman"/>
                <w:color w:val="000000" w:themeColor="text1"/>
                <w:kern w:val="0"/>
                <w:u w:val="none"/>
                <w:lang w:val="en-US" w:eastAsia="zh-CN"/>
                <w14:textFill>
                  <w14:solidFill>
                    <w14:schemeClr w14:val="tx1"/>
                  </w14:solidFill>
                </w14:textFill>
              </w:rPr>
              <w:t>总磷</w:t>
            </w:r>
          </w:p>
        </w:tc>
        <w:tc>
          <w:tcPr>
            <w:tcW w:w="1575" w:type="dxa"/>
            <w:noWrap w:val="0"/>
            <w:vAlign w:val="center"/>
          </w:tcPr>
          <w:p w14:paraId="23343FE7">
            <w:pPr>
              <w:widowControl/>
              <w:adjustRightInd w:val="0"/>
              <w:snapToGrid w:val="0"/>
              <w:jc w:val="center"/>
              <w:textAlignment w:val="center"/>
              <w:rPr>
                <w:rFonts w:hint="default" w:ascii="Times New Roman" w:hAnsi="Times New Roman" w:cs="Times New Roman"/>
                <w:color w:val="000000" w:themeColor="text1"/>
                <w:kern w:val="0"/>
                <w:u w:val="none"/>
                <w14:textFill>
                  <w14:solidFill>
                    <w14:schemeClr w14:val="tx1"/>
                  </w14:solidFill>
                </w14:textFill>
              </w:rPr>
            </w:pPr>
            <w:r>
              <w:rPr>
                <w:rFonts w:hint="default" w:ascii="Times New Roman" w:hAnsi="Times New Roman" w:cs="Times New Roman"/>
                <w:color w:val="000000" w:themeColor="text1"/>
                <w:kern w:val="0"/>
                <w:u w:val="none"/>
                <w14:textFill>
                  <w14:solidFill>
                    <w14:schemeClr w14:val="tx1"/>
                  </w14:solidFill>
                </w14:textFill>
              </w:rPr>
              <w:t>0</w:t>
            </w:r>
          </w:p>
        </w:tc>
        <w:tc>
          <w:tcPr>
            <w:tcW w:w="1049" w:type="dxa"/>
            <w:noWrap w:val="0"/>
            <w:vAlign w:val="center"/>
          </w:tcPr>
          <w:p w14:paraId="03C8AA88">
            <w:pPr>
              <w:widowControl/>
              <w:adjustRightInd w:val="0"/>
              <w:snapToGrid w:val="0"/>
              <w:jc w:val="center"/>
              <w:textAlignment w:val="center"/>
              <w:rPr>
                <w:rFonts w:hint="eastAsia"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5.06</w:t>
            </w:r>
            <w:r>
              <w:rPr>
                <w:rFonts w:hint="default" w:ascii="Times New Roman" w:hAnsi="Times New Roman" w:cs="Times New Roman"/>
                <w:color w:val="auto"/>
                <w:kern w:val="0"/>
                <w:u w:val="none"/>
              </w:rPr>
              <w:t>E</w:t>
            </w:r>
            <w:r>
              <w:rPr>
                <w:rFonts w:hint="eastAsia" w:cs="Times New Roman"/>
                <w:color w:val="auto"/>
                <w:kern w:val="0"/>
                <w:u w:val="none"/>
                <w:lang w:val="en-US" w:eastAsia="zh-CN"/>
              </w:rPr>
              <w:t>-</w:t>
            </w:r>
            <w:r>
              <w:rPr>
                <w:rFonts w:hint="default" w:ascii="Times New Roman" w:hAnsi="Times New Roman" w:cs="Times New Roman"/>
                <w:color w:val="auto"/>
                <w:kern w:val="0"/>
                <w:u w:val="none"/>
              </w:rPr>
              <w:t>0</w:t>
            </w:r>
            <w:r>
              <w:rPr>
                <w:rFonts w:hint="eastAsia" w:cs="Times New Roman"/>
                <w:color w:val="auto"/>
                <w:kern w:val="0"/>
                <w:u w:val="none"/>
                <w:lang w:val="en-US" w:eastAsia="zh-CN"/>
              </w:rPr>
              <w:t>3</w:t>
            </w:r>
          </w:p>
        </w:tc>
        <w:tc>
          <w:tcPr>
            <w:tcW w:w="1065" w:type="dxa"/>
            <w:noWrap w:val="0"/>
            <w:vAlign w:val="center"/>
          </w:tcPr>
          <w:p w14:paraId="67184235">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6.47</w:t>
            </w:r>
            <w:r>
              <w:rPr>
                <w:rFonts w:hint="default" w:ascii="Times New Roman" w:hAnsi="Times New Roman" w:cs="Times New Roman"/>
                <w:color w:val="auto"/>
                <w:kern w:val="0"/>
                <w:u w:val="none"/>
              </w:rPr>
              <w:t>E</w:t>
            </w:r>
            <w:r>
              <w:rPr>
                <w:rFonts w:hint="eastAsia" w:cs="Times New Roman"/>
                <w:color w:val="auto"/>
                <w:kern w:val="0"/>
                <w:u w:val="none"/>
                <w:lang w:val="en-US" w:eastAsia="zh-CN"/>
              </w:rPr>
              <w:t>-</w:t>
            </w:r>
            <w:r>
              <w:rPr>
                <w:rFonts w:hint="default" w:ascii="Times New Roman" w:hAnsi="Times New Roman" w:cs="Times New Roman"/>
                <w:color w:val="auto"/>
                <w:kern w:val="0"/>
                <w:u w:val="none"/>
              </w:rPr>
              <w:t>02</w:t>
            </w:r>
          </w:p>
        </w:tc>
        <w:tc>
          <w:tcPr>
            <w:tcW w:w="1004" w:type="dxa"/>
            <w:noWrap w:val="0"/>
            <w:vAlign w:val="center"/>
          </w:tcPr>
          <w:p w14:paraId="28544001">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5.11</w:t>
            </w:r>
            <w:r>
              <w:rPr>
                <w:rFonts w:hint="default" w:ascii="Times New Roman" w:hAnsi="Times New Roman" w:cs="Times New Roman"/>
                <w:color w:val="auto"/>
                <w:kern w:val="0"/>
                <w:u w:val="none"/>
              </w:rPr>
              <w:t>E</w:t>
            </w:r>
            <w:r>
              <w:rPr>
                <w:rFonts w:hint="eastAsia" w:cs="Times New Roman"/>
                <w:color w:val="auto"/>
                <w:kern w:val="0"/>
                <w:u w:val="none"/>
                <w:lang w:val="en-US" w:eastAsia="zh-CN"/>
              </w:rPr>
              <w:t>-01</w:t>
            </w:r>
          </w:p>
        </w:tc>
        <w:tc>
          <w:tcPr>
            <w:tcW w:w="1020" w:type="dxa"/>
            <w:noWrap w:val="0"/>
            <w:vAlign w:val="center"/>
          </w:tcPr>
          <w:p w14:paraId="321F9863">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2.50</w:t>
            </w:r>
            <w:r>
              <w:rPr>
                <w:rFonts w:hint="default" w:ascii="Times New Roman" w:hAnsi="Times New Roman" w:cs="Times New Roman"/>
                <w:color w:val="auto"/>
                <w:kern w:val="0"/>
                <w:u w:val="none"/>
              </w:rPr>
              <w:t>E</w:t>
            </w:r>
            <w:r>
              <w:rPr>
                <w:rFonts w:hint="eastAsia" w:cs="Times New Roman"/>
                <w:color w:val="auto"/>
                <w:kern w:val="0"/>
                <w:u w:val="none"/>
                <w:lang w:val="en-US" w:eastAsia="zh-CN"/>
              </w:rPr>
              <w:t>+00</w:t>
            </w:r>
          </w:p>
        </w:tc>
        <w:tc>
          <w:tcPr>
            <w:tcW w:w="1020" w:type="dxa"/>
            <w:noWrap w:val="0"/>
            <w:vAlign w:val="center"/>
          </w:tcPr>
          <w:p w14:paraId="780CEF34">
            <w:pPr>
              <w:widowControl/>
              <w:adjustRightInd w:val="0"/>
              <w:snapToGrid w:val="0"/>
              <w:jc w:val="center"/>
              <w:textAlignment w:val="center"/>
              <w:rPr>
                <w:rFonts w:hint="default" w:ascii="Times New Roman" w:hAnsi="Times New Roman" w:eastAsia="宋体" w:cs="Times New Roman"/>
                <w:color w:val="000000" w:themeColor="text1"/>
                <w:kern w:val="0"/>
                <w:u w:val="none"/>
                <w:lang w:eastAsia="zh-CN"/>
                <w14:textFill>
                  <w14:solidFill>
                    <w14:schemeClr w14:val="tx1"/>
                  </w14:solidFill>
                </w14:textFill>
              </w:rPr>
            </w:pPr>
            <w:r>
              <w:rPr>
                <w:rFonts w:hint="eastAsia" w:cs="Times New Roman"/>
                <w:color w:val="auto"/>
                <w:kern w:val="0"/>
                <w:u w:val="none"/>
                <w:lang w:val="en-US" w:eastAsia="zh-CN"/>
              </w:rPr>
              <w:t>7.55</w:t>
            </w:r>
            <w:r>
              <w:rPr>
                <w:rFonts w:hint="default" w:ascii="Times New Roman" w:hAnsi="Times New Roman" w:cs="Times New Roman"/>
                <w:color w:val="auto"/>
                <w:kern w:val="0"/>
                <w:u w:val="none"/>
              </w:rPr>
              <w:t>E</w:t>
            </w:r>
            <w:r>
              <w:rPr>
                <w:rFonts w:hint="eastAsia" w:cs="Times New Roman"/>
                <w:color w:val="auto"/>
                <w:kern w:val="0"/>
                <w:u w:val="none"/>
                <w:lang w:val="en-US" w:eastAsia="zh-CN"/>
              </w:rPr>
              <w:t>+00</w:t>
            </w:r>
          </w:p>
        </w:tc>
        <w:tc>
          <w:tcPr>
            <w:tcW w:w="933" w:type="dxa"/>
            <w:noWrap w:val="0"/>
            <w:vAlign w:val="center"/>
          </w:tcPr>
          <w:p w14:paraId="053DF53C">
            <w:pPr>
              <w:widowControl/>
              <w:adjustRightInd w:val="0"/>
              <w:snapToGrid w:val="0"/>
              <w:jc w:val="center"/>
              <w:textAlignment w:val="center"/>
              <w:rPr>
                <w:rFonts w:hint="default" w:ascii="Times New Roman" w:hAnsi="Times New Roman" w:eastAsia="宋体" w:cs="Times New Roman"/>
                <w:color w:val="000000" w:themeColor="text1"/>
                <w:kern w:val="0"/>
                <w:u w:val="none"/>
                <w:lang w:eastAsia="zh-CN"/>
                <w14:textFill>
                  <w14:solidFill>
                    <w14:schemeClr w14:val="tx1"/>
                  </w14:solidFill>
                </w14:textFill>
              </w:rPr>
            </w:pPr>
            <w:r>
              <w:rPr>
                <w:rFonts w:hint="eastAsia" w:cs="Times New Roman"/>
                <w:color w:val="auto"/>
                <w:kern w:val="0"/>
                <w:u w:val="none"/>
                <w:lang w:val="en-US" w:eastAsia="zh-CN"/>
              </w:rPr>
              <w:t>1.41</w:t>
            </w:r>
            <w:r>
              <w:rPr>
                <w:rFonts w:hint="default" w:ascii="Times New Roman" w:hAnsi="Times New Roman" w:cs="Times New Roman"/>
                <w:color w:val="auto"/>
                <w:kern w:val="0"/>
                <w:u w:val="none"/>
              </w:rPr>
              <w:t>E</w:t>
            </w:r>
            <w:r>
              <w:rPr>
                <w:rFonts w:hint="default" w:ascii="Times New Roman" w:hAnsi="Times New Roman" w:eastAsia="宋体" w:cs="Times New Roman"/>
                <w:color w:val="auto"/>
                <w:kern w:val="0"/>
                <w:u w:val="none"/>
              </w:rPr>
              <w:t>+</w:t>
            </w:r>
            <w:r>
              <w:rPr>
                <w:rFonts w:hint="eastAsia" w:cs="Times New Roman"/>
                <w:color w:val="auto"/>
                <w:kern w:val="0"/>
                <w:u w:val="none"/>
                <w:lang w:val="en-US" w:eastAsia="zh-CN"/>
              </w:rPr>
              <w:t>01</w:t>
            </w:r>
          </w:p>
        </w:tc>
      </w:tr>
      <w:tr w14:paraId="0D37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66" w:type="dxa"/>
            <w:vMerge w:val="continue"/>
            <w:noWrap w:val="0"/>
            <w:vAlign w:val="center"/>
          </w:tcPr>
          <w:p w14:paraId="7A8E6172">
            <w:pPr>
              <w:widowControl/>
              <w:adjustRightInd w:val="0"/>
              <w:snapToGrid w:val="0"/>
              <w:jc w:val="center"/>
              <w:textAlignment w:val="center"/>
              <w:rPr>
                <w:rFonts w:hint="default" w:ascii="Times New Roman" w:hAnsi="Times New Roman" w:cs="Times New Roman"/>
                <w:color w:val="0000FF"/>
                <w:kern w:val="0"/>
                <w:u w:val="none"/>
              </w:rPr>
            </w:pPr>
          </w:p>
        </w:tc>
        <w:tc>
          <w:tcPr>
            <w:tcW w:w="661" w:type="dxa"/>
            <w:vMerge w:val="continue"/>
            <w:noWrap w:val="0"/>
            <w:vAlign w:val="center"/>
          </w:tcPr>
          <w:p w14:paraId="4260090E">
            <w:pPr>
              <w:widowControl/>
              <w:adjustRightInd w:val="0"/>
              <w:snapToGrid w:val="0"/>
              <w:jc w:val="center"/>
              <w:textAlignment w:val="center"/>
              <w:rPr>
                <w:rFonts w:hint="default" w:ascii="Times New Roman" w:hAnsi="Times New Roman" w:cs="Times New Roman"/>
                <w:color w:val="000000" w:themeColor="text1"/>
                <w:kern w:val="0"/>
                <w:u w:val="none"/>
                <w14:textFill>
                  <w14:solidFill>
                    <w14:schemeClr w14:val="tx1"/>
                  </w14:solidFill>
                </w14:textFill>
              </w:rPr>
            </w:pPr>
          </w:p>
        </w:tc>
        <w:tc>
          <w:tcPr>
            <w:tcW w:w="1575" w:type="dxa"/>
            <w:noWrap w:val="0"/>
            <w:vAlign w:val="center"/>
          </w:tcPr>
          <w:p w14:paraId="1ADC8FD8">
            <w:pPr>
              <w:widowControl/>
              <w:adjustRightInd w:val="0"/>
              <w:snapToGrid w:val="0"/>
              <w:jc w:val="center"/>
              <w:textAlignment w:val="center"/>
              <w:rPr>
                <w:rFonts w:hint="eastAsia" w:ascii="Times New Roman" w:hAnsi="Times New Roman" w:eastAsia="宋体" w:cs="Times New Roman"/>
                <w:color w:val="000000" w:themeColor="text1"/>
                <w:kern w:val="0"/>
                <w:u w:val="none"/>
                <w:lang w:eastAsia="zh-CN"/>
                <w14:textFill>
                  <w14:solidFill>
                    <w14:schemeClr w14:val="tx1"/>
                  </w14:solidFill>
                </w14:textFill>
              </w:rPr>
            </w:pPr>
            <w:r>
              <w:rPr>
                <w:rFonts w:hint="eastAsia" w:cs="Times New Roman"/>
                <w:color w:val="000000" w:themeColor="text1"/>
                <w:kern w:val="0"/>
                <w:u w:val="none"/>
                <w:lang w:val="en-US" w:eastAsia="zh-CN"/>
                <w14:textFill>
                  <w14:solidFill>
                    <w14:schemeClr w14:val="tx1"/>
                  </w14:solidFill>
                </w14:textFill>
              </w:rPr>
              <w:t>5</w:t>
            </w:r>
          </w:p>
        </w:tc>
        <w:tc>
          <w:tcPr>
            <w:tcW w:w="1049" w:type="dxa"/>
            <w:noWrap w:val="0"/>
            <w:vAlign w:val="center"/>
          </w:tcPr>
          <w:p w14:paraId="06522B3E">
            <w:pPr>
              <w:widowControl/>
              <w:adjustRightInd w:val="0"/>
              <w:snapToGrid w:val="0"/>
              <w:jc w:val="center"/>
              <w:textAlignment w:val="center"/>
              <w:rPr>
                <w:rFonts w:hint="eastAsia" w:ascii="Times New Roman" w:hAnsi="Times New Roman" w:eastAsia="宋体" w:cs="Times New Roman"/>
                <w:color w:val="000000" w:themeColor="text1"/>
                <w:kern w:val="0"/>
                <w:u w:val="none"/>
                <w:lang w:eastAsia="zh-CN"/>
                <w14:textFill>
                  <w14:solidFill>
                    <w14:schemeClr w14:val="tx1"/>
                  </w14:solidFill>
                </w14:textFill>
              </w:rPr>
            </w:pPr>
            <w:r>
              <w:rPr>
                <w:rFonts w:hint="eastAsia" w:cs="Times New Roman"/>
                <w:color w:val="auto"/>
                <w:kern w:val="0"/>
                <w:u w:val="none"/>
                <w:lang w:val="en-US" w:eastAsia="zh-CN"/>
              </w:rPr>
              <w:t>4.11</w:t>
            </w:r>
            <w:r>
              <w:rPr>
                <w:rFonts w:hint="default" w:ascii="Times New Roman" w:hAnsi="Times New Roman" w:cs="Times New Roman"/>
                <w:color w:val="auto"/>
                <w:kern w:val="0"/>
                <w:u w:val="none"/>
              </w:rPr>
              <w:t>E-0</w:t>
            </w:r>
            <w:r>
              <w:rPr>
                <w:rFonts w:hint="eastAsia" w:cs="Times New Roman"/>
                <w:color w:val="auto"/>
                <w:kern w:val="0"/>
                <w:u w:val="none"/>
                <w:lang w:val="en-US" w:eastAsia="zh-CN"/>
              </w:rPr>
              <w:t>3</w:t>
            </w:r>
          </w:p>
        </w:tc>
        <w:tc>
          <w:tcPr>
            <w:tcW w:w="1065" w:type="dxa"/>
            <w:noWrap w:val="0"/>
            <w:vAlign w:val="center"/>
          </w:tcPr>
          <w:p w14:paraId="46F2D990">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5.25</w:t>
            </w:r>
            <w:r>
              <w:rPr>
                <w:rFonts w:hint="default" w:ascii="Times New Roman" w:hAnsi="Times New Roman" w:eastAsia="宋体" w:cs="Times New Roman"/>
                <w:color w:val="auto"/>
                <w:kern w:val="0"/>
                <w:u w:val="none"/>
              </w:rPr>
              <w:t>E</w:t>
            </w:r>
            <w:r>
              <w:rPr>
                <w:rFonts w:hint="eastAsia" w:cs="Times New Roman"/>
                <w:color w:val="auto"/>
                <w:kern w:val="0"/>
                <w:u w:val="none"/>
                <w:lang w:val="en-US" w:eastAsia="zh-CN"/>
              </w:rPr>
              <w:t>-02</w:t>
            </w:r>
          </w:p>
        </w:tc>
        <w:tc>
          <w:tcPr>
            <w:tcW w:w="1004" w:type="dxa"/>
            <w:noWrap w:val="0"/>
            <w:vAlign w:val="center"/>
          </w:tcPr>
          <w:p w14:paraId="21EC299E">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4.15</w:t>
            </w:r>
            <w:r>
              <w:rPr>
                <w:rFonts w:hint="default" w:ascii="Times New Roman" w:hAnsi="Times New Roman" w:eastAsia="宋体" w:cs="Times New Roman"/>
                <w:color w:val="auto"/>
                <w:kern w:val="0"/>
                <w:u w:val="none"/>
              </w:rPr>
              <w:t>E-</w:t>
            </w:r>
            <w:r>
              <w:rPr>
                <w:rFonts w:hint="eastAsia" w:cs="Times New Roman"/>
                <w:color w:val="auto"/>
                <w:kern w:val="0"/>
                <w:u w:val="none"/>
                <w:lang w:val="en-US" w:eastAsia="zh-CN"/>
              </w:rPr>
              <w:t>01</w:t>
            </w:r>
          </w:p>
        </w:tc>
        <w:tc>
          <w:tcPr>
            <w:tcW w:w="1020" w:type="dxa"/>
            <w:noWrap w:val="0"/>
            <w:vAlign w:val="center"/>
          </w:tcPr>
          <w:p w14:paraId="40EA2747">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2.03</w:t>
            </w:r>
            <w:r>
              <w:rPr>
                <w:rFonts w:hint="default" w:ascii="Times New Roman" w:hAnsi="Times New Roman" w:eastAsia="宋体" w:cs="Times New Roman"/>
                <w:color w:val="auto"/>
                <w:kern w:val="0"/>
                <w:u w:val="none"/>
              </w:rPr>
              <w:t>E</w:t>
            </w:r>
            <w:r>
              <w:rPr>
                <w:rFonts w:hint="eastAsia" w:cs="Times New Roman"/>
                <w:color w:val="auto"/>
                <w:kern w:val="0"/>
                <w:u w:val="none"/>
                <w:lang w:val="en-US" w:eastAsia="zh-CN"/>
              </w:rPr>
              <w:t>+00</w:t>
            </w:r>
          </w:p>
        </w:tc>
        <w:tc>
          <w:tcPr>
            <w:tcW w:w="1020" w:type="dxa"/>
            <w:noWrap w:val="0"/>
            <w:vAlign w:val="center"/>
          </w:tcPr>
          <w:p w14:paraId="5713DE7C">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6.13</w:t>
            </w:r>
            <w:r>
              <w:rPr>
                <w:rFonts w:hint="default" w:ascii="Times New Roman" w:hAnsi="Times New Roman" w:eastAsia="宋体" w:cs="Times New Roman"/>
                <w:color w:val="auto"/>
                <w:kern w:val="0"/>
                <w:u w:val="none"/>
              </w:rPr>
              <w:t>E</w:t>
            </w:r>
            <w:r>
              <w:rPr>
                <w:rFonts w:hint="eastAsia" w:cs="Times New Roman"/>
                <w:color w:val="auto"/>
                <w:kern w:val="0"/>
                <w:u w:val="none"/>
                <w:lang w:val="en-US" w:eastAsia="zh-CN"/>
              </w:rPr>
              <w:t>+00</w:t>
            </w:r>
          </w:p>
        </w:tc>
        <w:tc>
          <w:tcPr>
            <w:tcW w:w="933" w:type="dxa"/>
            <w:noWrap w:val="0"/>
            <w:vAlign w:val="center"/>
          </w:tcPr>
          <w:p w14:paraId="20F74A84">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1.15</w:t>
            </w:r>
            <w:r>
              <w:rPr>
                <w:rFonts w:hint="default" w:ascii="Times New Roman" w:hAnsi="Times New Roman" w:eastAsia="宋体" w:cs="Times New Roman"/>
                <w:color w:val="auto"/>
                <w:kern w:val="0"/>
                <w:u w:val="none"/>
              </w:rPr>
              <w:t>E</w:t>
            </w:r>
            <w:r>
              <w:rPr>
                <w:rFonts w:hint="eastAsia" w:cs="Times New Roman"/>
                <w:color w:val="auto"/>
                <w:kern w:val="0"/>
                <w:u w:val="none"/>
                <w:lang w:val="en-US" w:eastAsia="zh-CN"/>
              </w:rPr>
              <w:t>+01</w:t>
            </w:r>
          </w:p>
        </w:tc>
      </w:tr>
      <w:tr w14:paraId="181C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66" w:type="dxa"/>
            <w:vMerge w:val="continue"/>
            <w:noWrap w:val="0"/>
            <w:vAlign w:val="center"/>
          </w:tcPr>
          <w:p w14:paraId="213E891F">
            <w:pPr>
              <w:widowControl/>
              <w:adjustRightInd w:val="0"/>
              <w:snapToGrid w:val="0"/>
              <w:jc w:val="center"/>
              <w:textAlignment w:val="center"/>
              <w:rPr>
                <w:rFonts w:hint="default" w:ascii="Times New Roman" w:hAnsi="Times New Roman" w:cs="Times New Roman"/>
                <w:color w:val="0000FF"/>
                <w:kern w:val="0"/>
                <w:u w:val="none"/>
              </w:rPr>
            </w:pPr>
          </w:p>
        </w:tc>
        <w:tc>
          <w:tcPr>
            <w:tcW w:w="661" w:type="dxa"/>
            <w:vMerge w:val="continue"/>
            <w:noWrap w:val="0"/>
            <w:vAlign w:val="center"/>
          </w:tcPr>
          <w:p w14:paraId="7ADEA128">
            <w:pPr>
              <w:widowControl/>
              <w:adjustRightInd w:val="0"/>
              <w:snapToGrid w:val="0"/>
              <w:jc w:val="center"/>
              <w:textAlignment w:val="center"/>
              <w:rPr>
                <w:rFonts w:hint="default" w:ascii="Times New Roman" w:hAnsi="Times New Roman" w:cs="Times New Roman"/>
                <w:color w:val="000000" w:themeColor="text1"/>
                <w:kern w:val="0"/>
                <w:u w:val="none"/>
                <w14:textFill>
                  <w14:solidFill>
                    <w14:schemeClr w14:val="tx1"/>
                  </w14:solidFill>
                </w14:textFill>
              </w:rPr>
            </w:pPr>
          </w:p>
        </w:tc>
        <w:tc>
          <w:tcPr>
            <w:tcW w:w="1575" w:type="dxa"/>
            <w:noWrap w:val="0"/>
            <w:vAlign w:val="center"/>
          </w:tcPr>
          <w:p w14:paraId="599FD339">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000000" w:themeColor="text1"/>
                <w:kern w:val="0"/>
                <w:u w:val="none"/>
                <w:lang w:val="en-US" w:eastAsia="zh-CN"/>
                <w14:textFill>
                  <w14:solidFill>
                    <w14:schemeClr w14:val="tx1"/>
                  </w14:solidFill>
                </w14:textFill>
              </w:rPr>
              <w:t>10</w:t>
            </w:r>
          </w:p>
        </w:tc>
        <w:tc>
          <w:tcPr>
            <w:tcW w:w="1049" w:type="dxa"/>
            <w:noWrap w:val="0"/>
            <w:vAlign w:val="center"/>
          </w:tcPr>
          <w:p w14:paraId="116AAB76">
            <w:pPr>
              <w:widowControl/>
              <w:adjustRightInd w:val="0"/>
              <w:snapToGrid w:val="0"/>
              <w:jc w:val="center"/>
              <w:textAlignment w:val="center"/>
              <w:rPr>
                <w:rFonts w:hint="eastAsia" w:ascii="Times New Roman" w:hAnsi="Times New Roman" w:eastAsia="宋体" w:cs="Times New Roman"/>
                <w:color w:val="000000" w:themeColor="text1"/>
                <w:kern w:val="0"/>
                <w:u w:val="none"/>
                <w:lang w:eastAsia="zh-CN"/>
                <w14:textFill>
                  <w14:solidFill>
                    <w14:schemeClr w14:val="tx1"/>
                  </w14:solidFill>
                </w14:textFill>
              </w:rPr>
            </w:pPr>
            <w:r>
              <w:rPr>
                <w:rFonts w:hint="eastAsia" w:cs="Times New Roman"/>
                <w:color w:val="auto"/>
                <w:kern w:val="0"/>
                <w:u w:val="none"/>
                <w:lang w:val="en-US" w:eastAsia="zh-CN"/>
              </w:rPr>
              <w:t>2.20</w:t>
            </w:r>
            <w:r>
              <w:rPr>
                <w:rFonts w:hint="default" w:ascii="Times New Roman" w:hAnsi="Times New Roman" w:eastAsia="宋体" w:cs="Times New Roman"/>
                <w:color w:val="auto"/>
                <w:kern w:val="0"/>
                <w:u w:val="none"/>
              </w:rPr>
              <w:t>E-0</w:t>
            </w:r>
            <w:r>
              <w:rPr>
                <w:rFonts w:hint="eastAsia" w:cs="Times New Roman"/>
                <w:color w:val="auto"/>
                <w:kern w:val="0"/>
                <w:u w:val="none"/>
                <w:lang w:val="en-US" w:eastAsia="zh-CN"/>
              </w:rPr>
              <w:t>3</w:t>
            </w:r>
          </w:p>
        </w:tc>
        <w:tc>
          <w:tcPr>
            <w:tcW w:w="1065" w:type="dxa"/>
            <w:noWrap w:val="0"/>
            <w:vAlign w:val="center"/>
          </w:tcPr>
          <w:p w14:paraId="7714D855">
            <w:pPr>
              <w:widowControl/>
              <w:adjustRightInd w:val="0"/>
              <w:snapToGrid w:val="0"/>
              <w:jc w:val="center"/>
              <w:textAlignment w:val="center"/>
              <w:rPr>
                <w:rFonts w:hint="default" w:ascii="Times New Roman" w:hAnsi="Times New Roman" w:eastAsia="宋体" w:cs="Times New Roman"/>
                <w:color w:val="000000" w:themeColor="text1"/>
                <w:kern w:val="0"/>
                <w:u w:val="none"/>
                <w:lang w:eastAsia="zh-CN"/>
                <w14:textFill>
                  <w14:solidFill>
                    <w14:schemeClr w14:val="tx1"/>
                  </w14:solidFill>
                </w14:textFill>
              </w:rPr>
            </w:pPr>
            <w:r>
              <w:rPr>
                <w:rFonts w:hint="eastAsia" w:cs="Times New Roman"/>
                <w:color w:val="auto"/>
                <w:kern w:val="0"/>
                <w:u w:val="none"/>
                <w:lang w:val="en-US" w:eastAsia="zh-CN"/>
              </w:rPr>
              <w:t>2.81</w:t>
            </w:r>
            <w:r>
              <w:rPr>
                <w:rFonts w:hint="default" w:ascii="Times New Roman" w:hAnsi="Times New Roman" w:cs="Times New Roman"/>
                <w:color w:val="auto"/>
                <w:kern w:val="0"/>
                <w:u w:val="none"/>
              </w:rPr>
              <w:t>E-02</w:t>
            </w:r>
          </w:p>
        </w:tc>
        <w:tc>
          <w:tcPr>
            <w:tcW w:w="1004" w:type="dxa"/>
            <w:noWrap w:val="0"/>
            <w:vAlign w:val="center"/>
          </w:tcPr>
          <w:p w14:paraId="5C8BFE53">
            <w:pPr>
              <w:widowControl/>
              <w:adjustRightInd w:val="0"/>
              <w:snapToGrid w:val="0"/>
              <w:jc w:val="center"/>
              <w:textAlignment w:val="center"/>
              <w:rPr>
                <w:rFonts w:hint="eastAsia" w:ascii="Times New Roman" w:hAnsi="Times New Roman" w:eastAsia="宋体" w:cs="Times New Roman"/>
                <w:color w:val="000000" w:themeColor="text1"/>
                <w:kern w:val="0"/>
                <w:u w:val="none"/>
                <w:lang w:eastAsia="zh-CN"/>
                <w14:textFill>
                  <w14:solidFill>
                    <w14:schemeClr w14:val="tx1"/>
                  </w14:solidFill>
                </w14:textFill>
              </w:rPr>
            </w:pPr>
            <w:r>
              <w:rPr>
                <w:rFonts w:hint="eastAsia" w:cs="Times New Roman"/>
                <w:color w:val="auto"/>
                <w:kern w:val="0"/>
                <w:u w:val="none"/>
                <w:lang w:val="en-US" w:eastAsia="zh-CN"/>
              </w:rPr>
              <w:t>2.22</w:t>
            </w:r>
            <w:r>
              <w:rPr>
                <w:rFonts w:hint="default" w:ascii="Times New Roman" w:hAnsi="Times New Roman" w:cs="Times New Roman"/>
                <w:color w:val="auto"/>
                <w:kern w:val="0"/>
                <w:u w:val="none"/>
              </w:rPr>
              <w:t>E-0</w:t>
            </w:r>
            <w:r>
              <w:rPr>
                <w:rFonts w:hint="eastAsia" w:cs="Times New Roman"/>
                <w:color w:val="auto"/>
                <w:kern w:val="0"/>
                <w:u w:val="none"/>
                <w:lang w:val="en-US" w:eastAsia="zh-CN"/>
              </w:rPr>
              <w:t>1</w:t>
            </w:r>
          </w:p>
        </w:tc>
        <w:tc>
          <w:tcPr>
            <w:tcW w:w="1020" w:type="dxa"/>
            <w:noWrap w:val="0"/>
            <w:vAlign w:val="center"/>
          </w:tcPr>
          <w:p w14:paraId="3007D7A0">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1.09</w:t>
            </w:r>
            <w:r>
              <w:rPr>
                <w:rFonts w:hint="default" w:ascii="Times New Roman" w:hAnsi="Times New Roman" w:cs="Times New Roman"/>
                <w:color w:val="auto"/>
                <w:kern w:val="0"/>
                <w:u w:val="none"/>
              </w:rPr>
              <w:t>E</w:t>
            </w:r>
            <w:r>
              <w:rPr>
                <w:rFonts w:hint="eastAsia" w:cs="Times New Roman"/>
                <w:color w:val="auto"/>
                <w:kern w:val="0"/>
                <w:u w:val="none"/>
                <w:lang w:val="en-US" w:eastAsia="zh-CN"/>
              </w:rPr>
              <w:t>+00</w:t>
            </w:r>
          </w:p>
        </w:tc>
        <w:tc>
          <w:tcPr>
            <w:tcW w:w="1020" w:type="dxa"/>
            <w:noWrap w:val="0"/>
            <w:vAlign w:val="center"/>
          </w:tcPr>
          <w:p w14:paraId="78D6BEFD">
            <w:pPr>
              <w:widowControl/>
              <w:adjustRightInd w:val="0"/>
              <w:snapToGrid w:val="0"/>
              <w:jc w:val="center"/>
              <w:textAlignment w:val="center"/>
              <w:rPr>
                <w:rFonts w:hint="default" w:ascii="Times New Roman" w:hAnsi="Times New Roman" w:eastAsia="宋体" w:cs="Times New Roman"/>
                <w:color w:val="000000" w:themeColor="text1"/>
                <w:kern w:val="0"/>
                <w:u w:val="none"/>
                <w:lang w:eastAsia="zh-CN"/>
                <w14:textFill>
                  <w14:solidFill>
                    <w14:schemeClr w14:val="tx1"/>
                  </w14:solidFill>
                </w14:textFill>
              </w:rPr>
            </w:pPr>
            <w:r>
              <w:rPr>
                <w:rFonts w:hint="eastAsia" w:cs="Times New Roman"/>
                <w:color w:val="auto"/>
                <w:kern w:val="0"/>
                <w:u w:val="none"/>
                <w:lang w:val="en-US" w:eastAsia="zh-CN"/>
              </w:rPr>
              <w:t>3.28</w:t>
            </w:r>
            <w:r>
              <w:rPr>
                <w:rFonts w:hint="default" w:ascii="Times New Roman" w:hAnsi="Times New Roman" w:eastAsia="宋体" w:cs="Times New Roman"/>
                <w:color w:val="auto"/>
                <w:kern w:val="0"/>
                <w:u w:val="none"/>
              </w:rPr>
              <w:t>E</w:t>
            </w:r>
            <w:r>
              <w:rPr>
                <w:rFonts w:hint="eastAsia" w:cs="Times New Roman"/>
                <w:color w:val="auto"/>
                <w:kern w:val="0"/>
                <w:u w:val="none"/>
                <w:lang w:val="en-US" w:eastAsia="zh-CN"/>
              </w:rPr>
              <w:t>+00</w:t>
            </w:r>
          </w:p>
        </w:tc>
        <w:tc>
          <w:tcPr>
            <w:tcW w:w="933" w:type="dxa"/>
            <w:noWrap w:val="0"/>
            <w:vAlign w:val="center"/>
          </w:tcPr>
          <w:p w14:paraId="3F5F2AB1">
            <w:pPr>
              <w:widowControl/>
              <w:adjustRightInd w:val="0"/>
              <w:snapToGrid w:val="0"/>
              <w:jc w:val="center"/>
              <w:textAlignment w:val="center"/>
              <w:rPr>
                <w:rFonts w:hint="default" w:ascii="Times New Roman" w:hAnsi="Times New Roman" w:eastAsia="宋体" w:cs="Times New Roman"/>
                <w:color w:val="000000" w:themeColor="text1"/>
                <w:kern w:val="0"/>
                <w:u w:val="none"/>
                <w:lang w:eastAsia="zh-CN"/>
                <w14:textFill>
                  <w14:solidFill>
                    <w14:schemeClr w14:val="tx1"/>
                  </w14:solidFill>
                </w14:textFill>
              </w:rPr>
            </w:pPr>
            <w:r>
              <w:rPr>
                <w:rFonts w:hint="eastAsia" w:cs="Times New Roman"/>
                <w:color w:val="auto"/>
                <w:kern w:val="0"/>
                <w:u w:val="none"/>
                <w:lang w:val="en-US" w:eastAsia="zh-CN"/>
              </w:rPr>
              <w:t>6.13</w:t>
            </w:r>
            <w:r>
              <w:rPr>
                <w:rFonts w:hint="default" w:ascii="Times New Roman" w:hAnsi="Times New Roman" w:eastAsia="宋体" w:cs="Times New Roman"/>
                <w:color w:val="auto"/>
                <w:kern w:val="0"/>
                <w:u w:val="none"/>
              </w:rPr>
              <w:t>E</w:t>
            </w:r>
            <w:r>
              <w:rPr>
                <w:rFonts w:hint="eastAsia" w:cs="Times New Roman"/>
                <w:color w:val="auto"/>
                <w:kern w:val="0"/>
                <w:u w:val="none"/>
                <w:lang w:val="en-US" w:eastAsia="zh-CN"/>
              </w:rPr>
              <w:t>+01</w:t>
            </w:r>
          </w:p>
        </w:tc>
      </w:tr>
      <w:tr w14:paraId="23FB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66" w:type="dxa"/>
            <w:vMerge w:val="continue"/>
            <w:noWrap w:val="0"/>
            <w:vAlign w:val="center"/>
          </w:tcPr>
          <w:p w14:paraId="555450BF">
            <w:pPr>
              <w:widowControl/>
              <w:adjustRightInd w:val="0"/>
              <w:snapToGrid w:val="0"/>
              <w:jc w:val="center"/>
              <w:textAlignment w:val="center"/>
              <w:rPr>
                <w:rFonts w:hint="default" w:ascii="Times New Roman" w:hAnsi="Times New Roman" w:cs="Times New Roman"/>
                <w:color w:val="0000FF"/>
                <w:kern w:val="0"/>
                <w:u w:val="none"/>
              </w:rPr>
            </w:pPr>
          </w:p>
        </w:tc>
        <w:tc>
          <w:tcPr>
            <w:tcW w:w="661" w:type="dxa"/>
            <w:vMerge w:val="continue"/>
            <w:noWrap w:val="0"/>
            <w:vAlign w:val="center"/>
          </w:tcPr>
          <w:p w14:paraId="505C4FB1">
            <w:pPr>
              <w:widowControl/>
              <w:adjustRightInd w:val="0"/>
              <w:snapToGrid w:val="0"/>
              <w:jc w:val="center"/>
              <w:textAlignment w:val="center"/>
              <w:rPr>
                <w:rFonts w:hint="default" w:ascii="Times New Roman" w:hAnsi="Times New Roman" w:cs="Times New Roman"/>
                <w:color w:val="000000" w:themeColor="text1"/>
                <w:kern w:val="0"/>
                <w:u w:val="none"/>
                <w14:textFill>
                  <w14:solidFill>
                    <w14:schemeClr w14:val="tx1"/>
                  </w14:solidFill>
                </w14:textFill>
              </w:rPr>
            </w:pPr>
          </w:p>
        </w:tc>
        <w:tc>
          <w:tcPr>
            <w:tcW w:w="1575" w:type="dxa"/>
            <w:noWrap w:val="0"/>
            <w:vAlign w:val="center"/>
          </w:tcPr>
          <w:p w14:paraId="3845972D">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000000" w:themeColor="text1"/>
                <w:kern w:val="0"/>
                <w:u w:val="none"/>
                <w:lang w:val="en-US" w:eastAsia="zh-CN"/>
                <w14:textFill>
                  <w14:solidFill>
                    <w14:schemeClr w14:val="tx1"/>
                  </w14:solidFill>
                </w14:textFill>
              </w:rPr>
              <w:t>15</w:t>
            </w:r>
          </w:p>
        </w:tc>
        <w:tc>
          <w:tcPr>
            <w:tcW w:w="1049" w:type="dxa"/>
            <w:noWrap w:val="0"/>
            <w:vAlign w:val="center"/>
          </w:tcPr>
          <w:p w14:paraId="56F80F23">
            <w:pPr>
              <w:widowControl/>
              <w:adjustRightInd w:val="0"/>
              <w:snapToGrid w:val="0"/>
              <w:jc w:val="center"/>
              <w:textAlignment w:val="center"/>
              <w:rPr>
                <w:rFonts w:hint="eastAsia" w:ascii="Times New Roman" w:hAnsi="Times New Roman" w:eastAsia="宋体" w:cs="Times New Roman"/>
                <w:color w:val="000000" w:themeColor="text1"/>
                <w:kern w:val="0"/>
                <w:u w:val="none"/>
                <w:lang w:eastAsia="zh-CN"/>
                <w14:textFill>
                  <w14:solidFill>
                    <w14:schemeClr w14:val="tx1"/>
                  </w14:solidFill>
                </w14:textFill>
              </w:rPr>
            </w:pPr>
            <w:r>
              <w:rPr>
                <w:rFonts w:hint="eastAsia" w:cs="Times New Roman"/>
                <w:color w:val="auto"/>
                <w:kern w:val="0"/>
                <w:u w:val="none"/>
                <w:lang w:val="en-US" w:eastAsia="zh-CN"/>
              </w:rPr>
              <w:t>7.76</w:t>
            </w:r>
            <w:r>
              <w:rPr>
                <w:rFonts w:hint="default" w:ascii="Times New Roman" w:hAnsi="Times New Roman" w:cs="Times New Roman"/>
                <w:color w:val="auto"/>
                <w:kern w:val="0"/>
                <w:u w:val="none"/>
              </w:rPr>
              <w:t>E-0</w:t>
            </w:r>
            <w:r>
              <w:rPr>
                <w:rFonts w:hint="eastAsia" w:cs="Times New Roman"/>
                <w:color w:val="auto"/>
                <w:kern w:val="0"/>
                <w:u w:val="none"/>
                <w:lang w:val="en-US" w:eastAsia="zh-CN"/>
              </w:rPr>
              <w:t>4</w:t>
            </w:r>
          </w:p>
        </w:tc>
        <w:tc>
          <w:tcPr>
            <w:tcW w:w="1065" w:type="dxa"/>
            <w:noWrap w:val="0"/>
            <w:vAlign w:val="center"/>
          </w:tcPr>
          <w:p w14:paraId="7448E60B">
            <w:pPr>
              <w:widowControl/>
              <w:adjustRightInd w:val="0"/>
              <w:snapToGrid w:val="0"/>
              <w:jc w:val="center"/>
              <w:textAlignment w:val="center"/>
              <w:rPr>
                <w:rFonts w:hint="eastAsia" w:ascii="Times New Roman" w:hAnsi="Times New Roman" w:eastAsia="宋体" w:cs="Times New Roman"/>
                <w:color w:val="000000" w:themeColor="text1"/>
                <w:kern w:val="0"/>
                <w:u w:val="none"/>
                <w:lang w:eastAsia="zh-CN"/>
                <w14:textFill>
                  <w14:solidFill>
                    <w14:schemeClr w14:val="tx1"/>
                  </w14:solidFill>
                </w14:textFill>
              </w:rPr>
            </w:pPr>
            <w:r>
              <w:rPr>
                <w:rFonts w:hint="eastAsia" w:cs="Times New Roman"/>
                <w:color w:val="auto"/>
                <w:kern w:val="0"/>
                <w:u w:val="none"/>
                <w:lang w:val="en-US" w:eastAsia="zh-CN"/>
              </w:rPr>
              <w:t>9.92</w:t>
            </w:r>
            <w:r>
              <w:rPr>
                <w:rFonts w:hint="default" w:ascii="Times New Roman" w:hAnsi="Times New Roman" w:cs="Times New Roman"/>
                <w:color w:val="auto"/>
                <w:kern w:val="0"/>
                <w:u w:val="none"/>
              </w:rPr>
              <w:t>E-0</w:t>
            </w:r>
            <w:r>
              <w:rPr>
                <w:rFonts w:hint="eastAsia" w:cs="Times New Roman"/>
                <w:color w:val="auto"/>
                <w:kern w:val="0"/>
                <w:u w:val="none"/>
                <w:lang w:val="en-US" w:eastAsia="zh-CN"/>
              </w:rPr>
              <w:t>3</w:t>
            </w:r>
          </w:p>
        </w:tc>
        <w:tc>
          <w:tcPr>
            <w:tcW w:w="1004" w:type="dxa"/>
            <w:noWrap w:val="0"/>
            <w:vAlign w:val="center"/>
          </w:tcPr>
          <w:p w14:paraId="5FF819B0">
            <w:pPr>
              <w:widowControl/>
              <w:adjustRightInd w:val="0"/>
              <w:snapToGrid w:val="0"/>
              <w:jc w:val="center"/>
              <w:textAlignment w:val="center"/>
              <w:rPr>
                <w:rFonts w:hint="eastAsia" w:ascii="Times New Roman" w:hAnsi="Times New Roman" w:eastAsia="宋体" w:cs="Times New Roman"/>
                <w:color w:val="000000" w:themeColor="text1"/>
                <w:kern w:val="0"/>
                <w:u w:val="none"/>
                <w:lang w:eastAsia="zh-CN"/>
                <w14:textFill>
                  <w14:solidFill>
                    <w14:schemeClr w14:val="tx1"/>
                  </w14:solidFill>
                </w14:textFill>
              </w:rPr>
            </w:pPr>
            <w:r>
              <w:rPr>
                <w:rFonts w:hint="eastAsia" w:cs="Times New Roman"/>
                <w:color w:val="auto"/>
                <w:kern w:val="0"/>
                <w:u w:val="none"/>
                <w:lang w:val="en-US" w:eastAsia="zh-CN"/>
              </w:rPr>
              <w:t>7.84</w:t>
            </w:r>
            <w:r>
              <w:rPr>
                <w:rFonts w:hint="default" w:ascii="Times New Roman" w:hAnsi="Times New Roman" w:cs="Times New Roman"/>
                <w:color w:val="auto"/>
                <w:kern w:val="0"/>
                <w:u w:val="none"/>
              </w:rPr>
              <w:t>E-0</w:t>
            </w:r>
            <w:r>
              <w:rPr>
                <w:rFonts w:hint="eastAsia" w:cs="Times New Roman"/>
                <w:color w:val="auto"/>
                <w:kern w:val="0"/>
                <w:u w:val="none"/>
                <w:lang w:val="en-US" w:eastAsia="zh-CN"/>
              </w:rPr>
              <w:t>2</w:t>
            </w:r>
          </w:p>
        </w:tc>
        <w:tc>
          <w:tcPr>
            <w:tcW w:w="1020" w:type="dxa"/>
            <w:noWrap w:val="0"/>
            <w:vAlign w:val="center"/>
          </w:tcPr>
          <w:p w14:paraId="5DCD5508">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3.83</w:t>
            </w:r>
            <w:r>
              <w:rPr>
                <w:rFonts w:hint="default" w:ascii="Times New Roman" w:hAnsi="Times New Roman" w:cs="Times New Roman"/>
                <w:color w:val="auto"/>
                <w:kern w:val="0"/>
                <w:u w:val="none"/>
              </w:rPr>
              <w:t>E-</w:t>
            </w:r>
            <w:r>
              <w:rPr>
                <w:rFonts w:hint="eastAsia" w:cs="Times New Roman"/>
                <w:color w:val="auto"/>
                <w:kern w:val="0"/>
                <w:u w:val="none"/>
                <w:lang w:val="en-US" w:eastAsia="zh-CN"/>
              </w:rPr>
              <w:t>01</w:t>
            </w:r>
          </w:p>
        </w:tc>
        <w:tc>
          <w:tcPr>
            <w:tcW w:w="1020" w:type="dxa"/>
            <w:noWrap w:val="0"/>
            <w:vAlign w:val="center"/>
          </w:tcPr>
          <w:p w14:paraId="2BAF51BF">
            <w:pPr>
              <w:widowControl/>
              <w:adjustRightInd w:val="0"/>
              <w:snapToGrid w:val="0"/>
              <w:jc w:val="center"/>
              <w:textAlignment w:val="center"/>
              <w:rPr>
                <w:rFonts w:hint="default" w:ascii="Times New Roman" w:hAnsi="Times New Roman" w:cs="Times New Roman"/>
                <w:color w:val="000000" w:themeColor="text1"/>
                <w:kern w:val="0"/>
                <w:u w:val="none"/>
                <w14:textFill>
                  <w14:solidFill>
                    <w14:schemeClr w14:val="tx1"/>
                  </w14:solidFill>
                </w14:textFill>
              </w:rPr>
            </w:pPr>
            <w:r>
              <w:rPr>
                <w:rFonts w:hint="eastAsia" w:cs="Times New Roman"/>
                <w:color w:val="auto"/>
                <w:kern w:val="0"/>
                <w:u w:val="none"/>
                <w:lang w:val="en-US" w:eastAsia="zh-CN"/>
              </w:rPr>
              <w:t>1.16</w:t>
            </w:r>
            <w:r>
              <w:rPr>
                <w:rFonts w:hint="default" w:ascii="Times New Roman" w:hAnsi="Times New Roman" w:eastAsia="宋体" w:cs="Times New Roman"/>
                <w:color w:val="auto"/>
                <w:kern w:val="0"/>
                <w:u w:val="none"/>
              </w:rPr>
              <w:t>E</w:t>
            </w:r>
            <w:r>
              <w:rPr>
                <w:rFonts w:hint="eastAsia" w:cs="Times New Roman"/>
                <w:color w:val="auto"/>
                <w:kern w:val="0"/>
                <w:u w:val="none"/>
                <w:lang w:val="en-US" w:eastAsia="zh-CN"/>
              </w:rPr>
              <w:t>+00</w:t>
            </w:r>
          </w:p>
        </w:tc>
        <w:tc>
          <w:tcPr>
            <w:tcW w:w="933" w:type="dxa"/>
            <w:noWrap w:val="0"/>
            <w:vAlign w:val="center"/>
          </w:tcPr>
          <w:p w14:paraId="01F2C70B">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2.16</w:t>
            </w:r>
            <w:r>
              <w:rPr>
                <w:rFonts w:hint="default" w:ascii="Times New Roman" w:hAnsi="Times New Roman" w:eastAsia="宋体" w:cs="Times New Roman"/>
                <w:color w:val="auto"/>
                <w:kern w:val="0"/>
                <w:u w:val="none"/>
              </w:rPr>
              <w:t>E</w:t>
            </w:r>
            <w:r>
              <w:rPr>
                <w:rFonts w:hint="eastAsia" w:cs="Times New Roman"/>
                <w:color w:val="auto"/>
                <w:kern w:val="0"/>
                <w:u w:val="none"/>
                <w:lang w:val="en-US" w:eastAsia="zh-CN"/>
              </w:rPr>
              <w:t>+01</w:t>
            </w:r>
          </w:p>
        </w:tc>
      </w:tr>
      <w:tr w14:paraId="6398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66" w:type="dxa"/>
            <w:vMerge w:val="continue"/>
            <w:noWrap w:val="0"/>
            <w:vAlign w:val="center"/>
          </w:tcPr>
          <w:p w14:paraId="7BDB7069">
            <w:pPr>
              <w:widowControl/>
              <w:adjustRightInd w:val="0"/>
              <w:snapToGrid w:val="0"/>
              <w:jc w:val="center"/>
              <w:textAlignment w:val="center"/>
              <w:rPr>
                <w:rFonts w:hint="default" w:ascii="Times New Roman" w:hAnsi="Times New Roman" w:cs="Times New Roman"/>
                <w:color w:val="0000FF"/>
                <w:kern w:val="0"/>
                <w:u w:val="none"/>
              </w:rPr>
            </w:pPr>
          </w:p>
        </w:tc>
        <w:tc>
          <w:tcPr>
            <w:tcW w:w="661" w:type="dxa"/>
            <w:vMerge w:val="continue"/>
            <w:noWrap w:val="0"/>
            <w:vAlign w:val="center"/>
          </w:tcPr>
          <w:p w14:paraId="6957F3DF">
            <w:pPr>
              <w:widowControl/>
              <w:adjustRightInd w:val="0"/>
              <w:snapToGrid w:val="0"/>
              <w:jc w:val="center"/>
              <w:textAlignment w:val="center"/>
              <w:rPr>
                <w:rFonts w:hint="default" w:ascii="Times New Roman" w:hAnsi="Times New Roman" w:cs="Times New Roman"/>
                <w:color w:val="000000" w:themeColor="text1"/>
                <w:kern w:val="0"/>
                <w:u w:val="none"/>
                <w14:textFill>
                  <w14:solidFill>
                    <w14:schemeClr w14:val="tx1"/>
                  </w14:solidFill>
                </w14:textFill>
              </w:rPr>
            </w:pPr>
          </w:p>
        </w:tc>
        <w:tc>
          <w:tcPr>
            <w:tcW w:w="1575" w:type="dxa"/>
            <w:noWrap w:val="0"/>
            <w:vAlign w:val="center"/>
          </w:tcPr>
          <w:p w14:paraId="5A24AA5E">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000000" w:themeColor="text1"/>
                <w:kern w:val="0"/>
                <w:u w:val="none"/>
                <w:lang w:val="en-US" w:eastAsia="zh-CN"/>
                <w14:textFill>
                  <w14:solidFill>
                    <w14:schemeClr w14:val="tx1"/>
                  </w14:solidFill>
                </w14:textFill>
              </w:rPr>
              <w:t>20</w:t>
            </w:r>
          </w:p>
        </w:tc>
        <w:tc>
          <w:tcPr>
            <w:tcW w:w="1049" w:type="dxa"/>
            <w:noWrap w:val="0"/>
            <w:vAlign w:val="center"/>
          </w:tcPr>
          <w:p w14:paraId="0EC4C357">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1.81</w:t>
            </w:r>
            <w:r>
              <w:rPr>
                <w:rFonts w:hint="default" w:ascii="Times New Roman" w:hAnsi="Times New Roman" w:cs="Times New Roman"/>
                <w:color w:val="auto"/>
                <w:kern w:val="0"/>
                <w:u w:val="none"/>
              </w:rPr>
              <w:t>E-</w:t>
            </w:r>
            <w:r>
              <w:rPr>
                <w:rFonts w:hint="eastAsia" w:cs="Times New Roman"/>
                <w:color w:val="auto"/>
                <w:kern w:val="0"/>
                <w:u w:val="none"/>
                <w:lang w:val="en-US" w:eastAsia="zh-CN"/>
              </w:rPr>
              <w:t>04</w:t>
            </w:r>
          </w:p>
        </w:tc>
        <w:tc>
          <w:tcPr>
            <w:tcW w:w="1065" w:type="dxa"/>
            <w:noWrap w:val="0"/>
            <w:vAlign w:val="center"/>
          </w:tcPr>
          <w:p w14:paraId="5C96C95C">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2.31</w:t>
            </w:r>
            <w:r>
              <w:rPr>
                <w:rFonts w:hint="default" w:ascii="Times New Roman" w:hAnsi="Times New Roman" w:cs="Times New Roman"/>
                <w:color w:val="auto"/>
                <w:kern w:val="0"/>
                <w:u w:val="none"/>
              </w:rPr>
              <w:t>E-</w:t>
            </w:r>
            <w:r>
              <w:rPr>
                <w:rFonts w:hint="eastAsia" w:cs="Times New Roman"/>
                <w:color w:val="auto"/>
                <w:kern w:val="0"/>
                <w:u w:val="none"/>
                <w:lang w:val="en-US" w:eastAsia="zh-CN"/>
              </w:rPr>
              <w:t>03</w:t>
            </w:r>
          </w:p>
        </w:tc>
        <w:tc>
          <w:tcPr>
            <w:tcW w:w="1004" w:type="dxa"/>
            <w:noWrap w:val="0"/>
            <w:vAlign w:val="center"/>
          </w:tcPr>
          <w:p w14:paraId="559057A7">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1.82</w:t>
            </w:r>
            <w:r>
              <w:rPr>
                <w:rFonts w:hint="default" w:ascii="Times New Roman" w:hAnsi="Times New Roman" w:cs="Times New Roman"/>
                <w:color w:val="auto"/>
                <w:kern w:val="0"/>
                <w:u w:val="none"/>
              </w:rPr>
              <w:t>E-</w:t>
            </w:r>
            <w:r>
              <w:rPr>
                <w:rFonts w:hint="eastAsia" w:cs="Times New Roman"/>
                <w:color w:val="auto"/>
                <w:kern w:val="0"/>
                <w:u w:val="none"/>
                <w:lang w:val="en-US" w:eastAsia="zh-CN"/>
              </w:rPr>
              <w:t>02</w:t>
            </w:r>
          </w:p>
        </w:tc>
        <w:tc>
          <w:tcPr>
            <w:tcW w:w="1020" w:type="dxa"/>
            <w:noWrap w:val="0"/>
            <w:vAlign w:val="center"/>
          </w:tcPr>
          <w:p w14:paraId="01312F4D">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8.92</w:t>
            </w:r>
            <w:r>
              <w:rPr>
                <w:rFonts w:hint="default" w:ascii="Times New Roman" w:hAnsi="Times New Roman" w:cs="Times New Roman"/>
                <w:color w:val="auto"/>
                <w:kern w:val="0"/>
                <w:u w:val="none"/>
              </w:rPr>
              <w:t>E-</w:t>
            </w:r>
            <w:r>
              <w:rPr>
                <w:rFonts w:hint="eastAsia" w:cs="Times New Roman"/>
                <w:color w:val="auto"/>
                <w:kern w:val="0"/>
                <w:u w:val="none"/>
                <w:lang w:val="en-US" w:eastAsia="zh-CN"/>
              </w:rPr>
              <w:t>02</w:t>
            </w:r>
          </w:p>
        </w:tc>
        <w:tc>
          <w:tcPr>
            <w:tcW w:w="1020" w:type="dxa"/>
            <w:noWrap w:val="0"/>
            <w:vAlign w:val="center"/>
          </w:tcPr>
          <w:p w14:paraId="4616A784">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2.69</w:t>
            </w:r>
            <w:r>
              <w:rPr>
                <w:rFonts w:hint="default" w:ascii="Times New Roman" w:hAnsi="Times New Roman" w:eastAsia="宋体" w:cs="Times New Roman"/>
                <w:color w:val="auto"/>
                <w:kern w:val="0"/>
                <w:u w:val="none"/>
              </w:rPr>
              <w:t>E</w:t>
            </w:r>
            <w:r>
              <w:rPr>
                <w:rFonts w:hint="eastAsia" w:cs="Times New Roman"/>
                <w:color w:val="auto"/>
                <w:kern w:val="0"/>
                <w:u w:val="none"/>
                <w:lang w:val="en-US" w:eastAsia="zh-CN"/>
              </w:rPr>
              <w:t>-01</w:t>
            </w:r>
          </w:p>
        </w:tc>
        <w:tc>
          <w:tcPr>
            <w:tcW w:w="933" w:type="dxa"/>
            <w:noWrap w:val="0"/>
            <w:vAlign w:val="center"/>
          </w:tcPr>
          <w:p w14:paraId="08AB941C">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5.03</w:t>
            </w:r>
            <w:r>
              <w:rPr>
                <w:rFonts w:hint="default" w:ascii="Times New Roman" w:hAnsi="Times New Roman" w:eastAsia="宋体" w:cs="Times New Roman"/>
                <w:color w:val="auto"/>
                <w:kern w:val="0"/>
                <w:u w:val="none"/>
              </w:rPr>
              <w:t>E</w:t>
            </w:r>
            <w:r>
              <w:rPr>
                <w:rFonts w:hint="eastAsia" w:cs="Times New Roman"/>
                <w:color w:val="auto"/>
                <w:kern w:val="0"/>
                <w:u w:val="none"/>
                <w:lang w:val="en-US" w:eastAsia="zh-CN"/>
              </w:rPr>
              <w:t>-01</w:t>
            </w:r>
          </w:p>
        </w:tc>
      </w:tr>
      <w:tr w14:paraId="6C15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66" w:type="dxa"/>
            <w:vMerge w:val="continue"/>
            <w:noWrap w:val="0"/>
            <w:vAlign w:val="center"/>
          </w:tcPr>
          <w:p w14:paraId="441DA090">
            <w:pPr>
              <w:widowControl/>
              <w:adjustRightInd w:val="0"/>
              <w:snapToGrid w:val="0"/>
              <w:jc w:val="center"/>
              <w:textAlignment w:val="center"/>
              <w:rPr>
                <w:rFonts w:hint="default" w:ascii="Times New Roman" w:hAnsi="Times New Roman" w:cs="Times New Roman"/>
                <w:color w:val="0000FF"/>
                <w:kern w:val="0"/>
                <w:u w:val="none"/>
              </w:rPr>
            </w:pPr>
          </w:p>
        </w:tc>
        <w:tc>
          <w:tcPr>
            <w:tcW w:w="661" w:type="dxa"/>
            <w:vMerge w:val="continue"/>
            <w:noWrap w:val="0"/>
            <w:vAlign w:val="center"/>
          </w:tcPr>
          <w:p w14:paraId="08E1E63A">
            <w:pPr>
              <w:widowControl/>
              <w:adjustRightInd w:val="0"/>
              <w:snapToGrid w:val="0"/>
              <w:jc w:val="center"/>
              <w:textAlignment w:val="center"/>
              <w:rPr>
                <w:rFonts w:hint="default" w:ascii="Times New Roman" w:hAnsi="Times New Roman" w:cs="Times New Roman"/>
                <w:color w:val="000000" w:themeColor="text1"/>
                <w:kern w:val="0"/>
                <w:u w:val="none"/>
                <w14:textFill>
                  <w14:solidFill>
                    <w14:schemeClr w14:val="tx1"/>
                  </w14:solidFill>
                </w14:textFill>
              </w:rPr>
            </w:pPr>
          </w:p>
        </w:tc>
        <w:tc>
          <w:tcPr>
            <w:tcW w:w="1575" w:type="dxa"/>
            <w:noWrap w:val="0"/>
            <w:vAlign w:val="center"/>
          </w:tcPr>
          <w:p w14:paraId="69BDE6EC">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000000" w:themeColor="text1"/>
                <w:kern w:val="0"/>
                <w:u w:val="none"/>
                <w:lang w:val="en-US" w:eastAsia="zh-CN"/>
                <w14:textFill>
                  <w14:solidFill>
                    <w14:schemeClr w14:val="tx1"/>
                  </w14:solidFill>
                </w14:textFill>
              </w:rPr>
              <w:t>25</w:t>
            </w:r>
          </w:p>
        </w:tc>
        <w:tc>
          <w:tcPr>
            <w:tcW w:w="1049" w:type="dxa"/>
            <w:noWrap w:val="0"/>
            <w:vAlign w:val="center"/>
          </w:tcPr>
          <w:p w14:paraId="584B9C2E">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2.77</w:t>
            </w:r>
            <w:r>
              <w:rPr>
                <w:rFonts w:hint="default" w:ascii="Times New Roman" w:hAnsi="Times New Roman" w:cs="Times New Roman"/>
                <w:color w:val="auto"/>
                <w:kern w:val="0"/>
                <w:u w:val="none"/>
              </w:rPr>
              <w:t>E-</w:t>
            </w:r>
            <w:r>
              <w:rPr>
                <w:rFonts w:hint="eastAsia" w:cs="Times New Roman"/>
                <w:color w:val="auto"/>
                <w:kern w:val="0"/>
                <w:u w:val="none"/>
                <w:lang w:val="en-US" w:eastAsia="zh-CN"/>
              </w:rPr>
              <w:t>05</w:t>
            </w:r>
          </w:p>
        </w:tc>
        <w:tc>
          <w:tcPr>
            <w:tcW w:w="1065" w:type="dxa"/>
            <w:noWrap w:val="0"/>
            <w:vAlign w:val="center"/>
          </w:tcPr>
          <w:p w14:paraId="7BF7E25A">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3.54</w:t>
            </w:r>
            <w:r>
              <w:rPr>
                <w:rFonts w:hint="default" w:ascii="Times New Roman" w:hAnsi="Times New Roman" w:cs="Times New Roman"/>
                <w:color w:val="auto"/>
                <w:kern w:val="0"/>
                <w:u w:val="none"/>
              </w:rPr>
              <w:t>E-</w:t>
            </w:r>
            <w:r>
              <w:rPr>
                <w:rFonts w:hint="eastAsia" w:cs="Times New Roman"/>
                <w:color w:val="auto"/>
                <w:kern w:val="0"/>
                <w:u w:val="none"/>
                <w:lang w:val="en-US" w:eastAsia="zh-CN"/>
              </w:rPr>
              <w:t>04</w:t>
            </w:r>
          </w:p>
        </w:tc>
        <w:tc>
          <w:tcPr>
            <w:tcW w:w="1004" w:type="dxa"/>
            <w:noWrap w:val="0"/>
            <w:vAlign w:val="center"/>
          </w:tcPr>
          <w:p w14:paraId="4E4B3F68">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2.80</w:t>
            </w:r>
            <w:r>
              <w:rPr>
                <w:rFonts w:hint="default" w:ascii="Times New Roman" w:hAnsi="Times New Roman" w:cs="Times New Roman"/>
                <w:color w:val="auto"/>
                <w:kern w:val="0"/>
                <w:u w:val="none"/>
              </w:rPr>
              <w:t>E-</w:t>
            </w:r>
            <w:r>
              <w:rPr>
                <w:rFonts w:hint="eastAsia" w:cs="Times New Roman"/>
                <w:color w:val="auto"/>
                <w:kern w:val="0"/>
                <w:u w:val="none"/>
                <w:lang w:val="en-US" w:eastAsia="zh-CN"/>
              </w:rPr>
              <w:t>03</w:t>
            </w:r>
          </w:p>
        </w:tc>
        <w:tc>
          <w:tcPr>
            <w:tcW w:w="1020" w:type="dxa"/>
            <w:noWrap w:val="0"/>
            <w:vAlign w:val="center"/>
          </w:tcPr>
          <w:p w14:paraId="5C3B7551">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1.37</w:t>
            </w:r>
            <w:r>
              <w:rPr>
                <w:rFonts w:hint="default" w:ascii="Times New Roman" w:hAnsi="Times New Roman" w:cs="Times New Roman"/>
                <w:color w:val="auto"/>
                <w:kern w:val="0"/>
                <w:u w:val="none"/>
              </w:rPr>
              <w:t>E-</w:t>
            </w:r>
            <w:r>
              <w:rPr>
                <w:rFonts w:hint="eastAsia" w:cs="Times New Roman"/>
                <w:color w:val="auto"/>
                <w:kern w:val="0"/>
                <w:u w:val="none"/>
                <w:lang w:val="en-US" w:eastAsia="zh-CN"/>
              </w:rPr>
              <w:t>02</w:t>
            </w:r>
          </w:p>
        </w:tc>
        <w:tc>
          <w:tcPr>
            <w:tcW w:w="1020" w:type="dxa"/>
            <w:noWrap w:val="0"/>
            <w:vAlign w:val="center"/>
          </w:tcPr>
          <w:p w14:paraId="2A335F99">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4.13</w:t>
            </w:r>
            <w:r>
              <w:rPr>
                <w:rFonts w:hint="default" w:ascii="Times New Roman" w:hAnsi="Times New Roman" w:eastAsia="宋体" w:cs="Times New Roman"/>
                <w:color w:val="auto"/>
                <w:kern w:val="0"/>
                <w:u w:val="none"/>
              </w:rPr>
              <w:t>E</w:t>
            </w:r>
            <w:r>
              <w:rPr>
                <w:rFonts w:hint="eastAsia" w:cs="Times New Roman"/>
                <w:color w:val="auto"/>
                <w:kern w:val="0"/>
                <w:u w:val="none"/>
                <w:lang w:val="en-US" w:eastAsia="zh-CN"/>
              </w:rPr>
              <w:t>-02</w:t>
            </w:r>
          </w:p>
        </w:tc>
        <w:tc>
          <w:tcPr>
            <w:tcW w:w="933" w:type="dxa"/>
            <w:noWrap w:val="0"/>
            <w:vAlign w:val="center"/>
          </w:tcPr>
          <w:p w14:paraId="6A253839">
            <w:pPr>
              <w:widowControl/>
              <w:adjustRightInd w:val="0"/>
              <w:snapToGrid w:val="0"/>
              <w:jc w:val="center"/>
              <w:textAlignment w:val="center"/>
              <w:rPr>
                <w:rFonts w:hint="default" w:ascii="Times New Roman" w:hAnsi="Times New Roman" w:eastAsia="宋体" w:cs="Times New Roman"/>
                <w:color w:val="000000" w:themeColor="text1"/>
                <w:kern w:val="0"/>
                <w:u w:val="none"/>
                <w:lang w:val="en-US" w:eastAsia="zh-CN"/>
                <w14:textFill>
                  <w14:solidFill>
                    <w14:schemeClr w14:val="tx1"/>
                  </w14:solidFill>
                </w14:textFill>
              </w:rPr>
            </w:pPr>
            <w:r>
              <w:rPr>
                <w:rFonts w:hint="eastAsia" w:cs="Times New Roman"/>
                <w:color w:val="auto"/>
                <w:kern w:val="0"/>
                <w:u w:val="none"/>
                <w:lang w:val="en-US" w:eastAsia="zh-CN"/>
              </w:rPr>
              <w:t>7.72</w:t>
            </w:r>
            <w:r>
              <w:rPr>
                <w:rFonts w:hint="default" w:ascii="Times New Roman" w:hAnsi="Times New Roman" w:eastAsia="宋体" w:cs="Times New Roman"/>
                <w:color w:val="auto"/>
                <w:kern w:val="0"/>
                <w:u w:val="none"/>
              </w:rPr>
              <w:t>E</w:t>
            </w:r>
            <w:r>
              <w:rPr>
                <w:rFonts w:hint="eastAsia" w:cs="Times New Roman"/>
                <w:color w:val="auto"/>
                <w:kern w:val="0"/>
                <w:u w:val="none"/>
                <w:lang w:val="en-US" w:eastAsia="zh-CN"/>
              </w:rPr>
              <w:t>-02</w:t>
            </w:r>
          </w:p>
        </w:tc>
      </w:tr>
    </w:tbl>
    <w:p w14:paraId="34689BAF">
      <w:pPr>
        <w:autoSpaceDE w:val="0"/>
        <w:autoSpaceDN w:val="0"/>
        <w:adjustRightInd w:val="0"/>
        <w:spacing w:line="500" w:lineRule="exact"/>
        <w:rPr>
          <w:rFonts w:hint="default" w:ascii="Times New Roman" w:hAnsi="Times New Roman" w:eastAsia="宋体" w:cs="Times New Roman"/>
          <w:b/>
          <w:bCs/>
          <w:color w:val="000000"/>
          <w:spacing w:val="10"/>
          <w:sz w:val="24"/>
          <w:szCs w:val="32"/>
          <w:lang w:val="en-US" w:eastAsia="zh-CN"/>
        </w:rPr>
      </w:pPr>
      <w:r>
        <w:rPr>
          <w:rFonts w:hint="default" w:ascii="Times New Roman" w:hAnsi="Times New Roman" w:eastAsia="宋体" w:cs="Times New Roman"/>
          <w:b/>
          <w:bCs/>
          <w:color w:val="000000"/>
          <w:spacing w:val="10"/>
          <w:sz w:val="24"/>
          <w:szCs w:val="32"/>
          <w:lang w:val="en-US" w:eastAsia="zh-CN"/>
        </w:rPr>
        <w:t>1.7.3.4 小结</w:t>
      </w:r>
    </w:p>
    <w:p w14:paraId="7CABCD7C">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项目位</w:t>
      </w:r>
      <w:r>
        <w:rPr>
          <w:rFonts w:hint="default" w:ascii="Times New Roman" w:hAnsi="Times New Roman" w:eastAsia="宋体" w:cs="Times New Roman"/>
          <w:color w:val="auto"/>
          <w:spacing w:val="10"/>
          <w:sz w:val="24"/>
          <w:szCs w:val="32"/>
          <w:lang w:val="en-US" w:eastAsia="zh-CN"/>
        </w:rPr>
        <w:t>于钦州</w:t>
      </w:r>
      <w:r>
        <w:rPr>
          <w:rFonts w:hint="eastAsia" w:ascii="Times New Roman" w:hAnsi="Times New Roman" w:eastAsia="宋体" w:cs="Times New Roman"/>
          <w:color w:val="auto"/>
          <w:spacing w:val="10"/>
          <w:sz w:val="24"/>
          <w:szCs w:val="32"/>
          <w:lang w:val="en-US" w:eastAsia="zh-CN"/>
        </w:rPr>
        <w:t>石化产业园</w:t>
      </w:r>
      <w:r>
        <w:rPr>
          <w:rFonts w:hint="default" w:ascii="Times New Roman" w:hAnsi="Times New Roman" w:eastAsia="宋体" w:cs="Times New Roman"/>
          <w:color w:val="auto"/>
          <w:spacing w:val="10"/>
          <w:sz w:val="24"/>
          <w:szCs w:val="32"/>
          <w:lang w:val="en-US" w:eastAsia="zh-CN"/>
        </w:rPr>
        <w:t>。据调查</w:t>
      </w:r>
      <w:r>
        <w:rPr>
          <w:rFonts w:hint="default" w:ascii="Times New Roman" w:hAnsi="Times New Roman" w:eastAsia="宋体" w:cs="Times New Roman"/>
          <w:color w:val="000000"/>
          <w:spacing w:val="10"/>
          <w:sz w:val="24"/>
          <w:szCs w:val="32"/>
          <w:lang w:val="en-US" w:eastAsia="zh-CN"/>
        </w:rPr>
        <w:t>建设项目周边无居民饮用水点或饮用水源准保护区分布，建设项目位于钦州湾海域附近，根据区域水文地质</w:t>
      </w:r>
      <w:r>
        <w:rPr>
          <w:rFonts w:hint="eastAsia" w:cs="Times New Roman"/>
          <w:color w:val="000000"/>
          <w:spacing w:val="10"/>
          <w:sz w:val="24"/>
          <w:szCs w:val="32"/>
          <w:lang w:val="en-US" w:eastAsia="zh-CN"/>
        </w:rPr>
        <w:t>勘查报告</w:t>
      </w:r>
      <w:r>
        <w:rPr>
          <w:rFonts w:hint="default" w:ascii="Times New Roman" w:hAnsi="Times New Roman" w:eastAsia="宋体" w:cs="Times New Roman"/>
          <w:color w:val="000000"/>
          <w:spacing w:val="10"/>
          <w:sz w:val="24"/>
          <w:szCs w:val="32"/>
          <w:lang w:val="en-US" w:eastAsia="zh-CN"/>
        </w:rPr>
        <w:t>，根据预测结果可知，渗漏发生后渗漏液随着时间的推移</w:t>
      </w:r>
      <w:r>
        <w:rPr>
          <w:rFonts w:hint="default" w:ascii="Times New Roman" w:hAnsi="Times New Roman" w:eastAsia="宋体" w:cs="Times New Roman"/>
          <w:color w:val="000000"/>
          <w:spacing w:val="10"/>
          <w:sz w:val="24"/>
          <w:szCs w:val="32"/>
          <w:highlight w:val="none"/>
          <w:lang w:val="en-US" w:eastAsia="zh-CN"/>
        </w:rPr>
        <w:t>污染晕</w:t>
      </w:r>
      <w:r>
        <w:rPr>
          <w:rFonts w:hint="default" w:ascii="Times New Roman" w:hAnsi="Times New Roman" w:eastAsia="宋体" w:cs="Times New Roman"/>
          <w:color w:val="000000"/>
          <w:spacing w:val="10"/>
          <w:sz w:val="24"/>
          <w:szCs w:val="32"/>
          <w:lang w:val="en-US" w:eastAsia="zh-CN"/>
        </w:rPr>
        <w:t>面积逐步扩大，但在项</w:t>
      </w:r>
      <w:r>
        <w:rPr>
          <w:rFonts w:hint="default" w:ascii="Times New Roman" w:hAnsi="Times New Roman" w:eastAsia="宋体" w:cs="Times New Roman"/>
          <w:color w:val="auto"/>
          <w:spacing w:val="10"/>
          <w:sz w:val="24"/>
          <w:szCs w:val="32"/>
          <w:lang w:val="en-US" w:eastAsia="zh-CN"/>
        </w:rPr>
        <w:t>目区地下水净化作用下污</w:t>
      </w:r>
      <w:r>
        <w:rPr>
          <w:rFonts w:hint="default" w:ascii="Times New Roman" w:hAnsi="Times New Roman" w:eastAsia="宋体" w:cs="Times New Roman"/>
          <w:color w:val="auto"/>
          <w:spacing w:val="10"/>
          <w:sz w:val="24"/>
          <w:szCs w:val="32"/>
          <w:highlight w:val="none"/>
          <w:lang w:val="en-US" w:eastAsia="zh-CN"/>
        </w:rPr>
        <w:t>染晕</w:t>
      </w:r>
      <w:r>
        <w:rPr>
          <w:rFonts w:hint="default" w:ascii="Times New Roman" w:hAnsi="Times New Roman" w:eastAsia="宋体" w:cs="Times New Roman"/>
          <w:color w:val="auto"/>
          <w:spacing w:val="10"/>
          <w:sz w:val="24"/>
          <w:szCs w:val="32"/>
          <w:lang w:val="en-US" w:eastAsia="zh-CN"/>
        </w:rPr>
        <w:t>中各污染物的浓度逐渐变小。磷酸泄漏后，总磷浓度在下游</w:t>
      </w:r>
      <w:r>
        <w:rPr>
          <w:rFonts w:hint="eastAsia" w:cs="Times New Roman"/>
          <w:color w:val="auto"/>
          <w:spacing w:val="10"/>
          <w:sz w:val="24"/>
          <w:szCs w:val="32"/>
          <w:lang w:val="en-US" w:eastAsia="zh-CN"/>
        </w:rPr>
        <w:t>51</w:t>
      </w:r>
      <w:r>
        <w:rPr>
          <w:rFonts w:hint="default" w:ascii="Times New Roman" w:hAnsi="Times New Roman" w:eastAsia="宋体" w:cs="Times New Roman"/>
          <w:color w:val="auto"/>
          <w:spacing w:val="10"/>
          <w:sz w:val="24"/>
          <w:szCs w:val="32"/>
          <w:lang w:val="en-US" w:eastAsia="zh-CN"/>
        </w:rPr>
        <w:t>m范围以外均达到《地表水环境质量标准》（GB3838-2002）Ⅲ类水标准，且项目下游及500m范围内均不存在地下水保护目标，因此，项目</w:t>
      </w:r>
      <w:r>
        <w:rPr>
          <w:rFonts w:hint="default" w:ascii="Times New Roman" w:hAnsi="Times New Roman" w:eastAsia="宋体" w:cs="Times New Roman"/>
          <w:color w:val="000000"/>
          <w:spacing w:val="10"/>
          <w:sz w:val="24"/>
          <w:szCs w:val="32"/>
          <w:lang w:val="en-US" w:eastAsia="zh-CN"/>
        </w:rPr>
        <w:t>的运营不会对</w:t>
      </w:r>
      <w:r>
        <w:rPr>
          <w:rFonts w:hint="default" w:ascii="Times New Roman" w:hAnsi="Times New Roman" w:eastAsia="宋体" w:cs="Times New Roman"/>
          <w:color w:val="000000"/>
          <w:spacing w:val="10"/>
          <w:sz w:val="24"/>
          <w:szCs w:val="32"/>
          <w:highlight w:val="none"/>
          <w:lang w:val="en-US" w:eastAsia="zh-CN"/>
        </w:rPr>
        <w:t>地下</w:t>
      </w:r>
      <w:r>
        <w:rPr>
          <w:rFonts w:hint="eastAsia" w:ascii="Times New Roman" w:hAnsi="Times New Roman" w:eastAsia="宋体" w:cs="Times New Roman"/>
          <w:color w:val="000000"/>
          <w:spacing w:val="10"/>
          <w:sz w:val="24"/>
          <w:szCs w:val="32"/>
          <w:highlight w:val="none"/>
          <w:lang w:val="en-US" w:eastAsia="zh-CN"/>
        </w:rPr>
        <w:t>水环境</w:t>
      </w:r>
      <w:r>
        <w:rPr>
          <w:rFonts w:hint="default" w:ascii="Times New Roman" w:hAnsi="Times New Roman" w:eastAsia="宋体" w:cs="Times New Roman"/>
          <w:color w:val="000000"/>
          <w:spacing w:val="10"/>
          <w:sz w:val="24"/>
          <w:szCs w:val="32"/>
          <w:lang w:val="en-US" w:eastAsia="zh-CN"/>
        </w:rPr>
        <w:t>造成明显影响，不会威胁到村庄村民的用水安全</w:t>
      </w:r>
      <w:r>
        <w:rPr>
          <w:rFonts w:hint="eastAsia" w:cs="Times New Roman"/>
          <w:color w:val="000000"/>
          <w:spacing w:val="10"/>
          <w:sz w:val="24"/>
          <w:szCs w:val="32"/>
          <w:lang w:val="en-US" w:eastAsia="zh-CN"/>
        </w:rPr>
        <w:t>，污染物泄漏后到达污染物排放边界钦州湾海域，污染物进入钦州湾海域后，经海水稀释，对海洋环境影响不大。</w:t>
      </w:r>
    </w:p>
    <w:p w14:paraId="6F8CB19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污染物扩散范围主要与地层结构及其渗透性、水文地质条件、废液下渗量以及某种污染物浓度的背景值等因素有关。其中地层结构及其渗透性、水文地质条件为主要因素，从水文地质单元来看，项目所在地水力梯度小，水流速度慢，污染物不容易随水流迁移，污染物在其中迁移距离较小。</w:t>
      </w:r>
    </w:p>
    <w:p w14:paraId="1214F4B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因此正常生产情况下对地下水的污染程度小，可能性小，危害性小。当发生污染物泄漏事故后，必须立即启动应急预案，参照预测结果，分析污染事故的发展趋势，并提出下一步预防和防治措施，迅速控制或切断事件灾害链，对废液进行封闭、截流，抽出废液，使污染地下水扩散得到有效抑制，最大限度地保护下游地下水水质安全，将损失降到最低限度。</w:t>
      </w:r>
    </w:p>
    <w:p w14:paraId="2FCE234E">
      <w:pPr>
        <w:pStyle w:val="3"/>
        <w:numPr>
          <w:ilvl w:val="1"/>
          <w:numId w:val="9"/>
        </w:numPr>
        <w:spacing w:before="210" w:after="210" w:line="500" w:lineRule="exact"/>
        <w:ind w:left="567" w:leftChars="0" w:hanging="567" w:firstLineChars="0"/>
        <w:rPr>
          <w:rFonts w:hint="default" w:ascii="Times New Roman" w:hAnsi="Times New Roman" w:eastAsia="宋体" w:cs="Times New Roman"/>
          <w:b/>
          <w:bCs w:val="0"/>
          <w:color w:val="000000"/>
          <w:sz w:val="28"/>
          <w:szCs w:val="22"/>
          <w:lang w:val="en-US" w:eastAsia="zh-CN"/>
        </w:rPr>
      </w:pPr>
      <w:bookmarkStart w:id="92" w:name="_Toc115"/>
      <w:r>
        <w:rPr>
          <w:rFonts w:hint="default" w:ascii="Times New Roman" w:hAnsi="Times New Roman" w:eastAsia="宋体" w:cs="Times New Roman"/>
          <w:b/>
          <w:bCs w:val="0"/>
          <w:color w:val="000000"/>
          <w:sz w:val="28"/>
          <w:szCs w:val="22"/>
          <w:lang w:val="en-US" w:eastAsia="zh-CN"/>
        </w:rPr>
        <w:t>风险管理</w:t>
      </w:r>
      <w:bookmarkEnd w:id="92"/>
    </w:p>
    <w:p w14:paraId="51CA300A">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环境风险管理目标</w:t>
      </w:r>
    </w:p>
    <w:p w14:paraId="6301FD5E">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环境风险管理目标是采用最低合理可靠原则管控环境风险。采取的环境风险防范措施应与社会经济技术发展水平相适应，运用科学的技术手段和管理方法，对环境风险进行</w:t>
      </w:r>
      <w:r>
        <w:rPr>
          <w:rFonts w:hint="eastAsia" w:cs="Times New Roman"/>
          <w:color w:val="000000"/>
          <w:spacing w:val="10"/>
          <w:sz w:val="24"/>
          <w:szCs w:val="32"/>
          <w:lang w:val="en-US" w:eastAsia="zh-CN"/>
        </w:rPr>
        <w:t>有效</w:t>
      </w:r>
      <w:r>
        <w:rPr>
          <w:rFonts w:hint="default" w:ascii="Times New Roman" w:hAnsi="Times New Roman" w:eastAsia="宋体" w:cs="Times New Roman"/>
          <w:color w:val="000000"/>
          <w:spacing w:val="10"/>
          <w:sz w:val="24"/>
          <w:szCs w:val="32"/>
          <w:lang w:val="en-US" w:eastAsia="zh-CN"/>
        </w:rPr>
        <w:t>预防、监控、响应。</w:t>
      </w:r>
    </w:p>
    <w:p w14:paraId="7BB6F77A">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环境风险管理措施</w:t>
      </w:r>
    </w:p>
    <w:p w14:paraId="33064C32">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1、项目选址、总图布置和建筑安全防范措施</w:t>
      </w:r>
    </w:p>
    <w:p w14:paraId="0CD7116E">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仓库、集装箱堆场布置符合《建筑设计防火规范》（GB50016-2014）（2018年版）</w:t>
      </w:r>
      <w:r>
        <w:rPr>
          <w:rFonts w:hint="eastAsia" w:ascii="Times New Roman" w:hAnsi="Times New Roman" w:eastAsia="宋体" w:cs="Times New Roman"/>
          <w:color w:val="auto"/>
          <w:spacing w:val="10"/>
          <w:sz w:val="24"/>
          <w:szCs w:val="32"/>
          <w:lang w:val="en-US" w:eastAsia="zh-CN"/>
        </w:rPr>
        <w:t>要求</w:t>
      </w:r>
      <w:r>
        <w:rPr>
          <w:rFonts w:hint="default" w:ascii="Times New Roman" w:hAnsi="Times New Roman" w:eastAsia="宋体" w:cs="Times New Roman"/>
          <w:color w:val="auto"/>
          <w:spacing w:val="10"/>
          <w:sz w:val="24"/>
          <w:szCs w:val="32"/>
          <w:lang w:val="en-US" w:eastAsia="zh-CN"/>
        </w:rPr>
        <w:t>。储存区域布置严格按防</w:t>
      </w:r>
      <w:r>
        <w:rPr>
          <w:rFonts w:hint="eastAsia" w:ascii="Times New Roman" w:hAnsi="Times New Roman" w:eastAsia="宋体" w:cs="Times New Roman"/>
          <w:color w:val="auto"/>
          <w:spacing w:val="10"/>
          <w:sz w:val="24"/>
          <w:szCs w:val="32"/>
          <w:lang w:val="en-US" w:eastAsia="zh-CN"/>
        </w:rPr>
        <w:t>火防</w:t>
      </w:r>
      <w:r>
        <w:rPr>
          <w:rFonts w:hint="default" w:ascii="Times New Roman" w:hAnsi="Times New Roman" w:eastAsia="宋体" w:cs="Times New Roman"/>
          <w:color w:val="auto"/>
          <w:spacing w:val="10"/>
          <w:sz w:val="24"/>
          <w:szCs w:val="32"/>
          <w:lang w:val="en-US" w:eastAsia="zh-CN"/>
        </w:rPr>
        <w:t>爆区划分，储存区域之间按规范设置安全距离，能保证消防及日常管理的需要。</w:t>
      </w:r>
    </w:p>
    <w:p w14:paraId="0CAB3ECA">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2、消防及火灾报警系统</w:t>
      </w:r>
    </w:p>
    <w:p w14:paraId="145DC092">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企业结合厂区实际情况建立一支专业消防，配备消防装置及设施，针对项目重点风险</w:t>
      </w:r>
      <w:r>
        <w:rPr>
          <w:rFonts w:hint="eastAsia" w:ascii="Times New Roman" w:hAnsi="Times New Roman" w:eastAsia="宋体" w:cs="Times New Roman"/>
          <w:color w:val="000000"/>
          <w:spacing w:val="10"/>
          <w:sz w:val="24"/>
          <w:szCs w:val="32"/>
          <w:lang w:val="en-US" w:eastAsia="zh-CN"/>
        </w:rPr>
        <w:t>仓库</w:t>
      </w:r>
      <w:r>
        <w:rPr>
          <w:rFonts w:hint="default" w:ascii="Times New Roman" w:hAnsi="Times New Roman" w:eastAsia="宋体" w:cs="Times New Roman"/>
          <w:color w:val="000000"/>
          <w:spacing w:val="10"/>
          <w:sz w:val="24"/>
          <w:szCs w:val="32"/>
          <w:lang w:val="en-US" w:eastAsia="zh-CN"/>
        </w:rPr>
        <w:t>制定应急预案，定期演练。项目设计过程中必须考虑将消防排水管线引至厂区事故池内，事故发生时，严禁一切废水、废液排出厂区。</w:t>
      </w:r>
    </w:p>
    <w:p w14:paraId="4E4DD0B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在全厂火灾危险性较大或较重要的建筑物内设火灾探测器和消防手动报警按钮。在危险化学品储存区域周围和主要道路旁设消防手动报警按钮。</w:t>
      </w:r>
    </w:p>
    <w:p w14:paraId="07FE3DE0">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区域报警控制器设在有人值班的控制室或值班室内。集中报警控制器设在消防站消防控制中心。互相联网，组成全厂火灾自动报警系统。</w:t>
      </w:r>
    </w:p>
    <w:p w14:paraId="2473EEBF">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eastAsia" w:ascii="Times New Roman" w:hAnsi="Times New Roman" w:eastAsia="宋体" w:cs="Times New Roman"/>
          <w:color w:val="000000"/>
          <w:spacing w:val="10"/>
          <w:sz w:val="24"/>
          <w:szCs w:val="32"/>
          <w:lang w:val="en-US" w:eastAsia="zh-CN"/>
        </w:rPr>
        <w:t>3</w:t>
      </w:r>
      <w:r>
        <w:rPr>
          <w:rFonts w:hint="default" w:ascii="Times New Roman" w:hAnsi="Times New Roman" w:eastAsia="宋体" w:cs="Times New Roman"/>
          <w:color w:val="000000"/>
          <w:spacing w:val="10"/>
          <w:sz w:val="24"/>
          <w:szCs w:val="32"/>
          <w:lang w:val="en-US" w:eastAsia="zh-CN"/>
        </w:rPr>
        <w:t>、安全标志、安全色、警示标识及风向标</w:t>
      </w:r>
    </w:p>
    <w:p w14:paraId="5DAAB69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本项目厂区内的紧急疏散通道、紧急疏散口设置醒目的标志和指示箭头，满足人员紧急疏散的需要。在容易发生事故危及生命安全的场所设置安全警示标识</w:t>
      </w:r>
      <w:r>
        <w:rPr>
          <w:rFonts w:hint="eastAsia" w:ascii="Times New Roman" w:hAnsi="Times New Roman" w:eastAsia="宋体"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在汽车可能行驶的路线上设置减速限速标识等。</w:t>
      </w:r>
    </w:p>
    <w:p w14:paraId="73389F70">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eastAsia" w:ascii="Times New Roman" w:hAnsi="Times New Roman" w:eastAsia="宋体" w:cs="Times New Roman"/>
          <w:color w:val="000000"/>
          <w:spacing w:val="10"/>
          <w:sz w:val="24"/>
          <w:szCs w:val="32"/>
          <w:lang w:val="en-US" w:eastAsia="zh-CN"/>
        </w:rPr>
        <w:t>4</w:t>
      </w:r>
      <w:r>
        <w:rPr>
          <w:rFonts w:hint="default" w:ascii="Times New Roman" w:hAnsi="Times New Roman" w:eastAsia="宋体" w:cs="Times New Roman"/>
          <w:color w:val="000000"/>
          <w:spacing w:val="10"/>
          <w:sz w:val="24"/>
          <w:szCs w:val="32"/>
          <w:lang w:val="en-US" w:eastAsia="zh-CN"/>
        </w:rPr>
        <w:t>、</w:t>
      </w:r>
      <w:r>
        <w:rPr>
          <w:rFonts w:hint="eastAsia" w:cs="Times New Roman"/>
          <w:color w:val="000000"/>
          <w:spacing w:val="10"/>
          <w:sz w:val="24"/>
          <w:szCs w:val="32"/>
          <w:lang w:val="en-US" w:eastAsia="zh-CN"/>
        </w:rPr>
        <w:t>建立健全</w:t>
      </w:r>
      <w:r>
        <w:rPr>
          <w:rFonts w:hint="default" w:ascii="Times New Roman" w:hAnsi="Times New Roman" w:eastAsia="宋体" w:cs="Times New Roman"/>
          <w:color w:val="000000"/>
          <w:spacing w:val="10"/>
          <w:sz w:val="24"/>
          <w:szCs w:val="32"/>
          <w:lang w:val="en-US" w:eastAsia="zh-CN"/>
        </w:rPr>
        <w:t>风险环境管理制度</w:t>
      </w:r>
    </w:p>
    <w:p w14:paraId="77A10F9F">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企业应按照《突发环境事件应急管理办法》制订应急计划，建立应急队伍，定期进行全厂职工的安全环保宣传教育以及紧急事故模拟救援、消防演习，配备必要和适当的</w:t>
      </w:r>
      <w:r>
        <w:rPr>
          <w:rFonts w:hint="eastAsia" w:cs="Times New Roman"/>
          <w:color w:val="000000"/>
          <w:spacing w:val="10"/>
          <w:sz w:val="24"/>
          <w:szCs w:val="32"/>
          <w:lang w:val="en-US" w:eastAsia="zh-CN"/>
        </w:rPr>
        <w:t>通信工具</w:t>
      </w:r>
      <w:r>
        <w:rPr>
          <w:rFonts w:hint="default" w:ascii="Times New Roman" w:hAnsi="Times New Roman" w:eastAsia="宋体" w:cs="Times New Roman"/>
          <w:color w:val="000000"/>
          <w:spacing w:val="10"/>
          <w:sz w:val="24"/>
          <w:szCs w:val="32"/>
          <w:lang w:val="en-US" w:eastAsia="zh-CN"/>
        </w:rPr>
        <w:t>和应急设施。</w:t>
      </w:r>
    </w:p>
    <w:p w14:paraId="04910E2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eastAsia" w:ascii="Times New Roman" w:hAnsi="Times New Roman" w:eastAsia="宋体" w:cs="Times New Roman"/>
          <w:color w:val="000000"/>
          <w:spacing w:val="10"/>
          <w:sz w:val="24"/>
          <w:szCs w:val="32"/>
          <w:lang w:val="en-US" w:eastAsia="zh-CN"/>
        </w:rPr>
        <w:t>5</w:t>
      </w:r>
      <w:r>
        <w:rPr>
          <w:rFonts w:hint="default" w:ascii="Times New Roman" w:hAnsi="Times New Roman" w:eastAsia="宋体" w:cs="Times New Roman"/>
          <w:color w:val="000000"/>
          <w:spacing w:val="10"/>
          <w:sz w:val="24"/>
          <w:szCs w:val="32"/>
          <w:lang w:val="en-US" w:eastAsia="zh-CN"/>
        </w:rPr>
        <w:t>、完善外部监控</w:t>
      </w:r>
    </w:p>
    <w:p w14:paraId="22DD9F2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加强对地震、台风、洪灾等极端天气的预警，及时采取相应措施，按照应急预案要求启动相应等级预警与响应。</w:t>
      </w:r>
    </w:p>
    <w:p w14:paraId="4431A0B4">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环境风险防范措施</w:t>
      </w:r>
    </w:p>
    <w:p w14:paraId="7C16FE51">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1、大气环境风险防范措施</w:t>
      </w:r>
    </w:p>
    <w:p w14:paraId="0CC7D83A">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u w:val="single"/>
          <w:lang w:val="en-US" w:eastAsia="zh-CN"/>
        </w:rPr>
      </w:pPr>
      <w:r>
        <w:rPr>
          <w:rFonts w:hint="default" w:ascii="Times New Roman" w:hAnsi="Times New Roman" w:eastAsia="宋体" w:cs="Times New Roman"/>
          <w:color w:val="auto"/>
          <w:spacing w:val="10"/>
          <w:sz w:val="24"/>
          <w:szCs w:val="32"/>
          <w:u w:val="single"/>
          <w:lang w:val="en-US" w:eastAsia="zh-CN"/>
        </w:rPr>
        <w:t>⑴易挥发的化学品的管理要求</w:t>
      </w:r>
    </w:p>
    <w:p w14:paraId="33E0C4E5">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u w:val="single"/>
          <w:lang w:val="en-US" w:eastAsia="zh-CN"/>
        </w:rPr>
      </w:pPr>
      <w:r>
        <w:rPr>
          <w:rFonts w:hint="eastAsia" w:cs="Times New Roman"/>
          <w:color w:val="auto"/>
          <w:spacing w:val="10"/>
          <w:sz w:val="24"/>
          <w:szCs w:val="32"/>
          <w:u w:val="single"/>
          <w:lang w:val="en-US" w:eastAsia="zh-CN"/>
        </w:rPr>
        <w:t>项目涉及易挥发物质（盐酸）的贮存，建设单位应严格按照《危险化学品仓库贮存通则》（GB15603-2022）要求加强储存容器及储存过程的管理，加强操作工人安全防范意识，严格操作，杜绝盐酸在装卸、贮存过程中储存容器破碎泄漏等事故造成盐酸雾挥发影响大气环境。</w:t>
      </w:r>
    </w:p>
    <w:p w14:paraId="454F685B">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⑵物料泄漏应急、救援及减缓措施</w:t>
      </w:r>
    </w:p>
    <w:p w14:paraId="1FAA5ED0">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当发生有毒物料泄漏时，可根据物料性质，选择采取以下措施，防止事态进一步发展：</w:t>
      </w:r>
    </w:p>
    <w:p w14:paraId="29885D96">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①根据事故级别启动应急预案；</w:t>
      </w:r>
    </w:p>
    <w:p w14:paraId="6CB9476B">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②根据各高点设置的风向标，将无关人员迅速疏散到上风向安全区，对危险区域进行隔离，并严格控制出入，切断火源；根据需要疏散周围居住区人群。</w:t>
      </w:r>
    </w:p>
    <w:p w14:paraId="3F30B727">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③易挥发液体泄漏时，用工业覆盖层或吸附/吸收剂盖住泄漏点附近的下水道等地方，防止气体进入。</w:t>
      </w:r>
    </w:p>
    <w:p w14:paraId="7FF41C92">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④喷雾状水稀释，构筑临时围堤收容产生的大量废水。</w:t>
      </w:r>
    </w:p>
    <w:p w14:paraId="140069E3">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⑤小量液体泄漏：用</w:t>
      </w:r>
      <w:r>
        <w:rPr>
          <w:rFonts w:hint="default" w:ascii="Times New Roman" w:hAnsi="Times New Roman" w:eastAsia="宋体" w:cs="Times New Roman"/>
          <w:color w:val="auto"/>
          <w:spacing w:val="10"/>
          <w:sz w:val="24"/>
          <w:szCs w:val="32"/>
          <w:highlight w:val="none"/>
          <w:lang w:val="en-US" w:eastAsia="zh-CN"/>
        </w:rPr>
        <w:t>砂土或</w:t>
      </w:r>
      <w:r>
        <w:rPr>
          <w:rFonts w:hint="eastAsia" w:cs="Times New Roman"/>
          <w:color w:val="auto"/>
          <w:spacing w:val="10"/>
          <w:sz w:val="24"/>
          <w:szCs w:val="32"/>
          <w:highlight w:val="none"/>
          <w:lang w:val="en-US" w:eastAsia="zh-CN"/>
        </w:rPr>
        <w:t>其他不</w:t>
      </w:r>
      <w:r>
        <w:rPr>
          <w:rFonts w:hint="default" w:ascii="Times New Roman" w:hAnsi="Times New Roman" w:eastAsia="宋体" w:cs="Times New Roman"/>
          <w:color w:val="auto"/>
          <w:spacing w:val="10"/>
          <w:sz w:val="24"/>
          <w:szCs w:val="32"/>
          <w:lang w:val="en-US" w:eastAsia="zh-CN"/>
        </w:rPr>
        <w:t>燃材料吸附或吸收。也可以用大量水冲洗，稀释水排入废水系统。大量液体泄漏：构筑临时围堤收容。用泡沫覆盖，降低挥发蒸气灾害。用防爆泵转移至槽车或专用收集器内，回收或外委资质单位处置。</w:t>
      </w:r>
    </w:p>
    <w:p w14:paraId="1D5B2629">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⑶火灾、爆炸应急、减缓措施：</w:t>
      </w:r>
    </w:p>
    <w:p w14:paraId="465100A9">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①根据事故级别启动应急预案；</w:t>
      </w:r>
    </w:p>
    <w:p w14:paraId="048A90CD">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②根据需要，尽可能倒空或转移着火设施附近储存点物料，防止发生</w:t>
      </w:r>
      <w:r>
        <w:rPr>
          <w:rFonts w:hint="default" w:ascii="Times New Roman" w:hAnsi="Times New Roman" w:eastAsia="宋体" w:cs="Times New Roman"/>
          <w:color w:val="auto"/>
          <w:spacing w:val="10"/>
          <w:sz w:val="24"/>
          <w:szCs w:val="32"/>
          <w:highlight w:val="none"/>
          <w:lang w:val="en-US" w:eastAsia="zh-CN"/>
        </w:rPr>
        <w:t>连锁效应</w:t>
      </w:r>
      <w:r>
        <w:rPr>
          <w:rFonts w:hint="default" w:ascii="Times New Roman" w:hAnsi="Times New Roman" w:eastAsia="宋体" w:cs="Times New Roman"/>
          <w:color w:val="auto"/>
          <w:spacing w:val="10"/>
          <w:sz w:val="24"/>
          <w:szCs w:val="32"/>
          <w:lang w:val="en-US" w:eastAsia="zh-CN"/>
        </w:rPr>
        <w:t>；</w:t>
      </w:r>
    </w:p>
    <w:p w14:paraId="3A3ED0AF">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③救火的同时，根据物料特点采用水幕或喷淋的方法，防止引发继发事故；</w:t>
      </w:r>
    </w:p>
    <w:p w14:paraId="4D3823A5">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u w:val="single"/>
          <w:lang w:val="en-US" w:eastAsia="zh-CN"/>
        </w:rPr>
      </w:pPr>
      <w:r>
        <w:rPr>
          <w:rFonts w:hint="default" w:ascii="Times New Roman" w:hAnsi="Times New Roman" w:eastAsia="宋体" w:cs="Times New Roman"/>
          <w:color w:val="auto"/>
          <w:spacing w:val="10"/>
          <w:sz w:val="24"/>
          <w:szCs w:val="32"/>
          <w:u w:val="single"/>
          <w:lang w:val="en-US" w:eastAsia="zh-CN"/>
        </w:rPr>
        <w:t>④</w:t>
      </w:r>
      <w:r>
        <w:rPr>
          <w:rFonts w:hint="eastAsia" w:cs="Times New Roman"/>
          <w:color w:val="auto"/>
          <w:spacing w:val="10"/>
          <w:sz w:val="24"/>
          <w:szCs w:val="32"/>
          <w:u w:val="single"/>
          <w:lang w:val="en-US" w:eastAsia="zh-CN"/>
        </w:rPr>
        <w:t>根据前文有毒有害物质盐酸泄漏影响预测分析及规划环评要求，发生环境风险事故后，720m包络范围的人群（沙岗村）应在8分钟内疏散。</w:t>
      </w:r>
    </w:p>
    <w:p w14:paraId="7219F2C4">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2、事故废水环境风险防范措施</w:t>
      </w:r>
    </w:p>
    <w:p w14:paraId="37A28B5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本项目火灾事故状况下产生</w:t>
      </w:r>
      <w:r>
        <w:rPr>
          <w:rFonts w:hint="default" w:ascii="Times New Roman" w:hAnsi="Times New Roman" w:eastAsia="宋体" w:cs="Times New Roman"/>
          <w:color w:val="000000"/>
          <w:spacing w:val="10"/>
          <w:sz w:val="24"/>
          <w:szCs w:val="32"/>
          <w:lang w:val="en-US" w:eastAsia="zh-CN"/>
        </w:rPr>
        <w:t>的事故废水进入废水</w:t>
      </w:r>
      <w:r>
        <w:rPr>
          <w:rFonts w:hint="eastAsia" w:ascii="Times New Roman" w:hAnsi="Times New Roman" w:eastAsia="宋体" w:cs="Times New Roman"/>
          <w:color w:val="000000"/>
          <w:spacing w:val="10"/>
          <w:sz w:val="24"/>
          <w:szCs w:val="32"/>
          <w:lang w:val="en-US" w:eastAsia="zh-CN"/>
        </w:rPr>
        <w:t>二</w:t>
      </w:r>
      <w:r>
        <w:rPr>
          <w:rFonts w:hint="default" w:ascii="Times New Roman" w:hAnsi="Times New Roman" w:eastAsia="宋体" w:cs="Times New Roman"/>
          <w:color w:val="000000"/>
          <w:spacing w:val="10"/>
          <w:sz w:val="24"/>
          <w:szCs w:val="32"/>
          <w:lang w:val="en-US" w:eastAsia="zh-CN"/>
        </w:rPr>
        <w:t>级防控体系，确保事故废水不出厂界。</w:t>
      </w:r>
    </w:p>
    <w:p w14:paraId="61EDB636">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⑴项目事故废水</w:t>
      </w:r>
      <w:r>
        <w:rPr>
          <w:rFonts w:hint="eastAsia" w:ascii="Times New Roman" w:hAnsi="Times New Roman" w:eastAsia="宋体" w:cs="Times New Roman"/>
          <w:color w:val="000000"/>
          <w:spacing w:val="10"/>
          <w:sz w:val="24"/>
          <w:szCs w:val="32"/>
          <w:lang w:val="en-US" w:eastAsia="zh-CN"/>
        </w:rPr>
        <w:t>二</w:t>
      </w:r>
      <w:r>
        <w:rPr>
          <w:rFonts w:hint="default" w:ascii="Times New Roman" w:hAnsi="Times New Roman" w:eastAsia="宋体" w:cs="Times New Roman"/>
          <w:color w:val="000000"/>
          <w:spacing w:val="10"/>
          <w:sz w:val="24"/>
          <w:szCs w:val="32"/>
          <w:lang w:val="en-US" w:eastAsia="zh-CN"/>
        </w:rPr>
        <w:t>级防控体系</w:t>
      </w:r>
    </w:p>
    <w:p w14:paraId="00ABB01C">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①一级防控措施：</w:t>
      </w:r>
      <w:r>
        <w:rPr>
          <w:rFonts w:hint="eastAsia" w:ascii="Times New Roman" w:hAnsi="Times New Roman" w:eastAsia="宋体" w:cs="Times New Roman"/>
          <w:color w:val="auto"/>
          <w:spacing w:val="10"/>
          <w:sz w:val="24"/>
          <w:szCs w:val="32"/>
          <w:u w:val="none"/>
          <w:lang w:val="en-US" w:eastAsia="zh-CN"/>
        </w:rPr>
        <w:t>项目2号仓库、4号仓库、5号仓库内均独立设有导流沟，可将消防废水、泄漏的液体收集至事故应急池</w:t>
      </w:r>
      <w:r>
        <w:rPr>
          <w:rFonts w:hint="eastAsia"/>
          <w:color w:val="auto"/>
          <w:sz w:val="24"/>
          <w:szCs w:val="24"/>
          <w:u w:val="none"/>
          <w:lang w:val="en-US" w:eastAsia="zh-CN"/>
        </w:rPr>
        <w:t>，</w:t>
      </w:r>
      <w:r>
        <w:rPr>
          <w:rFonts w:hint="default" w:ascii="Times New Roman" w:hAnsi="Times New Roman" w:eastAsia="宋体" w:cs="Times New Roman"/>
          <w:color w:val="auto"/>
          <w:spacing w:val="10"/>
          <w:sz w:val="24"/>
          <w:szCs w:val="32"/>
          <w:lang w:val="en-US" w:eastAsia="zh-CN"/>
        </w:rPr>
        <w:t>防止事故泄漏造成的环境污染。</w:t>
      </w:r>
    </w:p>
    <w:p w14:paraId="4A377B22">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②二级防控措施：厂区设置初期雨水池和事故应急池，连接导流沟等圆口控制阀门，除接收</w:t>
      </w:r>
      <w:r>
        <w:rPr>
          <w:rFonts w:hint="eastAsia" w:ascii="Times New Roman" w:hAnsi="Times New Roman" w:eastAsia="宋体" w:cs="Times New Roman"/>
          <w:color w:val="000000"/>
          <w:spacing w:val="10"/>
          <w:sz w:val="24"/>
          <w:szCs w:val="32"/>
          <w:lang w:val="en-US" w:eastAsia="zh-CN"/>
        </w:rPr>
        <w:t>污染区</w:t>
      </w:r>
      <w:r>
        <w:rPr>
          <w:rFonts w:hint="default" w:ascii="Times New Roman" w:hAnsi="Times New Roman" w:eastAsia="宋体" w:cs="Times New Roman"/>
          <w:color w:val="000000"/>
          <w:spacing w:val="10"/>
          <w:sz w:val="24"/>
          <w:szCs w:val="32"/>
          <w:lang w:val="en-US" w:eastAsia="zh-CN"/>
        </w:rPr>
        <w:t>初期雨水外，必要时可作为第二级防控措施，拦截消防废水，减轻事故应急池的收集处理压力。厂区总排污口及雨水排污口处设置应急阀门，本项目发生事故时，消防废水由</w:t>
      </w:r>
      <w:r>
        <w:rPr>
          <w:rFonts w:hint="eastAsia" w:ascii="Times New Roman" w:hAnsi="Times New Roman" w:eastAsia="宋体" w:cs="Times New Roman"/>
          <w:color w:val="000000"/>
          <w:spacing w:val="10"/>
          <w:sz w:val="24"/>
          <w:szCs w:val="32"/>
          <w:lang w:val="en-US" w:eastAsia="zh-CN"/>
        </w:rPr>
        <w:t>污染区</w:t>
      </w:r>
      <w:r>
        <w:rPr>
          <w:rFonts w:hint="default" w:ascii="Times New Roman" w:hAnsi="Times New Roman" w:eastAsia="宋体" w:cs="Times New Roman"/>
          <w:color w:val="000000"/>
          <w:spacing w:val="10"/>
          <w:sz w:val="24"/>
          <w:szCs w:val="32"/>
          <w:lang w:val="en-US" w:eastAsia="zh-CN"/>
        </w:rPr>
        <w:t>雨水管网收集。事故时，关闭雨水排出口阀门，开启事故池进水管阀门，将事故状态下污水排至事故池。</w:t>
      </w:r>
    </w:p>
    <w:p w14:paraId="23CCAA90">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本项目采用水体</w:t>
      </w:r>
      <w:r>
        <w:rPr>
          <w:rFonts w:hint="eastAsia" w:ascii="Times New Roman" w:hAnsi="Times New Roman" w:eastAsia="宋体" w:cs="Times New Roman"/>
          <w:color w:val="000000"/>
          <w:spacing w:val="10"/>
          <w:sz w:val="24"/>
          <w:szCs w:val="32"/>
          <w:lang w:val="en-US" w:eastAsia="zh-CN"/>
        </w:rPr>
        <w:t>二</w:t>
      </w:r>
      <w:r>
        <w:rPr>
          <w:rFonts w:hint="default" w:ascii="Times New Roman" w:hAnsi="Times New Roman" w:eastAsia="宋体" w:cs="Times New Roman"/>
          <w:color w:val="000000"/>
          <w:spacing w:val="10"/>
          <w:sz w:val="24"/>
          <w:szCs w:val="32"/>
          <w:lang w:val="en-US" w:eastAsia="zh-CN"/>
        </w:rPr>
        <w:t>级防控体系，当发生事故后泄漏物料、消防污水、</w:t>
      </w:r>
      <w:r>
        <w:rPr>
          <w:rFonts w:hint="eastAsia" w:ascii="Times New Roman" w:hAnsi="Times New Roman" w:eastAsia="宋体" w:cs="Times New Roman"/>
          <w:color w:val="000000"/>
          <w:spacing w:val="10"/>
          <w:sz w:val="24"/>
          <w:szCs w:val="32"/>
          <w:lang w:val="en-US" w:eastAsia="zh-CN"/>
        </w:rPr>
        <w:t>污染区</w:t>
      </w:r>
      <w:r>
        <w:rPr>
          <w:rFonts w:hint="default" w:ascii="Times New Roman" w:hAnsi="Times New Roman" w:eastAsia="宋体" w:cs="Times New Roman"/>
          <w:color w:val="000000"/>
          <w:spacing w:val="10"/>
          <w:sz w:val="24"/>
          <w:szCs w:val="32"/>
          <w:lang w:val="en-US" w:eastAsia="zh-CN"/>
        </w:rPr>
        <w:t>初期雨水构成的事故废水，进入事故应急池，本项目设置的事故应急池可以满足本项目</w:t>
      </w:r>
      <w:r>
        <w:rPr>
          <w:rFonts w:hint="default" w:ascii="Times New Roman" w:hAnsi="Times New Roman" w:eastAsia="宋体" w:cs="Times New Roman"/>
          <w:color w:val="000000"/>
          <w:spacing w:val="10"/>
          <w:sz w:val="24"/>
          <w:szCs w:val="32"/>
          <w:highlight w:val="none"/>
          <w:lang w:val="en-US" w:eastAsia="zh-CN"/>
        </w:rPr>
        <w:t>厂区应急</w:t>
      </w:r>
      <w:r>
        <w:rPr>
          <w:rFonts w:hint="default" w:ascii="Times New Roman" w:hAnsi="Times New Roman" w:eastAsia="宋体" w:cs="Times New Roman"/>
          <w:color w:val="000000"/>
          <w:spacing w:val="10"/>
          <w:sz w:val="24"/>
          <w:szCs w:val="32"/>
          <w:lang w:val="en-US" w:eastAsia="zh-CN"/>
        </w:rPr>
        <w:t>储存要求。</w:t>
      </w:r>
    </w:p>
    <w:p w14:paraId="71F64891">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⑵项目事故废水处理方案</w:t>
      </w:r>
    </w:p>
    <w:p w14:paraId="38FCD62B">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sectPr>
          <w:footerReference r:id="rId9" w:type="default"/>
          <w:pgSz w:w="11907" w:h="16840"/>
          <w:pgMar w:top="1678" w:right="1408" w:bottom="1901" w:left="1155" w:header="1174" w:footer="1029" w:gutter="567"/>
          <w:pgBorders>
            <w:top w:val="none" w:sz="0" w:space="0"/>
            <w:left w:val="none" w:sz="0" w:space="0"/>
            <w:bottom w:val="none" w:sz="0" w:space="0"/>
            <w:right w:val="none" w:sz="0" w:space="0"/>
          </w:pgBorders>
          <w:pgNumType w:fmt="decimal" w:start="1"/>
          <w:cols w:space="720" w:num="1"/>
          <w:docGrid w:type="linesAndChars" w:linePitch="428" w:charSpace="-3161"/>
        </w:sectPr>
      </w:pPr>
      <w:r>
        <w:rPr>
          <w:rFonts w:hint="default" w:ascii="Times New Roman" w:hAnsi="Times New Roman" w:eastAsia="宋体" w:cs="Times New Roman"/>
          <w:color w:val="000000"/>
          <w:spacing w:val="10"/>
          <w:sz w:val="24"/>
          <w:szCs w:val="32"/>
          <w:lang w:val="en-US" w:eastAsia="zh-CN"/>
        </w:rPr>
        <w:t>事故结束后，由专用运输车</w:t>
      </w:r>
      <w:r>
        <w:rPr>
          <w:rFonts w:hint="eastAsia" w:ascii="Times New Roman" w:hAnsi="Times New Roman" w:eastAsia="宋体" w:cs="Times New Roman"/>
          <w:color w:val="000000"/>
          <w:spacing w:val="10"/>
          <w:sz w:val="24"/>
          <w:szCs w:val="32"/>
          <w:lang w:val="en-US" w:eastAsia="zh-CN"/>
        </w:rPr>
        <w:t>抽运</w:t>
      </w:r>
      <w:r>
        <w:rPr>
          <w:rFonts w:hint="default" w:ascii="Times New Roman" w:hAnsi="Times New Roman" w:eastAsia="宋体" w:cs="Times New Roman"/>
          <w:color w:val="000000"/>
          <w:spacing w:val="10"/>
          <w:sz w:val="24"/>
          <w:szCs w:val="32"/>
          <w:lang w:val="en-US" w:eastAsia="zh-CN"/>
        </w:rPr>
        <w:t>至</w:t>
      </w:r>
      <w:r>
        <w:rPr>
          <w:rFonts w:hint="eastAsia" w:cs="Times New Roman"/>
          <w:color w:val="000000"/>
          <w:spacing w:val="10"/>
          <w:sz w:val="24"/>
          <w:szCs w:val="32"/>
          <w:lang w:val="en-US" w:eastAsia="zh-CN"/>
        </w:rPr>
        <w:t>钦州港工业污水集中处理厂</w:t>
      </w:r>
      <w:r>
        <w:rPr>
          <w:rFonts w:hint="default" w:ascii="Times New Roman" w:hAnsi="Times New Roman" w:eastAsia="宋体" w:cs="Times New Roman"/>
          <w:color w:val="000000"/>
          <w:spacing w:val="10"/>
          <w:sz w:val="24"/>
          <w:szCs w:val="32"/>
          <w:lang w:val="en-US" w:eastAsia="zh-CN"/>
        </w:rPr>
        <w:t>处理</w:t>
      </w:r>
      <w:r>
        <w:rPr>
          <w:rFonts w:hint="eastAsia" w:ascii="Times New Roman" w:hAnsi="Times New Roman" w:eastAsia="宋体" w:cs="Times New Roman"/>
          <w:color w:val="000000"/>
          <w:spacing w:val="10"/>
          <w:sz w:val="24"/>
          <w:szCs w:val="32"/>
          <w:lang w:val="en-US" w:eastAsia="zh-CN"/>
        </w:rPr>
        <w:t>或天宜污水处理厂（一期、二期工程）处理</w:t>
      </w:r>
      <w:r>
        <w:rPr>
          <w:rFonts w:hint="default" w:ascii="Times New Roman" w:hAnsi="Times New Roman" w:eastAsia="宋体" w:cs="Times New Roman"/>
          <w:color w:val="000000"/>
          <w:spacing w:val="10"/>
          <w:sz w:val="24"/>
          <w:szCs w:val="32"/>
          <w:lang w:val="en-US" w:eastAsia="zh-CN"/>
        </w:rPr>
        <w:t>。</w:t>
      </w:r>
    </w:p>
    <w:p w14:paraId="3F46552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3、地下水污染环境风险防范措施</w:t>
      </w:r>
    </w:p>
    <w:p w14:paraId="25C15DFF">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⑴加强分区防渗，特别是重点区域防渗，危险废物储存区域、初期雨水池、事故池等相关设施结构设计及施工时，确保渗透系数K&lt;1.0x10</w:t>
      </w:r>
      <w:r>
        <w:rPr>
          <w:rFonts w:hint="default" w:ascii="Times New Roman" w:hAnsi="Times New Roman" w:eastAsia="宋体" w:cs="Times New Roman"/>
          <w:color w:val="000000"/>
          <w:spacing w:val="10"/>
          <w:sz w:val="24"/>
          <w:szCs w:val="32"/>
          <w:vertAlign w:val="superscript"/>
          <w:lang w:val="en-US" w:eastAsia="zh-CN"/>
        </w:rPr>
        <w:t>-7</w:t>
      </w:r>
      <w:r>
        <w:rPr>
          <w:rFonts w:hint="default" w:ascii="Times New Roman" w:hAnsi="Times New Roman" w:eastAsia="宋体" w:cs="Times New Roman"/>
          <w:color w:val="000000"/>
          <w:spacing w:val="10"/>
          <w:sz w:val="24"/>
          <w:szCs w:val="32"/>
          <w:lang w:val="en-US" w:eastAsia="zh-CN"/>
        </w:rPr>
        <w:t>cm/s。防渗分区详见正文&amp;5.土壤和地下水章节。</w:t>
      </w:r>
    </w:p>
    <w:p w14:paraId="20D931D0">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⑵加强危险化学品储存区域地坪、初期雨水池、事故应急池底板和壁板三防维护，一经发现破损，马上进行检修。</w:t>
      </w:r>
    </w:p>
    <w:p w14:paraId="1BF46AFB">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⑶设置完善的厂区及其周边地下水监测网点，设置地下水监控井，定期观测地下水水位和采集水样进行水质分析，并建立档案。</w:t>
      </w:r>
    </w:p>
    <w:p w14:paraId="00E39943">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⑷制定地下水风险或突发事故的应急响应预案，及时采取封堵、截流、疏散等处理措施。</w:t>
      </w:r>
    </w:p>
    <w:p w14:paraId="4D3CAE5C">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⑸强化对地震、台风、洪灾等极端天气的预警，加强对防渗措施、地面等检查，及时发现裂缝。</w:t>
      </w:r>
    </w:p>
    <w:p w14:paraId="639196E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⑹事故发生后优先把滞留在地面的污染物收集起来，后续委托有相关资质的</w:t>
      </w:r>
      <w:r>
        <w:rPr>
          <w:rFonts w:hint="eastAsia" w:ascii="Times New Roman" w:hAnsi="Times New Roman" w:eastAsia="宋体" w:cs="Times New Roman"/>
          <w:color w:val="000000"/>
          <w:spacing w:val="10"/>
          <w:sz w:val="24"/>
          <w:szCs w:val="32"/>
          <w:lang w:val="en-US" w:eastAsia="zh-CN"/>
        </w:rPr>
        <w:t>单位</w:t>
      </w:r>
      <w:r>
        <w:rPr>
          <w:rFonts w:hint="default" w:ascii="Times New Roman" w:hAnsi="Times New Roman" w:eastAsia="宋体" w:cs="Times New Roman"/>
          <w:color w:val="000000"/>
          <w:spacing w:val="10"/>
          <w:sz w:val="24"/>
          <w:szCs w:val="32"/>
          <w:lang w:val="en-US" w:eastAsia="zh-CN"/>
        </w:rPr>
        <w:t>处置。</w:t>
      </w:r>
    </w:p>
    <w:p w14:paraId="7501324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⑺一旦发现渗漏事故，对监测井截渗井进行试抽工作，必要时开展地下水、土壤修复治理工作。</w:t>
      </w:r>
    </w:p>
    <w:p w14:paraId="07C0E282">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⑻若防渗层遭到破坏的风险事故发生后，加强对地下水监控井进行监测，前两个月至少保持一月一次，往后一季度一次，直至地下水恢复至原有相当水平。</w:t>
      </w:r>
    </w:p>
    <w:p w14:paraId="4613FBDA">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u w:val="none"/>
          <w:lang w:val="en-US" w:eastAsia="zh-CN"/>
        </w:rPr>
      </w:pPr>
      <w:r>
        <w:rPr>
          <w:rFonts w:hint="eastAsia" w:ascii="Times New Roman" w:hAnsi="Times New Roman" w:eastAsia="宋体" w:cs="Times New Roman"/>
          <w:color w:val="auto"/>
          <w:spacing w:val="10"/>
          <w:sz w:val="24"/>
          <w:szCs w:val="32"/>
          <w:u w:val="none"/>
          <w:lang w:val="en-US" w:eastAsia="zh-CN"/>
        </w:rPr>
        <w:t>4、集装箱破损泄漏对策措施</w:t>
      </w:r>
    </w:p>
    <w:p w14:paraId="7037F049">
      <w:pPr>
        <w:autoSpaceDE w:val="0"/>
        <w:autoSpaceDN w:val="0"/>
        <w:adjustRightInd w:val="0"/>
        <w:spacing w:line="500" w:lineRule="exact"/>
        <w:ind w:firstLine="490" w:firstLineChars="200"/>
        <w:rPr>
          <w:rFonts w:hint="default" w:ascii="Times New Roman" w:hAnsi="Times New Roman" w:eastAsia="宋体" w:cs="Times New Roman"/>
          <w:color w:val="auto"/>
          <w:spacing w:val="10"/>
          <w:sz w:val="24"/>
          <w:szCs w:val="32"/>
          <w:u w:val="none"/>
          <w:lang w:val="en-US" w:eastAsia="zh-CN"/>
        </w:rPr>
      </w:pPr>
      <w:r>
        <w:rPr>
          <w:rFonts w:hint="eastAsia" w:ascii="Times New Roman" w:hAnsi="Times New Roman" w:eastAsia="宋体" w:cs="Times New Roman"/>
          <w:color w:val="auto"/>
          <w:spacing w:val="10"/>
          <w:sz w:val="24"/>
          <w:szCs w:val="32"/>
          <w:u w:val="none"/>
          <w:lang w:val="en-US" w:eastAsia="zh-CN"/>
        </w:rPr>
        <w:t>项目集装箱吊装方式进行装卸集装箱，汽车吊装过程可能造成集装箱掉落，集装箱破损造成危险化学品泄漏，建设单位应严格要求吊装人员持证上岗，严格规范吊装作业。集装箱拆</w:t>
      </w:r>
      <w:r>
        <w:rPr>
          <w:rFonts w:hint="eastAsia" w:cs="Times New Roman"/>
          <w:color w:val="auto"/>
          <w:spacing w:val="10"/>
          <w:sz w:val="24"/>
          <w:szCs w:val="32"/>
          <w:u w:val="none"/>
          <w:lang w:val="en-US" w:eastAsia="zh-CN"/>
        </w:rPr>
        <w:t>装</w:t>
      </w:r>
      <w:r>
        <w:rPr>
          <w:rFonts w:hint="eastAsia" w:ascii="Times New Roman" w:hAnsi="Times New Roman" w:eastAsia="宋体" w:cs="Times New Roman"/>
          <w:color w:val="auto"/>
          <w:spacing w:val="10"/>
          <w:sz w:val="24"/>
          <w:szCs w:val="32"/>
          <w:u w:val="none"/>
          <w:lang w:val="en-US" w:eastAsia="zh-CN"/>
        </w:rPr>
        <w:t>棚四周设导流沟，事故发生时，可将事故泄漏的液态危险化学品、消防废水、初期雨水收集导入事故应急池。</w:t>
      </w:r>
    </w:p>
    <w:p w14:paraId="49BF9FA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u w:val="none"/>
          <w:lang w:val="en-US" w:eastAsia="zh-CN"/>
        </w:rPr>
      </w:pPr>
      <w:r>
        <w:rPr>
          <w:rFonts w:hint="eastAsia" w:cs="Times New Roman"/>
          <w:color w:val="000000"/>
          <w:spacing w:val="10"/>
          <w:sz w:val="24"/>
          <w:szCs w:val="32"/>
          <w:u w:val="none"/>
          <w:lang w:val="en-US" w:eastAsia="zh-CN"/>
        </w:rPr>
        <w:t>5、道路运输风险防范措施</w:t>
      </w:r>
    </w:p>
    <w:p w14:paraId="7D913FD1">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eastAsia" w:cs="Times New Roman"/>
          <w:color w:val="000000"/>
          <w:spacing w:val="10"/>
          <w:sz w:val="24"/>
          <w:szCs w:val="32"/>
          <w:u w:val="none"/>
          <w:lang w:val="en-US" w:eastAsia="zh-CN"/>
        </w:rPr>
        <w:t>在运输过程中可能因为运输车辆故障或事故引发危险化学品泄漏，对地表水环境、大气环境造成影响，对人员造成伤害，因此运输过程中严格按照指定的运输路线行驶，采用具备危化品运输资质的专用运输车辆，严格执行《危险货物道路运输安全管理办法》。</w:t>
      </w:r>
    </w:p>
    <w:p w14:paraId="425519D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eastAsia" w:cs="Times New Roman"/>
          <w:color w:val="000000"/>
          <w:spacing w:val="10"/>
          <w:sz w:val="24"/>
          <w:szCs w:val="32"/>
          <w:lang w:val="en-US" w:eastAsia="zh-CN"/>
        </w:rPr>
        <w:t>6</w:t>
      </w:r>
      <w:r>
        <w:rPr>
          <w:rFonts w:hint="default" w:ascii="Times New Roman" w:hAnsi="Times New Roman" w:eastAsia="宋体" w:cs="Times New Roman"/>
          <w:color w:val="000000"/>
          <w:spacing w:val="10"/>
          <w:sz w:val="24"/>
          <w:szCs w:val="32"/>
          <w:lang w:val="en-US" w:eastAsia="zh-CN"/>
        </w:rPr>
        <w:t>、安全管理方面的对策措施</w:t>
      </w:r>
    </w:p>
    <w:p w14:paraId="06C3CB5E">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贯彻落实各级安全生产责任制，实行全面安全管理。按《生产过程安全卫生要求总则》（GB</w:t>
      </w:r>
      <w:r>
        <w:rPr>
          <w:rFonts w:hint="eastAsia" w:ascii="Times New Roman" w:hAnsi="Times New Roman" w:eastAsia="宋体" w:cs="Times New Roman"/>
          <w:color w:val="000000"/>
          <w:spacing w:val="10"/>
          <w:sz w:val="24"/>
          <w:szCs w:val="32"/>
          <w:lang w:val="en-US" w:eastAsia="zh-CN"/>
        </w:rPr>
        <w:t xml:space="preserve"> </w:t>
      </w:r>
      <w:r>
        <w:rPr>
          <w:rFonts w:hint="default" w:ascii="Times New Roman" w:hAnsi="Times New Roman" w:eastAsia="宋体" w:cs="Times New Roman"/>
          <w:color w:val="000000"/>
          <w:spacing w:val="10"/>
          <w:sz w:val="24"/>
          <w:szCs w:val="32"/>
          <w:lang w:val="en-US" w:eastAsia="zh-CN"/>
        </w:rPr>
        <w:t>12801-91）制定切实可行的安全管理制度，各生产岗位制定详细的安全操作规程，设专人定期进行安全检查。应编制应急救援预案并到安全生产监督管理部门备案。</w:t>
      </w:r>
    </w:p>
    <w:p w14:paraId="26F7D05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开展经常性的安全教育活动，制定特殊危险事件及突发性事故的应急措施，</w:t>
      </w:r>
      <w:r>
        <w:rPr>
          <w:rFonts w:hint="eastAsia" w:cs="Times New Roman"/>
          <w:color w:val="000000"/>
          <w:spacing w:val="10"/>
          <w:sz w:val="24"/>
          <w:szCs w:val="32"/>
          <w:lang w:val="en-US" w:eastAsia="zh-CN"/>
        </w:rPr>
        <w:t>增强</w:t>
      </w:r>
      <w:r>
        <w:rPr>
          <w:rFonts w:hint="default" w:ascii="Times New Roman" w:hAnsi="Times New Roman" w:eastAsia="宋体" w:cs="Times New Roman"/>
          <w:color w:val="000000"/>
          <w:spacing w:val="10"/>
          <w:sz w:val="24"/>
          <w:szCs w:val="32"/>
          <w:lang w:val="en-US" w:eastAsia="zh-CN"/>
        </w:rPr>
        <w:t>职工的安全意识、责任心和自我保护意识，使职工不仅熟悉正常操作，还熟悉储存过程中可能出现异常情况时的处理方法。</w:t>
      </w:r>
    </w:p>
    <w:p w14:paraId="18DF27E7">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eastAsia" w:cs="Times New Roman"/>
          <w:color w:val="000000"/>
          <w:spacing w:val="10"/>
          <w:sz w:val="24"/>
          <w:szCs w:val="32"/>
          <w:lang w:val="en-US" w:eastAsia="zh-CN"/>
        </w:rPr>
        <w:t>7</w:t>
      </w:r>
      <w:r>
        <w:rPr>
          <w:rFonts w:hint="default" w:ascii="Times New Roman" w:hAnsi="Times New Roman" w:eastAsia="宋体" w:cs="Times New Roman"/>
          <w:color w:val="000000"/>
          <w:spacing w:val="10"/>
          <w:sz w:val="24"/>
          <w:szCs w:val="32"/>
          <w:lang w:val="en-US" w:eastAsia="zh-CN"/>
        </w:rPr>
        <w:t>、其他对策措施</w:t>
      </w:r>
    </w:p>
    <w:p w14:paraId="135A9DC3">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⑴严格控制事故期间物料进出</w:t>
      </w:r>
    </w:p>
    <w:p w14:paraId="6B4068E0">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根据前述分析，本项目可能发生的事故种类较多。企业须建立完整的应急预案体系，当发生突发环境事件时，应严格控制运输车的进出。当发生火灾或爆炸事故</w:t>
      </w:r>
      <w:r>
        <w:rPr>
          <w:rFonts w:hint="eastAsia" w:cs="Times New Roman"/>
          <w:color w:val="000000"/>
          <w:spacing w:val="10"/>
          <w:sz w:val="24"/>
          <w:szCs w:val="32"/>
          <w:lang w:val="en-US" w:eastAsia="zh-CN"/>
        </w:rPr>
        <w:t>或</w:t>
      </w:r>
      <w:r>
        <w:rPr>
          <w:rFonts w:hint="default" w:ascii="Times New Roman" w:hAnsi="Times New Roman" w:eastAsia="宋体" w:cs="Times New Roman"/>
          <w:color w:val="000000"/>
          <w:spacing w:val="10"/>
          <w:sz w:val="24"/>
          <w:szCs w:val="32"/>
          <w:lang w:val="en-US" w:eastAsia="zh-CN"/>
        </w:rPr>
        <w:t>发生故障而短时间内无法修复、区域发生地质灾害、仓库发生渗漏等事故情况下，应暂停危险化学品进入相应仓库，避免事故运行导致污染物非正常排放。</w:t>
      </w:r>
    </w:p>
    <w:p w14:paraId="1C12FB15">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⑵事故处置过程</w:t>
      </w:r>
      <w:r>
        <w:rPr>
          <w:rFonts w:hint="default" w:ascii="Times New Roman" w:hAnsi="Times New Roman" w:eastAsia="宋体" w:cs="Times New Roman"/>
          <w:color w:val="000000"/>
          <w:spacing w:val="10"/>
          <w:sz w:val="24"/>
          <w:szCs w:val="32"/>
          <w:highlight w:val="none"/>
          <w:lang w:val="en-US" w:eastAsia="zh-CN"/>
        </w:rPr>
        <w:t>台</w:t>
      </w:r>
      <w:r>
        <w:rPr>
          <w:rFonts w:hint="eastAsia" w:ascii="Times New Roman" w:hAnsi="Times New Roman" w:eastAsia="宋体" w:cs="Times New Roman"/>
          <w:color w:val="000000"/>
          <w:spacing w:val="10"/>
          <w:sz w:val="24"/>
          <w:szCs w:val="32"/>
          <w:highlight w:val="none"/>
          <w:lang w:val="en-US" w:eastAsia="zh-CN"/>
        </w:rPr>
        <w:t>账</w:t>
      </w:r>
      <w:r>
        <w:rPr>
          <w:rFonts w:hint="default" w:ascii="Times New Roman" w:hAnsi="Times New Roman" w:eastAsia="宋体" w:cs="Times New Roman"/>
          <w:color w:val="000000"/>
          <w:spacing w:val="10"/>
          <w:sz w:val="24"/>
          <w:szCs w:val="32"/>
          <w:highlight w:val="none"/>
          <w:lang w:val="en-US" w:eastAsia="zh-CN"/>
        </w:rPr>
        <w:t>制度</w:t>
      </w:r>
    </w:p>
    <w:p w14:paraId="5D10649A">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企业须建立专门的突发环境事件应急处置记录及相关</w:t>
      </w:r>
      <w:r>
        <w:rPr>
          <w:rFonts w:hint="eastAsia" w:ascii="Times New Roman" w:hAnsi="Times New Roman" w:eastAsia="宋体" w:cs="Times New Roman"/>
          <w:color w:val="000000"/>
          <w:spacing w:val="10"/>
          <w:sz w:val="24"/>
          <w:szCs w:val="32"/>
          <w:highlight w:val="none"/>
          <w:lang w:val="en-US" w:eastAsia="zh-CN"/>
        </w:rPr>
        <w:t>台账</w:t>
      </w:r>
      <w:r>
        <w:rPr>
          <w:rFonts w:hint="default" w:ascii="Times New Roman" w:hAnsi="Times New Roman" w:eastAsia="宋体" w:cs="Times New Roman"/>
          <w:color w:val="000000"/>
          <w:spacing w:val="10"/>
          <w:sz w:val="24"/>
          <w:szCs w:val="32"/>
          <w:lang w:val="en-US" w:eastAsia="zh-CN"/>
        </w:rPr>
        <w:t>。详细记录发生事故起因、处置过程，登记应急处置期间产生的废水、废液、固废及对应的处理、处置情况。</w:t>
      </w:r>
    </w:p>
    <w:p w14:paraId="314F38DD">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事故结束后用于总结经验教训，并报当地</w:t>
      </w:r>
      <w:r>
        <w:rPr>
          <w:rFonts w:hint="eastAsia" w:cs="Times New Roman"/>
          <w:color w:val="000000"/>
          <w:spacing w:val="10"/>
          <w:sz w:val="24"/>
          <w:szCs w:val="32"/>
          <w:lang w:val="en-US" w:eastAsia="zh-CN"/>
        </w:rPr>
        <w:t>生态环境</w:t>
      </w:r>
      <w:r>
        <w:rPr>
          <w:rFonts w:hint="default" w:ascii="Times New Roman" w:hAnsi="Times New Roman" w:eastAsia="宋体" w:cs="Times New Roman"/>
          <w:color w:val="000000"/>
          <w:spacing w:val="10"/>
          <w:sz w:val="24"/>
          <w:szCs w:val="32"/>
          <w:lang w:val="en-US" w:eastAsia="zh-CN"/>
        </w:rPr>
        <w:t>主管部门备案。严禁将事故期间的各类污染物违规处置，杜绝因事故处置而引发的二次污染。</w:t>
      </w:r>
    </w:p>
    <w:p w14:paraId="211C3CAA">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⑶建设完整的应急防范体系</w:t>
      </w:r>
    </w:p>
    <w:p w14:paraId="1C92724E">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形成生产安全事故应急预案，含火灾、爆炸、危险化学品泄漏、中毒和职业病危害、自然灾害事故应急处置。</w:t>
      </w:r>
    </w:p>
    <w:p w14:paraId="077ADFB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⑷应急池的设置及管理要求</w:t>
      </w:r>
    </w:p>
    <w:p w14:paraId="0292672B">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1）根据厂内消防设施设计、废水处理系统规模等情况估算，厂内设置一处</w:t>
      </w:r>
      <w:r>
        <w:rPr>
          <w:rFonts w:hint="eastAsia" w:ascii="Times New Roman" w:hAnsi="Times New Roman" w:eastAsia="宋体" w:cs="Times New Roman"/>
          <w:color w:val="000000"/>
          <w:spacing w:val="10"/>
          <w:sz w:val="24"/>
          <w:szCs w:val="32"/>
          <w:lang w:val="en-US" w:eastAsia="zh-CN"/>
        </w:rPr>
        <w:t>100</w:t>
      </w:r>
      <w:r>
        <w:rPr>
          <w:rFonts w:hint="default" w:ascii="Times New Roman" w:hAnsi="Times New Roman" w:eastAsia="宋体" w:cs="Times New Roman"/>
          <w:color w:val="000000"/>
          <w:spacing w:val="10"/>
          <w:sz w:val="24"/>
          <w:szCs w:val="32"/>
          <w:lang w:val="en-US" w:eastAsia="zh-CN"/>
        </w:rPr>
        <w:t>0m</w:t>
      </w:r>
      <w:r>
        <w:rPr>
          <w:rFonts w:hint="default" w:ascii="Times New Roman" w:hAnsi="Times New Roman" w:eastAsia="宋体" w:cs="Times New Roman"/>
          <w:color w:val="000000"/>
          <w:spacing w:val="10"/>
          <w:sz w:val="24"/>
          <w:szCs w:val="32"/>
          <w:vertAlign w:val="superscript"/>
          <w:lang w:val="en-US" w:eastAsia="zh-CN"/>
        </w:rPr>
        <w:t>3</w:t>
      </w:r>
      <w:r>
        <w:rPr>
          <w:rFonts w:hint="default" w:ascii="Times New Roman" w:hAnsi="Times New Roman" w:eastAsia="宋体" w:cs="Times New Roman"/>
          <w:color w:val="000000"/>
          <w:spacing w:val="10"/>
          <w:sz w:val="24"/>
          <w:szCs w:val="32"/>
          <w:lang w:val="en-US" w:eastAsia="zh-CN"/>
        </w:rPr>
        <w:t>的应急池，可以满足项目的事故应急需要。</w:t>
      </w:r>
    </w:p>
    <w:p w14:paraId="78D31C9A">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2）根据《水体污染防控紧急措施设计导则》，对环境突发事故废水收集系统的设计和管理必须满足以下要求：</w:t>
      </w:r>
    </w:p>
    <w:p w14:paraId="4B13973E">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①公司根据实际情况制订《应急阀的操作规程》，防止消防废水和事故废水进入外环境。</w:t>
      </w:r>
    </w:p>
    <w:p w14:paraId="4B3E325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②事故处置过程中未受污染的排水不宜进入储存设施。</w:t>
      </w:r>
    </w:p>
    <w:p w14:paraId="7E46F212">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③事故池可能收集挥发性有害物质时应注意采取安全措施。</w:t>
      </w:r>
    </w:p>
    <w:p w14:paraId="69567556">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④应急池非事故状态下不得占用，以保证事故期间事故废水有足够的容纳空间。</w:t>
      </w:r>
    </w:p>
    <w:p w14:paraId="201B26D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⑤自流进水时，事故池内最高液位不应高于该收集系统范围内的最低地面标高，并留有适当的保护高度。</w:t>
      </w:r>
    </w:p>
    <w:p w14:paraId="67747A78">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⑥当自流进入的事故池容积不能满足事故排水储存容量要求，</w:t>
      </w:r>
      <w:r>
        <w:rPr>
          <w:rFonts w:hint="eastAsia" w:cs="Times New Roman"/>
          <w:color w:val="000000"/>
          <w:spacing w:val="10"/>
          <w:sz w:val="24"/>
          <w:szCs w:val="32"/>
          <w:lang w:val="en-US" w:eastAsia="zh-CN"/>
        </w:rPr>
        <w:t>需加压</w:t>
      </w:r>
      <w:r>
        <w:rPr>
          <w:rFonts w:hint="default" w:ascii="Times New Roman" w:hAnsi="Times New Roman" w:eastAsia="宋体" w:cs="Times New Roman"/>
          <w:color w:val="000000"/>
          <w:spacing w:val="10"/>
          <w:sz w:val="24"/>
          <w:szCs w:val="32"/>
          <w:lang w:val="en-US" w:eastAsia="zh-CN"/>
        </w:rPr>
        <w:t>外排</w:t>
      </w:r>
      <w:r>
        <w:rPr>
          <w:rFonts w:hint="eastAsia" w:cs="Times New Roman"/>
          <w:color w:val="000000"/>
          <w:spacing w:val="10"/>
          <w:sz w:val="24"/>
          <w:szCs w:val="32"/>
          <w:lang w:val="en-US" w:eastAsia="zh-CN"/>
        </w:rPr>
        <w:t>到其他</w:t>
      </w:r>
      <w:r>
        <w:rPr>
          <w:rFonts w:hint="default" w:ascii="Times New Roman" w:hAnsi="Times New Roman" w:eastAsia="宋体" w:cs="Times New Roman"/>
          <w:color w:val="000000"/>
          <w:spacing w:val="10"/>
          <w:sz w:val="24"/>
          <w:szCs w:val="32"/>
          <w:lang w:val="en-US" w:eastAsia="zh-CN"/>
        </w:rPr>
        <w:t>储存设施时，用电设备的电源应满足现行国家标准《供配电系统设计规范》所规定的供电要求。</w:t>
      </w:r>
    </w:p>
    <w:p w14:paraId="4209369A">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⑦应急池池底、池壁</w:t>
      </w:r>
      <w:r>
        <w:rPr>
          <w:rFonts w:hint="default" w:ascii="Times New Roman" w:hAnsi="Times New Roman" w:eastAsia="宋体" w:cs="Times New Roman"/>
          <w:color w:val="auto"/>
          <w:spacing w:val="10"/>
          <w:sz w:val="24"/>
          <w:szCs w:val="32"/>
          <w:lang w:val="en-US" w:eastAsia="zh-CN"/>
        </w:rPr>
        <w:t>采用</w:t>
      </w:r>
      <w:r>
        <w:rPr>
          <w:rFonts w:hint="eastAsia" w:ascii="Times New Roman" w:hAnsi="Times New Roman" w:eastAsia="宋体" w:cs="Times New Roman"/>
          <w:color w:val="auto"/>
          <w:spacing w:val="10"/>
          <w:sz w:val="24"/>
          <w:szCs w:val="32"/>
          <w:u w:val="none"/>
          <w:lang w:val="en-US" w:eastAsia="zh-CN"/>
        </w:rPr>
        <w:t>耐酸碱</w:t>
      </w:r>
      <w:r>
        <w:rPr>
          <w:rFonts w:hint="default" w:ascii="Times New Roman" w:hAnsi="Times New Roman" w:eastAsia="宋体" w:cs="Times New Roman"/>
          <w:color w:val="auto"/>
          <w:spacing w:val="10"/>
          <w:sz w:val="24"/>
          <w:szCs w:val="32"/>
          <w:lang w:val="en-US" w:eastAsia="zh-CN"/>
        </w:rPr>
        <w:t>材</w:t>
      </w:r>
      <w:r>
        <w:rPr>
          <w:rFonts w:hint="default" w:ascii="Times New Roman" w:hAnsi="Times New Roman" w:eastAsia="宋体" w:cs="Times New Roman"/>
          <w:color w:val="000000"/>
          <w:spacing w:val="10"/>
          <w:sz w:val="24"/>
          <w:szCs w:val="32"/>
          <w:lang w:val="en-US" w:eastAsia="zh-CN"/>
        </w:rPr>
        <w:t>料进行防腐、防渗处理。</w:t>
      </w:r>
    </w:p>
    <w:p w14:paraId="28E52F09">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⑧当收集大量有毒有害</w:t>
      </w:r>
      <w:r>
        <w:rPr>
          <w:rFonts w:hint="eastAsia" w:ascii="Times New Roman" w:hAnsi="Times New Roman" w:eastAsia="宋体" w:cs="Times New Roman"/>
          <w:color w:val="000000"/>
          <w:spacing w:val="10"/>
          <w:sz w:val="24"/>
          <w:szCs w:val="32"/>
          <w:lang w:val="en-US" w:eastAsia="zh-CN"/>
        </w:rPr>
        <w:t>废液</w:t>
      </w:r>
      <w:r>
        <w:rPr>
          <w:rFonts w:hint="default" w:ascii="Times New Roman" w:hAnsi="Times New Roman" w:eastAsia="宋体" w:cs="Times New Roman"/>
          <w:color w:val="000000"/>
          <w:spacing w:val="10"/>
          <w:sz w:val="24"/>
          <w:szCs w:val="32"/>
          <w:lang w:val="en-US" w:eastAsia="zh-CN"/>
        </w:rPr>
        <w:t>时，池内废液须作为危废处置。</w:t>
      </w:r>
    </w:p>
    <w:p w14:paraId="570EBB4A">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环境风险应急措施</w:t>
      </w:r>
    </w:p>
    <w:p w14:paraId="4FD45410">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1、风险事故应急措施</w:t>
      </w:r>
    </w:p>
    <w:p w14:paraId="406DDE55">
      <w:pPr>
        <w:autoSpaceDE w:val="0"/>
        <w:autoSpaceDN w:val="0"/>
        <w:adjustRightInd w:val="0"/>
        <w:spacing w:line="500" w:lineRule="exact"/>
        <w:ind w:firstLine="49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为防止出现灾害事故，减少风险，要求项目工程设计、施工和运行，要科学规划，合理布置，严格按照防火安全设计规范设计，保证施工质量，严格安全生产制度，严格管理，提高操作人员素质和水平，以减少事故的发生。风险事故发生后，应根据事故严重情况采取相应的应急措施，控制事态发展，减缓事故灾害。</w:t>
      </w:r>
    </w:p>
    <w:p w14:paraId="434CF4F5">
      <w:pPr>
        <w:autoSpaceDE w:val="0"/>
        <w:autoSpaceDN w:val="0"/>
        <w:spacing w:line="500" w:lineRule="exact"/>
        <w:ind w:left="116" w:right="395" w:firstLine="480"/>
        <w:rPr>
          <w:rFonts w:hint="default" w:ascii="Times New Roman" w:hAnsi="Times New Roman" w:eastAsia="宋体" w:cs="Times New Roman"/>
          <w:color w:val="0100FE"/>
          <w:spacing w:val="-6"/>
          <w:sz w:val="24"/>
          <w:szCs w:val="24"/>
        </w:rPr>
      </w:pPr>
      <w:r>
        <w:rPr>
          <w:rFonts w:hint="default" w:ascii="Times New Roman" w:hAnsi="Times New Roman" w:eastAsia="宋体" w:cs="Times New Roman"/>
          <w:color w:val="000000"/>
          <w:spacing w:val="10"/>
          <w:sz w:val="24"/>
          <w:szCs w:val="32"/>
          <w:lang w:val="en-US" w:eastAsia="zh-CN"/>
        </w:rPr>
        <w:t>本次评价根据国内同类企业的经验，提供危险化学品储存区的风险减缓措施供建设单位参考，建设单位应根据本企业的具体情况，针对每处危险化学品储存区可能发生的各种事故状况，编制相应的应急方案。</w:t>
      </w:r>
    </w:p>
    <w:p w14:paraId="7C6DC911">
      <w:pPr>
        <w:autoSpaceDE w:val="0"/>
        <w:autoSpaceDN w:val="0"/>
        <w:spacing w:line="500" w:lineRule="exact"/>
        <w:ind w:left="116" w:right="395" w:firstLine="480"/>
        <w:rPr>
          <w:rFonts w:hint="default" w:ascii="Times New Roman" w:hAnsi="Times New Roman" w:eastAsia="宋体" w:cs="Times New Roman"/>
          <w:color w:val="0100FE"/>
          <w:spacing w:val="-6"/>
          <w:sz w:val="24"/>
          <w:szCs w:val="24"/>
        </w:rPr>
        <w:sectPr>
          <w:pgSz w:w="11907" w:h="16840"/>
          <w:pgMar w:top="1678" w:right="1408" w:bottom="1901" w:left="1155" w:header="1174" w:footer="1029" w:gutter="567"/>
          <w:pgBorders>
            <w:top w:val="none" w:sz="0" w:space="0"/>
            <w:left w:val="none" w:sz="0" w:space="0"/>
            <w:bottom w:val="none" w:sz="0" w:space="0"/>
            <w:right w:val="none" w:sz="0" w:space="0"/>
          </w:pgBorders>
          <w:pgNumType w:fmt="decimal"/>
          <w:cols w:space="720" w:num="1"/>
          <w:docGrid w:type="linesAndChars" w:linePitch="428" w:charSpace="-3161"/>
        </w:sectPr>
      </w:pPr>
    </w:p>
    <w:p w14:paraId="5BD0EEBD">
      <w:pPr>
        <w:pStyle w:val="4"/>
        <w:numPr>
          <w:ilvl w:val="3"/>
          <w:numId w:val="10"/>
        </w:numPr>
        <w:tabs>
          <w:tab w:val="left" w:pos="1276"/>
          <w:tab w:val="left" w:pos="1358"/>
          <w:tab w:val="left" w:pos="2153"/>
          <w:tab w:val="left" w:pos="2183"/>
        </w:tabs>
        <w:spacing w:before="15"/>
        <w:ind w:left="1358"/>
        <w:rPr>
          <w:rFonts w:hint="default" w:ascii="Times New Roman" w:hAnsi="Times New Roman" w:eastAsia="宋体" w:cs="Times New Roman"/>
          <w:color w:val="000000"/>
        </w:rPr>
      </w:pPr>
      <w:bookmarkStart w:id="93" w:name="_Toc14664"/>
      <w:r>
        <w:rPr>
          <w:rFonts w:hint="default" w:ascii="Times New Roman" w:hAnsi="Times New Roman" w:eastAsia="宋体" w:cs="Times New Roman"/>
          <w:color w:val="000000"/>
        </w:rPr>
        <w:t>事故预防措施</w:t>
      </w:r>
      <w:bookmarkEnd w:id="93"/>
    </w:p>
    <w:tbl>
      <w:tblPr>
        <w:tblStyle w:val="19"/>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7"/>
        <w:gridCol w:w="599"/>
        <w:gridCol w:w="861"/>
        <w:gridCol w:w="3951"/>
        <w:gridCol w:w="2930"/>
      </w:tblGrid>
      <w:tr w14:paraId="5ACCA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0" w:type="pct"/>
            <w:noWrap w:val="0"/>
            <w:vAlign w:val="center"/>
          </w:tcPr>
          <w:p w14:paraId="5CBB3D2A">
            <w:pPr>
              <w:widowControl/>
              <w:adjustRightInd w:val="0"/>
              <w:snapToGrid w:val="0"/>
              <w:jc w:val="center"/>
              <w:textAlignment w:val="center"/>
              <w:rPr>
                <w:rFonts w:hint="default" w:ascii="Times New Roman" w:hAnsi="Times New Roman" w:eastAsia="宋体" w:cs="Times New Roman"/>
                <w:color w:val="auto"/>
                <w:kern w:val="0"/>
                <w:u w:val="none"/>
              </w:rPr>
            </w:pPr>
            <w:r>
              <w:rPr>
                <w:rFonts w:hint="default" w:ascii="Times New Roman" w:hAnsi="Times New Roman" w:eastAsia="宋体" w:cs="Times New Roman"/>
                <w:color w:val="auto"/>
                <w:kern w:val="0"/>
                <w:u w:val="none"/>
              </w:rPr>
              <w:t>区域</w:t>
            </w:r>
          </w:p>
        </w:tc>
        <w:tc>
          <w:tcPr>
            <w:tcW w:w="333" w:type="pct"/>
            <w:noWrap w:val="0"/>
            <w:vAlign w:val="center"/>
          </w:tcPr>
          <w:p w14:paraId="677725A1">
            <w:pPr>
              <w:widowControl/>
              <w:adjustRightInd w:val="0"/>
              <w:snapToGrid w:val="0"/>
              <w:jc w:val="center"/>
              <w:textAlignment w:val="center"/>
              <w:rPr>
                <w:rFonts w:hint="default" w:ascii="Times New Roman" w:hAnsi="Times New Roman" w:eastAsia="宋体" w:cs="Times New Roman"/>
                <w:color w:val="auto"/>
                <w:kern w:val="0"/>
                <w:u w:val="none"/>
              </w:rPr>
            </w:pPr>
            <w:r>
              <w:rPr>
                <w:rFonts w:hint="default" w:ascii="Times New Roman" w:hAnsi="Times New Roman" w:eastAsia="宋体" w:cs="Times New Roman"/>
                <w:color w:val="auto"/>
                <w:kern w:val="0"/>
                <w:u w:val="none"/>
              </w:rPr>
              <w:t>事故类型</w:t>
            </w:r>
          </w:p>
        </w:tc>
        <w:tc>
          <w:tcPr>
            <w:tcW w:w="2676" w:type="pct"/>
            <w:gridSpan w:val="2"/>
            <w:noWrap w:val="0"/>
            <w:vAlign w:val="center"/>
          </w:tcPr>
          <w:p w14:paraId="7DD6CAA4">
            <w:pPr>
              <w:widowControl/>
              <w:adjustRightInd w:val="0"/>
              <w:snapToGrid w:val="0"/>
              <w:jc w:val="center"/>
              <w:textAlignment w:val="center"/>
              <w:rPr>
                <w:rFonts w:hint="default" w:ascii="Times New Roman" w:hAnsi="Times New Roman" w:eastAsia="宋体" w:cs="Times New Roman"/>
                <w:color w:val="auto"/>
                <w:kern w:val="0"/>
                <w:u w:val="none"/>
              </w:rPr>
            </w:pPr>
            <w:r>
              <w:rPr>
                <w:rFonts w:hint="default" w:ascii="Times New Roman" w:hAnsi="Times New Roman" w:eastAsia="宋体" w:cs="Times New Roman"/>
                <w:color w:val="auto"/>
                <w:kern w:val="0"/>
                <w:u w:val="none"/>
              </w:rPr>
              <w:t>工程防治对策</w:t>
            </w:r>
          </w:p>
        </w:tc>
        <w:tc>
          <w:tcPr>
            <w:tcW w:w="1629" w:type="pct"/>
            <w:noWrap w:val="0"/>
            <w:vAlign w:val="center"/>
          </w:tcPr>
          <w:p w14:paraId="5DF1BF79">
            <w:pPr>
              <w:widowControl/>
              <w:adjustRightInd w:val="0"/>
              <w:snapToGrid w:val="0"/>
              <w:jc w:val="center"/>
              <w:textAlignment w:val="center"/>
              <w:rPr>
                <w:rFonts w:hint="default" w:ascii="Times New Roman" w:hAnsi="Times New Roman" w:eastAsia="宋体" w:cs="Times New Roman"/>
                <w:color w:val="auto"/>
                <w:kern w:val="0"/>
                <w:u w:val="none"/>
              </w:rPr>
            </w:pPr>
            <w:r>
              <w:rPr>
                <w:rFonts w:hint="default" w:ascii="Times New Roman" w:hAnsi="Times New Roman" w:eastAsia="宋体" w:cs="Times New Roman"/>
                <w:color w:val="auto"/>
                <w:kern w:val="0"/>
                <w:u w:val="none"/>
              </w:rPr>
              <w:t>应急措施</w:t>
            </w:r>
          </w:p>
        </w:tc>
      </w:tr>
      <w:tr w14:paraId="5393A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0" w:type="pct"/>
            <w:vMerge w:val="restart"/>
            <w:noWrap w:val="0"/>
            <w:vAlign w:val="center"/>
          </w:tcPr>
          <w:p w14:paraId="0C73F4DE">
            <w:pPr>
              <w:widowControl/>
              <w:adjustRightInd w:val="0"/>
              <w:snapToGrid w:val="0"/>
              <w:jc w:val="center"/>
              <w:textAlignment w:val="center"/>
              <w:rPr>
                <w:rFonts w:hint="default" w:ascii="Times New Roman" w:hAnsi="Times New Roman" w:eastAsia="宋体" w:cs="Times New Roman"/>
                <w:color w:val="auto"/>
                <w:kern w:val="0"/>
                <w:u w:val="none"/>
              </w:rPr>
            </w:pPr>
            <w:r>
              <w:rPr>
                <w:rFonts w:hint="eastAsia" w:ascii="Times New Roman" w:hAnsi="Times New Roman" w:eastAsia="宋体" w:cs="Times New Roman"/>
                <w:color w:val="auto"/>
                <w:kern w:val="0"/>
                <w:u w:val="none"/>
                <w:lang w:val="en-US" w:eastAsia="zh-CN"/>
              </w:rPr>
              <w:t>2号、4号、5号仓库</w:t>
            </w:r>
          </w:p>
        </w:tc>
        <w:tc>
          <w:tcPr>
            <w:tcW w:w="333" w:type="pct"/>
            <w:vMerge w:val="restart"/>
            <w:noWrap w:val="0"/>
            <w:vAlign w:val="center"/>
          </w:tcPr>
          <w:p w14:paraId="3D76AF2F">
            <w:pPr>
              <w:widowControl/>
              <w:adjustRightInd w:val="0"/>
              <w:snapToGrid w:val="0"/>
              <w:jc w:val="center"/>
              <w:textAlignment w:val="center"/>
              <w:rPr>
                <w:rFonts w:hint="default" w:ascii="Times New Roman" w:hAnsi="Times New Roman" w:eastAsia="宋体" w:cs="Times New Roman"/>
                <w:color w:val="auto"/>
                <w:kern w:val="0"/>
                <w:u w:val="none"/>
              </w:rPr>
            </w:pPr>
            <w:r>
              <w:rPr>
                <w:rFonts w:hint="default" w:ascii="Times New Roman" w:hAnsi="Times New Roman" w:eastAsia="宋体" w:cs="Times New Roman"/>
                <w:color w:val="auto"/>
                <w:kern w:val="0"/>
                <w:u w:val="none"/>
              </w:rPr>
              <w:t>物料泄漏</w:t>
            </w:r>
          </w:p>
        </w:tc>
        <w:tc>
          <w:tcPr>
            <w:tcW w:w="479" w:type="pct"/>
            <w:noWrap w:val="0"/>
            <w:vAlign w:val="center"/>
          </w:tcPr>
          <w:p w14:paraId="57CCC7A7">
            <w:pPr>
              <w:widowControl/>
              <w:adjustRightInd w:val="0"/>
              <w:snapToGrid w:val="0"/>
              <w:jc w:val="center"/>
              <w:textAlignment w:val="center"/>
              <w:rPr>
                <w:rFonts w:hint="default" w:ascii="Times New Roman" w:hAnsi="Times New Roman" w:eastAsia="宋体" w:cs="Times New Roman"/>
                <w:color w:val="auto"/>
                <w:kern w:val="0"/>
                <w:u w:val="none"/>
              </w:rPr>
            </w:pPr>
            <w:r>
              <w:rPr>
                <w:rFonts w:hint="default" w:ascii="Times New Roman" w:hAnsi="Times New Roman" w:eastAsia="宋体" w:cs="Times New Roman"/>
                <w:color w:val="auto"/>
                <w:kern w:val="0"/>
                <w:u w:val="none"/>
              </w:rPr>
              <w:t>物料监测</w:t>
            </w:r>
          </w:p>
        </w:tc>
        <w:tc>
          <w:tcPr>
            <w:tcW w:w="2197" w:type="pct"/>
            <w:noWrap w:val="0"/>
            <w:vAlign w:val="center"/>
          </w:tcPr>
          <w:p w14:paraId="6F58EFC5">
            <w:pPr>
              <w:widowControl/>
              <w:adjustRightInd w:val="0"/>
              <w:snapToGrid w:val="0"/>
              <w:jc w:val="center"/>
              <w:textAlignment w:val="center"/>
              <w:rPr>
                <w:rFonts w:hint="default" w:ascii="Times New Roman" w:hAnsi="Times New Roman" w:eastAsia="宋体" w:cs="Times New Roman"/>
                <w:color w:val="auto"/>
                <w:kern w:val="0"/>
                <w:u w:val="none"/>
                <w:lang w:val="en-US" w:eastAsia="zh-CN"/>
              </w:rPr>
            </w:pPr>
            <w:r>
              <w:rPr>
                <w:rFonts w:hint="eastAsia" w:ascii="Times New Roman" w:hAnsi="Times New Roman" w:eastAsia="宋体" w:cs="Times New Roman"/>
                <w:color w:val="auto"/>
                <w:kern w:val="0"/>
                <w:u w:val="none"/>
                <w:lang w:val="en-US" w:eastAsia="zh-CN"/>
              </w:rPr>
              <w:t>物料堆存为地上式，仓库主要贮存液态、固态危险化学品，液态物料泄漏时可及时发现，固态物料包装破损时可及时发现</w:t>
            </w:r>
          </w:p>
        </w:tc>
        <w:tc>
          <w:tcPr>
            <w:tcW w:w="1629" w:type="pct"/>
            <w:tcBorders>
              <w:top w:val="nil"/>
            </w:tcBorders>
            <w:noWrap w:val="0"/>
            <w:vAlign w:val="center"/>
          </w:tcPr>
          <w:p w14:paraId="1EE24247">
            <w:pPr>
              <w:widowControl/>
              <w:adjustRightInd w:val="0"/>
              <w:snapToGrid w:val="0"/>
              <w:jc w:val="center"/>
              <w:textAlignment w:val="center"/>
              <w:rPr>
                <w:rFonts w:hint="default" w:ascii="Times New Roman" w:hAnsi="Times New Roman" w:eastAsia="宋体" w:cs="Times New Roman"/>
                <w:color w:val="auto"/>
                <w:kern w:val="0"/>
                <w:u w:val="none"/>
                <w:lang w:val="en-US" w:eastAsia="zh-CN"/>
              </w:rPr>
            </w:pPr>
            <w:r>
              <w:rPr>
                <w:rFonts w:hint="eastAsia" w:ascii="Times New Roman" w:hAnsi="Times New Roman" w:eastAsia="宋体" w:cs="Times New Roman"/>
                <w:color w:val="auto"/>
                <w:kern w:val="0"/>
                <w:u w:val="none"/>
                <w:lang w:val="en-US" w:eastAsia="zh-CN"/>
              </w:rPr>
              <w:t>液态进入仓库内的1m</w:t>
            </w:r>
            <w:r>
              <w:rPr>
                <w:rFonts w:hint="eastAsia" w:ascii="Times New Roman" w:hAnsi="Times New Roman" w:eastAsia="宋体" w:cs="Times New Roman"/>
                <w:color w:val="auto"/>
                <w:kern w:val="0"/>
                <w:u w:val="none"/>
                <w:vertAlign w:val="superscript"/>
                <w:lang w:val="en-US" w:eastAsia="zh-CN"/>
              </w:rPr>
              <w:t>3</w:t>
            </w:r>
            <w:r>
              <w:rPr>
                <w:rFonts w:hint="eastAsia" w:ascii="Times New Roman" w:hAnsi="Times New Roman" w:eastAsia="宋体" w:cs="Times New Roman"/>
                <w:color w:val="auto"/>
                <w:kern w:val="0"/>
                <w:u w:val="none"/>
                <w:lang w:val="en-US" w:eastAsia="zh-CN"/>
              </w:rPr>
              <w:t>收集池，桶装收集；固态物料更换包装袋</w:t>
            </w:r>
          </w:p>
        </w:tc>
      </w:tr>
      <w:tr w14:paraId="4F8BF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0" w:type="pct"/>
            <w:vMerge w:val="continue"/>
            <w:noWrap w:val="0"/>
            <w:vAlign w:val="center"/>
          </w:tcPr>
          <w:p w14:paraId="4F9C5943">
            <w:pPr>
              <w:widowControl/>
              <w:adjustRightInd w:val="0"/>
              <w:snapToGrid w:val="0"/>
              <w:jc w:val="center"/>
              <w:textAlignment w:val="center"/>
              <w:rPr>
                <w:rFonts w:hint="default" w:ascii="Times New Roman" w:hAnsi="Times New Roman" w:eastAsia="宋体" w:cs="Times New Roman"/>
                <w:color w:val="auto"/>
                <w:kern w:val="0"/>
                <w:u w:val="none"/>
              </w:rPr>
            </w:pPr>
          </w:p>
        </w:tc>
        <w:tc>
          <w:tcPr>
            <w:tcW w:w="333" w:type="pct"/>
            <w:vMerge w:val="continue"/>
            <w:noWrap w:val="0"/>
            <w:vAlign w:val="center"/>
          </w:tcPr>
          <w:p w14:paraId="0336F181">
            <w:pPr>
              <w:widowControl/>
              <w:adjustRightInd w:val="0"/>
              <w:snapToGrid w:val="0"/>
              <w:jc w:val="center"/>
              <w:textAlignment w:val="center"/>
              <w:rPr>
                <w:rFonts w:hint="default" w:ascii="Times New Roman" w:hAnsi="Times New Roman" w:eastAsia="宋体" w:cs="Times New Roman"/>
                <w:color w:val="auto"/>
                <w:kern w:val="0"/>
                <w:u w:val="none"/>
              </w:rPr>
            </w:pPr>
          </w:p>
        </w:tc>
        <w:tc>
          <w:tcPr>
            <w:tcW w:w="479" w:type="pct"/>
            <w:noWrap w:val="0"/>
            <w:vAlign w:val="center"/>
          </w:tcPr>
          <w:p w14:paraId="70813542">
            <w:pPr>
              <w:widowControl/>
              <w:adjustRightInd w:val="0"/>
              <w:snapToGrid w:val="0"/>
              <w:jc w:val="center"/>
              <w:textAlignment w:val="center"/>
              <w:rPr>
                <w:rFonts w:hint="default" w:ascii="Times New Roman" w:hAnsi="Times New Roman" w:eastAsia="宋体" w:cs="Times New Roman"/>
                <w:color w:val="auto"/>
                <w:kern w:val="0"/>
                <w:u w:val="none"/>
              </w:rPr>
            </w:pPr>
            <w:r>
              <w:rPr>
                <w:rFonts w:hint="default" w:ascii="Times New Roman" w:hAnsi="Times New Roman" w:eastAsia="宋体" w:cs="Times New Roman"/>
                <w:color w:val="auto"/>
                <w:kern w:val="0"/>
                <w:u w:val="none"/>
              </w:rPr>
              <w:t>防物料扩散</w:t>
            </w:r>
          </w:p>
        </w:tc>
        <w:tc>
          <w:tcPr>
            <w:tcW w:w="2197" w:type="pct"/>
            <w:noWrap w:val="0"/>
            <w:vAlign w:val="center"/>
          </w:tcPr>
          <w:p w14:paraId="644D1908">
            <w:pPr>
              <w:widowControl/>
              <w:adjustRightInd w:val="0"/>
              <w:snapToGrid w:val="0"/>
              <w:jc w:val="center"/>
              <w:textAlignment w:val="center"/>
              <w:rPr>
                <w:rFonts w:hint="default" w:ascii="Times New Roman" w:hAnsi="Times New Roman" w:eastAsia="宋体" w:cs="Times New Roman"/>
                <w:color w:val="auto"/>
                <w:kern w:val="0"/>
                <w:u w:val="none"/>
                <w:lang w:val="en-US"/>
              </w:rPr>
            </w:pPr>
            <w:r>
              <w:rPr>
                <w:rFonts w:hint="eastAsia" w:ascii="Times New Roman" w:hAnsi="Times New Roman" w:eastAsia="宋体" w:cs="Times New Roman"/>
                <w:color w:val="auto"/>
                <w:kern w:val="0"/>
                <w:u w:val="none"/>
                <w:lang w:val="en-US" w:eastAsia="zh-CN"/>
              </w:rPr>
              <w:t>设有导流沟和事故应急池，可将泄漏物（液态）收集至事故应急池，仓库地面和导流沟均采取防腐防渗漏措施；固态物料泄漏，收集泄漏物，更换包装袋</w:t>
            </w:r>
          </w:p>
        </w:tc>
        <w:tc>
          <w:tcPr>
            <w:tcW w:w="1629" w:type="pct"/>
            <w:tcBorders>
              <w:top w:val="nil"/>
            </w:tcBorders>
            <w:noWrap w:val="0"/>
            <w:vAlign w:val="center"/>
          </w:tcPr>
          <w:p w14:paraId="553FEEE2">
            <w:pPr>
              <w:widowControl/>
              <w:adjustRightInd w:val="0"/>
              <w:snapToGrid w:val="0"/>
              <w:jc w:val="center"/>
              <w:textAlignment w:val="center"/>
              <w:rPr>
                <w:rFonts w:hint="default" w:ascii="Times New Roman" w:hAnsi="Times New Roman" w:eastAsia="宋体" w:cs="Times New Roman"/>
                <w:color w:val="auto"/>
                <w:kern w:val="0"/>
                <w:u w:val="none"/>
              </w:rPr>
            </w:pPr>
            <w:r>
              <w:rPr>
                <w:rFonts w:hint="eastAsia" w:ascii="Times New Roman" w:hAnsi="Times New Roman" w:eastAsia="宋体" w:cs="Times New Roman"/>
                <w:color w:val="auto"/>
                <w:kern w:val="0"/>
                <w:u w:val="none"/>
                <w:lang w:val="en-US" w:eastAsia="zh-CN"/>
              </w:rPr>
              <w:t>收集后返回厂家，或委托有能力处置的单位处置</w:t>
            </w:r>
          </w:p>
        </w:tc>
      </w:tr>
      <w:tr w14:paraId="65E80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0" w:type="pct"/>
            <w:noWrap w:val="0"/>
            <w:vAlign w:val="center"/>
          </w:tcPr>
          <w:p w14:paraId="53D0DB5C">
            <w:pPr>
              <w:widowControl/>
              <w:adjustRightInd w:val="0"/>
              <w:snapToGrid w:val="0"/>
              <w:jc w:val="center"/>
              <w:textAlignment w:val="center"/>
              <w:rPr>
                <w:rFonts w:hint="default" w:ascii="Times New Roman" w:hAnsi="Times New Roman" w:eastAsia="宋体" w:cs="Times New Roman"/>
                <w:color w:val="auto"/>
                <w:kern w:val="0"/>
                <w:u w:val="none"/>
              </w:rPr>
            </w:pPr>
            <w:r>
              <w:rPr>
                <w:rFonts w:hint="default" w:ascii="Times New Roman" w:hAnsi="Times New Roman" w:eastAsia="宋体" w:cs="Times New Roman"/>
                <w:color w:val="auto"/>
                <w:kern w:val="0"/>
                <w:u w:val="none"/>
              </w:rPr>
              <w:t>公辅工程</w:t>
            </w:r>
          </w:p>
        </w:tc>
        <w:tc>
          <w:tcPr>
            <w:tcW w:w="333" w:type="pct"/>
            <w:tcBorders>
              <w:top w:val="nil"/>
            </w:tcBorders>
            <w:noWrap w:val="0"/>
            <w:vAlign w:val="center"/>
          </w:tcPr>
          <w:p w14:paraId="0CECDD53">
            <w:pPr>
              <w:widowControl/>
              <w:adjustRightInd w:val="0"/>
              <w:snapToGrid w:val="0"/>
              <w:jc w:val="center"/>
              <w:textAlignment w:val="center"/>
              <w:rPr>
                <w:rFonts w:hint="default" w:ascii="Times New Roman" w:hAnsi="Times New Roman" w:eastAsia="宋体" w:cs="Times New Roman"/>
                <w:color w:val="auto"/>
                <w:kern w:val="0"/>
                <w:u w:val="none"/>
              </w:rPr>
            </w:pPr>
            <w:r>
              <w:rPr>
                <w:rFonts w:hint="default" w:ascii="Times New Roman" w:hAnsi="Times New Roman" w:eastAsia="宋体" w:cs="Times New Roman"/>
                <w:color w:val="auto"/>
                <w:kern w:val="0"/>
                <w:u w:val="none"/>
              </w:rPr>
              <w:t>泄漏</w:t>
            </w:r>
          </w:p>
        </w:tc>
        <w:tc>
          <w:tcPr>
            <w:tcW w:w="479" w:type="pct"/>
            <w:noWrap w:val="0"/>
            <w:vAlign w:val="center"/>
          </w:tcPr>
          <w:p w14:paraId="2187EE44">
            <w:pPr>
              <w:widowControl/>
              <w:adjustRightInd w:val="0"/>
              <w:snapToGrid w:val="0"/>
              <w:jc w:val="center"/>
              <w:textAlignment w:val="center"/>
              <w:rPr>
                <w:rFonts w:hint="default" w:ascii="Times New Roman" w:hAnsi="Times New Roman" w:eastAsia="宋体" w:cs="Times New Roman"/>
                <w:color w:val="auto"/>
                <w:kern w:val="0"/>
                <w:u w:val="none"/>
              </w:rPr>
            </w:pPr>
            <w:r>
              <w:rPr>
                <w:rFonts w:hint="default" w:ascii="Times New Roman" w:hAnsi="Times New Roman" w:eastAsia="宋体" w:cs="Times New Roman"/>
                <w:color w:val="auto"/>
                <w:kern w:val="0"/>
                <w:u w:val="none"/>
              </w:rPr>
              <w:t>排水系统</w:t>
            </w:r>
          </w:p>
        </w:tc>
        <w:tc>
          <w:tcPr>
            <w:tcW w:w="2197" w:type="pct"/>
            <w:noWrap w:val="0"/>
            <w:vAlign w:val="center"/>
          </w:tcPr>
          <w:p w14:paraId="2F120B60">
            <w:pPr>
              <w:widowControl/>
              <w:adjustRightInd w:val="0"/>
              <w:snapToGrid w:val="0"/>
              <w:jc w:val="center"/>
              <w:textAlignment w:val="center"/>
              <w:rPr>
                <w:rFonts w:hint="default" w:ascii="Times New Roman" w:hAnsi="Times New Roman" w:eastAsia="宋体" w:cs="Times New Roman"/>
                <w:color w:val="auto"/>
                <w:kern w:val="0"/>
                <w:u w:val="none"/>
                <w:lang w:val="en-US" w:eastAsia="zh-CN"/>
              </w:rPr>
            </w:pPr>
            <w:r>
              <w:rPr>
                <w:rFonts w:hint="eastAsia" w:ascii="Times New Roman" w:hAnsi="Times New Roman" w:eastAsia="宋体" w:cs="Times New Roman"/>
                <w:color w:val="auto"/>
                <w:kern w:val="0"/>
                <w:u w:val="none"/>
                <w:lang w:val="en-US" w:eastAsia="zh-CN"/>
              </w:rPr>
              <w:t>2号、4号、5号仓库设有独立导流沟，</w:t>
            </w:r>
            <w:r>
              <w:rPr>
                <w:rFonts w:hint="default" w:ascii="Times New Roman" w:hAnsi="Times New Roman" w:eastAsia="宋体" w:cs="Times New Roman"/>
                <w:color w:val="auto"/>
                <w:kern w:val="0"/>
                <w:u w:val="none"/>
              </w:rPr>
              <w:t>收集污染雨水、冲洗水、消防污水；设置</w:t>
            </w:r>
            <w:r>
              <w:rPr>
                <w:rFonts w:hint="eastAsia" w:ascii="Times New Roman" w:hAnsi="Times New Roman" w:eastAsia="宋体" w:cs="Times New Roman"/>
                <w:color w:val="auto"/>
                <w:kern w:val="0"/>
                <w:u w:val="none"/>
                <w:lang w:val="en-US" w:eastAsia="zh-CN"/>
              </w:rPr>
              <w:t>转换初期雨水和事故废水阀门</w:t>
            </w:r>
            <w:r>
              <w:rPr>
                <w:rFonts w:hint="eastAsia" w:ascii="Times New Roman" w:hAnsi="Times New Roman" w:eastAsia="宋体" w:cs="Times New Roman"/>
                <w:color w:val="auto"/>
                <w:kern w:val="0"/>
                <w:u w:val="none"/>
                <w:lang w:eastAsia="zh-CN"/>
              </w:rPr>
              <w:t>。</w:t>
            </w:r>
          </w:p>
        </w:tc>
        <w:tc>
          <w:tcPr>
            <w:tcW w:w="1629" w:type="pct"/>
            <w:tcBorders>
              <w:top w:val="nil"/>
            </w:tcBorders>
            <w:noWrap w:val="0"/>
            <w:vAlign w:val="center"/>
          </w:tcPr>
          <w:p w14:paraId="0AE4976B">
            <w:pPr>
              <w:widowControl/>
              <w:adjustRightInd w:val="0"/>
              <w:snapToGrid w:val="0"/>
              <w:jc w:val="center"/>
              <w:textAlignment w:val="center"/>
              <w:rPr>
                <w:rFonts w:hint="default" w:ascii="Times New Roman" w:hAnsi="Times New Roman" w:eastAsia="宋体" w:cs="Times New Roman"/>
                <w:color w:val="auto"/>
                <w:kern w:val="0"/>
                <w:u w:val="none"/>
                <w:lang w:val="en-US" w:eastAsia="zh-CN"/>
              </w:rPr>
            </w:pPr>
            <w:r>
              <w:rPr>
                <w:rFonts w:hint="default" w:ascii="Times New Roman" w:hAnsi="Times New Roman" w:eastAsia="宋体" w:cs="Times New Roman"/>
                <w:color w:val="auto"/>
                <w:kern w:val="0"/>
                <w:u w:val="none"/>
                <w:lang w:val="en-US" w:eastAsia="zh-CN"/>
              </w:rPr>
              <w:t>发生事故时，关闭</w:t>
            </w:r>
            <w:r>
              <w:rPr>
                <w:rFonts w:hint="eastAsia" w:ascii="Times New Roman" w:hAnsi="Times New Roman" w:eastAsia="宋体" w:cs="Times New Roman"/>
                <w:color w:val="auto"/>
                <w:kern w:val="0"/>
                <w:u w:val="none"/>
                <w:lang w:val="en-US" w:eastAsia="zh-CN"/>
              </w:rPr>
              <w:t>污染区</w:t>
            </w:r>
            <w:r>
              <w:rPr>
                <w:rFonts w:hint="default" w:ascii="Times New Roman" w:hAnsi="Times New Roman" w:eastAsia="宋体" w:cs="Times New Roman"/>
                <w:color w:val="auto"/>
                <w:kern w:val="0"/>
                <w:u w:val="none"/>
                <w:lang w:val="en-US" w:eastAsia="zh-CN"/>
              </w:rPr>
              <w:t>雨水</w:t>
            </w:r>
            <w:r>
              <w:rPr>
                <w:rFonts w:hint="eastAsia" w:ascii="Times New Roman" w:hAnsi="Times New Roman" w:eastAsia="宋体" w:cs="Times New Roman"/>
                <w:color w:val="auto"/>
                <w:kern w:val="0"/>
                <w:u w:val="none"/>
                <w:lang w:val="en-US" w:eastAsia="zh-CN"/>
              </w:rPr>
              <w:t>收集池</w:t>
            </w:r>
            <w:r>
              <w:rPr>
                <w:rFonts w:hint="default" w:ascii="Times New Roman" w:hAnsi="Times New Roman" w:eastAsia="宋体" w:cs="Times New Roman"/>
                <w:color w:val="auto"/>
                <w:kern w:val="0"/>
                <w:u w:val="none"/>
                <w:lang w:val="en-US" w:eastAsia="zh-CN"/>
              </w:rPr>
              <w:t>阀门；打开</w:t>
            </w:r>
            <w:r>
              <w:rPr>
                <w:rFonts w:hint="eastAsia" w:ascii="Times New Roman" w:hAnsi="Times New Roman" w:eastAsia="宋体" w:cs="Times New Roman"/>
                <w:color w:val="auto"/>
                <w:kern w:val="0"/>
                <w:u w:val="none"/>
                <w:lang w:val="en-US" w:eastAsia="zh-CN"/>
              </w:rPr>
              <w:t>事故应急池</w:t>
            </w:r>
            <w:r>
              <w:rPr>
                <w:rFonts w:hint="default" w:ascii="Times New Roman" w:hAnsi="Times New Roman" w:eastAsia="宋体" w:cs="Times New Roman"/>
                <w:color w:val="auto"/>
                <w:kern w:val="0"/>
                <w:u w:val="none"/>
                <w:lang w:val="en-US" w:eastAsia="zh-CN"/>
              </w:rPr>
              <w:t>阀门，事故污水进入事故池；进入事故池的事故污水</w:t>
            </w:r>
            <w:r>
              <w:rPr>
                <w:rFonts w:hint="eastAsia" w:cs="Times New Roman"/>
                <w:color w:val="auto"/>
                <w:kern w:val="0"/>
                <w:u w:val="none"/>
                <w:lang w:val="en-US" w:eastAsia="zh-CN"/>
              </w:rPr>
              <w:t>经检测</w:t>
            </w:r>
            <w:r>
              <w:rPr>
                <w:rFonts w:hint="eastAsia" w:ascii="Times New Roman" w:hAnsi="Times New Roman" w:eastAsia="宋体" w:cs="Times New Roman"/>
                <w:color w:val="auto"/>
                <w:kern w:val="0"/>
                <w:u w:val="none"/>
                <w:lang w:val="en-US" w:eastAsia="zh-CN"/>
              </w:rPr>
              <w:t>满足</w:t>
            </w:r>
            <w:r>
              <w:rPr>
                <w:rFonts w:hint="eastAsia" w:cs="Times New Roman"/>
                <w:color w:val="auto"/>
                <w:kern w:val="0"/>
                <w:u w:val="none"/>
                <w:lang w:val="en-US" w:eastAsia="zh-CN"/>
              </w:rPr>
              <w:t>钦州港工业污水集中处理厂</w:t>
            </w:r>
            <w:r>
              <w:rPr>
                <w:rFonts w:hint="eastAsia" w:ascii="Times New Roman" w:hAnsi="Times New Roman" w:eastAsia="宋体" w:cs="Times New Roman"/>
                <w:color w:val="auto"/>
                <w:kern w:val="0"/>
                <w:u w:val="none"/>
                <w:lang w:val="en-US" w:eastAsia="zh-CN"/>
              </w:rPr>
              <w:t>进水水质的，可抽运至</w:t>
            </w:r>
            <w:r>
              <w:rPr>
                <w:rFonts w:hint="eastAsia" w:cs="Times New Roman"/>
                <w:color w:val="auto"/>
                <w:kern w:val="0"/>
                <w:u w:val="none"/>
                <w:lang w:val="en-US" w:eastAsia="zh-CN"/>
              </w:rPr>
              <w:t>钦州港工业污水集中处理厂</w:t>
            </w:r>
            <w:r>
              <w:rPr>
                <w:rFonts w:hint="eastAsia" w:ascii="Times New Roman" w:hAnsi="Times New Roman" w:eastAsia="宋体" w:cs="Times New Roman"/>
                <w:color w:val="auto"/>
                <w:kern w:val="0"/>
                <w:u w:val="none"/>
                <w:lang w:val="en-US" w:eastAsia="zh-CN"/>
              </w:rPr>
              <w:t>处理，经监测不满足</w:t>
            </w:r>
            <w:r>
              <w:rPr>
                <w:rFonts w:hint="eastAsia" w:cs="Times New Roman"/>
                <w:color w:val="auto"/>
                <w:kern w:val="0"/>
                <w:u w:val="none"/>
                <w:lang w:val="en-US" w:eastAsia="zh-CN"/>
              </w:rPr>
              <w:t>钦州港工业污水集中处理厂</w:t>
            </w:r>
            <w:r>
              <w:rPr>
                <w:rFonts w:hint="eastAsia" w:ascii="Times New Roman" w:hAnsi="Times New Roman" w:eastAsia="宋体" w:cs="Times New Roman"/>
                <w:color w:val="auto"/>
                <w:kern w:val="0"/>
                <w:u w:val="none"/>
                <w:lang w:val="en-US" w:eastAsia="zh-CN"/>
              </w:rPr>
              <w:t>进水水质，委托有能力处置的单位处置</w:t>
            </w:r>
            <w:r>
              <w:rPr>
                <w:rFonts w:hint="default" w:ascii="Times New Roman" w:hAnsi="Times New Roman" w:eastAsia="宋体" w:cs="Times New Roman"/>
                <w:color w:val="auto"/>
                <w:kern w:val="0"/>
                <w:u w:val="none"/>
                <w:lang w:val="en-US" w:eastAsia="zh-CN"/>
              </w:rPr>
              <w:t>。</w:t>
            </w:r>
          </w:p>
        </w:tc>
      </w:tr>
    </w:tbl>
    <w:p w14:paraId="3845E3F1">
      <w:pPr>
        <w:pStyle w:val="6"/>
        <w:spacing w:line="500" w:lineRule="exact"/>
        <w:ind w:firstLine="390" w:firstLineChars="200"/>
        <w:rPr>
          <w:rFonts w:hint="default" w:ascii="Times New Roman" w:hAnsi="Times New Roman" w:cs="Times New Roman"/>
        </w:rPr>
        <w:sectPr>
          <w:footerReference r:id="rId10" w:type="default"/>
          <w:pgSz w:w="11907" w:h="16840"/>
          <w:pgMar w:top="1678" w:right="1408" w:bottom="1901" w:left="1155" w:header="1174" w:footer="1029" w:gutter="567"/>
          <w:pgBorders>
            <w:top w:val="none" w:sz="0" w:space="0"/>
            <w:left w:val="none" w:sz="0" w:space="0"/>
            <w:bottom w:val="none" w:sz="0" w:space="0"/>
            <w:right w:val="none" w:sz="0" w:space="0"/>
          </w:pgBorders>
          <w:pgNumType w:fmt="decimal"/>
          <w:cols w:space="720" w:num="1"/>
          <w:docGrid w:type="linesAndChars" w:linePitch="428" w:charSpace="-3161"/>
        </w:sectPr>
      </w:pPr>
    </w:p>
    <w:p w14:paraId="257D8D96">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48275" cy="3162300"/>
            <wp:effectExtent l="0" t="0" r="9525" b="0"/>
            <wp:docPr id="92" name="图片 92" descr="0M776QH33J%2DHTIKA{W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M776QH33J%2DHTIKA{WBDO"/>
                    <pic:cNvPicPr>
                      <a:picLocks noChangeAspect="1"/>
                    </pic:cNvPicPr>
                  </pic:nvPicPr>
                  <pic:blipFill>
                    <a:blip r:embed="rId38"/>
                    <a:stretch>
                      <a:fillRect/>
                    </a:stretch>
                  </pic:blipFill>
                  <pic:spPr>
                    <a:xfrm>
                      <a:off x="0" y="0"/>
                      <a:ext cx="5248275" cy="3162300"/>
                    </a:xfrm>
                    <a:prstGeom prst="rect">
                      <a:avLst/>
                    </a:prstGeom>
                  </pic:spPr>
                </pic:pic>
              </a:graphicData>
            </a:graphic>
          </wp:inline>
        </w:drawing>
      </w:r>
    </w:p>
    <w:p w14:paraId="14ADA8E8">
      <w:pPr>
        <w:autoSpaceDE w:val="0"/>
        <w:autoSpaceDN w:val="0"/>
        <w:spacing w:before="11"/>
        <w:jc w:val="center"/>
        <w:rPr>
          <w:rFonts w:hint="default" w:ascii="Times New Roman" w:hAnsi="Times New Roman" w:eastAsia="宋体" w:cs="Times New Roman"/>
          <w:b/>
          <w:bCs/>
          <w:color w:val="000000"/>
          <w:spacing w:val="10"/>
          <w:sz w:val="24"/>
          <w:szCs w:val="24"/>
          <w:lang w:bidi="ar"/>
        </w:rPr>
      </w:pPr>
      <w:r>
        <w:rPr>
          <w:rFonts w:hint="default" w:ascii="Times New Roman" w:hAnsi="Times New Roman" w:eastAsia="宋体" w:cs="Times New Roman"/>
          <w:b/>
          <w:bCs/>
          <w:color w:val="000000"/>
          <w:spacing w:val="10"/>
          <w:sz w:val="24"/>
          <w:szCs w:val="24"/>
          <w:lang w:bidi="ar"/>
        </w:rPr>
        <w:t>图</w:t>
      </w:r>
      <w:r>
        <w:rPr>
          <w:rFonts w:hint="eastAsia" w:ascii="Times New Roman" w:hAnsi="Times New Roman" w:eastAsia="宋体" w:cs="Times New Roman"/>
          <w:b/>
          <w:bCs/>
          <w:color w:val="000000"/>
          <w:spacing w:val="10"/>
          <w:sz w:val="24"/>
          <w:szCs w:val="24"/>
          <w:lang w:val="en-US" w:eastAsia="zh-CN" w:bidi="ar"/>
        </w:rPr>
        <w:t>8</w:t>
      </w:r>
      <w:r>
        <w:rPr>
          <w:rFonts w:hint="default" w:ascii="Times New Roman" w:hAnsi="Times New Roman" w:eastAsia="宋体" w:cs="Times New Roman"/>
          <w:b/>
          <w:bCs/>
          <w:color w:val="000000"/>
          <w:spacing w:val="10"/>
          <w:sz w:val="24"/>
          <w:szCs w:val="24"/>
          <w:lang w:bidi="ar"/>
        </w:rPr>
        <w:t xml:space="preserve">  厂区外部应急救援和疏散图</w:t>
      </w:r>
    </w:p>
    <w:p w14:paraId="5539A516">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2、应急监测系统设置</w:t>
      </w:r>
    </w:p>
    <w:p w14:paraId="6A8547D1">
      <w:pPr>
        <w:autoSpaceDE w:val="0"/>
        <w:autoSpaceDN w:val="0"/>
        <w:adjustRightInd w:val="0"/>
        <w:spacing w:line="500" w:lineRule="exact"/>
        <w:ind w:firstLine="520" w:firstLineChars="200"/>
        <w:rPr>
          <w:rFonts w:hint="default" w:ascii="Times New Roman" w:hAnsi="Times New Roman" w:eastAsia="宋体" w:cs="Times New Roman"/>
          <w:color w:val="auto"/>
          <w:spacing w:val="10"/>
          <w:sz w:val="24"/>
          <w:szCs w:val="32"/>
          <w:u w:val="none"/>
          <w:lang w:val="en-US" w:eastAsia="zh-CN"/>
        </w:rPr>
      </w:pPr>
      <w:r>
        <w:rPr>
          <w:rFonts w:hint="default" w:ascii="Times New Roman" w:hAnsi="Times New Roman" w:eastAsia="宋体" w:cs="Times New Roman"/>
          <w:color w:val="auto"/>
          <w:spacing w:val="10"/>
          <w:sz w:val="24"/>
          <w:szCs w:val="32"/>
          <w:u w:val="none"/>
          <w:lang w:val="en-US" w:eastAsia="zh-CN"/>
        </w:rPr>
        <w:t>本项目主要经营的</w:t>
      </w:r>
      <w:r>
        <w:rPr>
          <w:rFonts w:hint="eastAsia" w:ascii="Times New Roman" w:hAnsi="Times New Roman" w:eastAsia="宋体" w:cs="Times New Roman"/>
          <w:color w:val="auto"/>
          <w:spacing w:val="10"/>
          <w:sz w:val="24"/>
          <w:szCs w:val="32"/>
          <w:u w:val="none"/>
          <w:lang w:val="en-US" w:eastAsia="zh-CN"/>
        </w:rPr>
        <w:t>危险化学品</w:t>
      </w:r>
      <w:r>
        <w:rPr>
          <w:rFonts w:hint="default" w:ascii="Times New Roman" w:hAnsi="Times New Roman" w:eastAsia="宋体" w:cs="Times New Roman"/>
          <w:color w:val="auto"/>
          <w:spacing w:val="10"/>
          <w:sz w:val="24"/>
          <w:szCs w:val="32"/>
          <w:u w:val="none"/>
          <w:lang w:val="en-US" w:eastAsia="zh-CN"/>
        </w:rPr>
        <w:t>不涉及易燃气体及有毒气体，故不需要设置可燃/有毒气体探测器。</w:t>
      </w:r>
    </w:p>
    <w:p w14:paraId="07656626">
      <w:pPr>
        <w:autoSpaceDE w:val="0"/>
        <w:autoSpaceDN w:val="0"/>
        <w:adjustRightInd w:val="0"/>
        <w:spacing w:line="500" w:lineRule="exact"/>
        <w:ind w:firstLine="520" w:firstLineChars="200"/>
        <w:rPr>
          <w:rFonts w:hint="default" w:ascii="Times New Roman" w:hAnsi="Times New Roman" w:eastAsia="宋体" w:cs="Times New Roman"/>
          <w:color w:val="auto"/>
          <w:spacing w:val="10"/>
          <w:sz w:val="24"/>
          <w:szCs w:val="32"/>
          <w:u w:val="none"/>
          <w:lang w:val="en-US" w:eastAsia="zh-CN"/>
        </w:rPr>
      </w:pPr>
      <w:r>
        <w:rPr>
          <w:rFonts w:hint="eastAsia" w:ascii="Times New Roman" w:hAnsi="Times New Roman" w:eastAsia="宋体" w:cs="Times New Roman"/>
          <w:color w:val="auto"/>
          <w:spacing w:val="10"/>
          <w:sz w:val="24"/>
          <w:szCs w:val="32"/>
          <w:u w:val="none"/>
          <w:lang w:val="en-US" w:eastAsia="zh-CN"/>
        </w:rPr>
        <w:t>事故情况下污染物泄漏进入地下水，可委托有相关资质单位对地下水监控井进行地下水水质监测。</w:t>
      </w:r>
    </w:p>
    <w:p w14:paraId="7ABBB9EB">
      <w:pPr>
        <w:autoSpaceDE w:val="0"/>
        <w:autoSpaceDN w:val="0"/>
        <w:spacing w:line="500" w:lineRule="exact"/>
        <w:ind w:left="116" w:right="395" w:firstLine="480"/>
        <w:rPr>
          <w:rFonts w:hint="default" w:ascii="Times New Roman" w:hAnsi="Times New Roman" w:eastAsia="宋体" w:cs="Times New Roman"/>
          <w:color w:val="auto"/>
          <w:spacing w:val="-6"/>
          <w:sz w:val="24"/>
          <w:szCs w:val="24"/>
          <w:u w:val="none"/>
        </w:rPr>
      </w:pPr>
      <w:r>
        <w:rPr>
          <w:rFonts w:hint="default" w:ascii="Times New Roman" w:hAnsi="Times New Roman" w:eastAsia="宋体" w:cs="Times New Roman"/>
          <w:color w:val="auto"/>
          <w:spacing w:val="-6"/>
          <w:sz w:val="24"/>
          <w:szCs w:val="24"/>
          <w:u w:val="none"/>
        </w:rPr>
        <w:t>应急监测项目主要</w:t>
      </w:r>
      <w:r>
        <w:rPr>
          <w:rFonts w:hint="eastAsia" w:ascii="Times New Roman" w:hAnsi="Times New Roman" w:eastAsia="宋体" w:cs="Times New Roman"/>
          <w:color w:val="auto"/>
          <w:spacing w:val="-6"/>
          <w:sz w:val="24"/>
          <w:szCs w:val="24"/>
          <w:u w:val="none"/>
          <w:lang w:val="en-US" w:eastAsia="zh-CN"/>
        </w:rPr>
        <w:t>为</w:t>
      </w:r>
      <w:r>
        <w:rPr>
          <w:rFonts w:hint="default" w:ascii="Times New Roman" w:hAnsi="Times New Roman" w:eastAsia="宋体" w:cs="Times New Roman"/>
          <w:color w:val="auto"/>
          <w:spacing w:val="-6"/>
          <w:sz w:val="24"/>
          <w:szCs w:val="24"/>
          <w:u w:val="none"/>
        </w:rPr>
        <w:t>水污染监测：分析pH</w:t>
      </w:r>
      <w:r>
        <w:rPr>
          <w:rFonts w:hint="default" w:ascii="Times New Roman" w:hAnsi="Times New Roman" w:eastAsia="宋体" w:cs="Times New Roman"/>
          <w:color w:val="auto"/>
          <w:spacing w:val="-6"/>
          <w:sz w:val="24"/>
          <w:szCs w:val="24"/>
          <w:u w:val="none"/>
          <w:lang w:val="en-US" w:eastAsia="zh-CN"/>
        </w:rPr>
        <w:t>值</w:t>
      </w:r>
      <w:r>
        <w:rPr>
          <w:rFonts w:hint="default" w:ascii="Times New Roman" w:hAnsi="Times New Roman" w:eastAsia="宋体" w:cs="Times New Roman"/>
          <w:color w:val="auto"/>
          <w:spacing w:val="-6"/>
          <w:sz w:val="24"/>
          <w:szCs w:val="24"/>
          <w:u w:val="none"/>
        </w:rPr>
        <w:t>、</w:t>
      </w:r>
      <w:r>
        <w:rPr>
          <w:rFonts w:hint="default" w:ascii="Times New Roman" w:hAnsi="Times New Roman" w:eastAsia="宋体" w:cs="Times New Roman"/>
          <w:color w:val="auto"/>
          <w:spacing w:val="-6"/>
          <w:sz w:val="24"/>
          <w:szCs w:val="24"/>
          <w:u w:val="none"/>
          <w:lang w:val="en-US" w:eastAsia="zh-CN"/>
        </w:rPr>
        <w:t>总磷、</w:t>
      </w:r>
      <w:r>
        <w:rPr>
          <w:rFonts w:hint="default" w:ascii="Times New Roman" w:hAnsi="Times New Roman" w:eastAsia="宋体" w:cs="Times New Roman"/>
          <w:color w:val="auto"/>
          <w:spacing w:val="-6"/>
          <w:sz w:val="24"/>
          <w:szCs w:val="24"/>
          <w:u w:val="none"/>
        </w:rPr>
        <w:t>NH</w:t>
      </w:r>
      <w:r>
        <w:rPr>
          <w:rFonts w:hint="default" w:ascii="Times New Roman" w:hAnsi="Times New Roman" w:eastAsia="宋体" w:cs="Times New Roman"/>
          <w:color w:val="auto"/>
          <w:spacing w:val="-6"/>
          <w:sz w:val="24"/>
          <w:szCs w:val="24"/>
          <w:u w:val="none"/>
          <w:vertAlign w:val="subscript"/>
        </w:rPr>
        <w:t>3</w:t>
      </w:r>
      <w:r>
        <w:rPr>
          <w:rFonts w:hint="default" w:ascii="Times New Roman" w:hAnsi="Times New Roman" w:eastAsia="宋体" w:cs="Times New Roman"/>
          <w:color w:val="auto"/>
          <w:spacing w:val="-6"/>
          <w:sz w:val="24"/>
          <w:szCs w:val="24"/>
          <w:u w:val="none"/>
        </w:rPr>
        <w:t>-N、COD等项目，并随时做好有关监测的各项准备工作。</w:t>
      </w:r>
    </w:p>
    <w:p w14:paraId="1C00A006">
      <w:pPr>
        <w:autoSpaceDE w:val="0"/>
        <w:autoSpaceDN w:val="0"/>
        <w:spacing w:line="500" w:lineRule="exact"/>
        <w:ind w:left="116" w:right="395" w:firstLine="480"/>
        <w:rPr>
          <w:rFonts w:hint="default" w:ascii="Times New Roman" w:hAnsi="Times New Roman" w:eastAsia="宋体" w:cs="Times New Roman"/>
          <w:color w:val="000000"/>
          <w:spacing w:val="-6"/>
          <w:sz w:val="24"/>
          <w:szCs w:val="24"/>
        </w:rPr>
      </w:pPr>
      <w:r>
        <w:rPr>
          <w:rFonts w:hint="default" w:ascii="Times New Roman" w:hAnsi="Times New Roman" w:eastAsia="宋体" w:cs="Times New Roman"/>
          <w:color w:val="000000"/>
          <w:spacing w:val="-6"/>
          <w:sz w:val="24"/>
          <w:szCs w:val="24"/>
        </w:rPr>
        <w:t>3、应急物资配置要求</w:t>
      </w:r>
    </w:p>
    <w:p w14:paraId="1A155F01">
      <w:pPr>
        <w:autoSpaceDE w:val="0"/>
        <w:autoSpaceDN w:val="0"/>
        <w:spacing w:line="500" w:lineRule="exact"/>
        <w:ind w:left="116" w:right="395" w:firstLine="480"/>
        <w:rPr>
          <w:rFonts w:hint="default" w:ascii="Times New Roman" w:hAnsi="Times New Roman" w:eastAsia="宋体" w:cs="Times New Roman"/>
          <w:color w:val="000000"/>
          <w:spacing w:val="-6"/>
          <w:sz w:val="24"/>
          <w:szCs w:val="24"/>
          <w:lang w:val="en-US" w:eastAsia="zh-CN"/>
        </w:rPr>
      </w:pPr>
      <w:r>
        <w:rPr>
          <w:rFonts w:hint="eastAsia" w:ascii="Times New Roman" w:hAnsi="Times New Roman" w:eastAsia="宋体" w:cs="Times New Roman"/>
          <w:color w:val="000000"/>
          <w:spacing w:val="-6"/>
          <w:sz w:val="24"/>
          <w:szCs w:val="24"/>
          <w:lang w:val="en-US" w:eastAsia="zh-CN"/>
        </w:rPr>
        <w:t>现有工程贮存一般货物，未设置消防器材。</w:t>
      </w:r>
      <w:r>
        <w:rPr>
          <w:rFonts w:hint="default" w:ascii="Times New Roman" w:hAnsi="Times New Roman" w:eastAsia="宋体" w:cs="Times New Roman"/>
          <w:color w:val="000000"/>
          <w:spacing w:val="-6"/>
          <w:sz w:val="24"/>
          <w:szCs w:val="24"/>
        </w:rPr>
        <w:t>本项目</w:t>
      </w:r>
      <w:r>
        <w:rPr>
          <w:rFonts w:hint="default" w:ascii="Times New Roman" w:hAnsi="Times New Roman" w:eastAsia="宋体" w:cs="Times New Roman"/>
          <w:color w:val="000000"/>
          <w:spacing w:val="-6"/>
          <w:sz w:val="24"/>
          <w:szCs w:val="24"/>
          <w:lang w:val="en-US" w:eastAsia="zh-CN"/>
        </w:rPr>
        <w:t>储存物质</w:t>
      </w:r>
      <w:r>
        <w:rPr>
          <w:rFonts w:hint="default" w:ascii="Times New Roman" w:hAnsi="Times New Roman" w:eastAsia="宋体" w:cs="Times New Roman"/>
          <w:color w:val="000000"/>
          <w:spacing w:val="-6"/>
          <w:sz w:val="24"/>
          <w:szCs w:val="24"/>
        </w:rPr>
        <w:t>涉及危险化学品，本评价根据《危险化学品单位应急救援物资配备要求》（GB30077-2013）提出项目的应急物资配置要求，供建设单位参考。建设单位应根据本企业的具体情况，针对每一种发生的各种事故状况，完善相应的应急物资</w:t>
      </w:r>
      <w:r>
        <w:rPr>
          <w:rFonts w:hint="default" w:ascii="Times New Roman" w:hAnsi="Times New Roman" w:eastAsia="宋体" w:cs="Times New Roman"/>
          <w:color w:val="000000"/>
          <w:spacing w:val="-6"/>
          <w:sz w:val="24"/>
          <w:szCs w:val="24"/>
          <w:lang w:val="en-US" w:eastAsia="zh-CN"/>
        </w:rPr>
        <w:t>。</w:t>
      </w:r>
    </w:p>
    <w:p w14:paraId="6B37BE47">
      <w:pPr>
        <w:pStyle w:val="4"/>
        <w:numPr>
          <w:ilvl w:val="3"/>
          <w:numId w:val="10"/>
        </w:numPr>
        <w:tabs>
          <w:tab w:val="left" w:pos="1276"/>
          <w:tab w:val="left" w:pos="1358"/>
          <w:tab w:val="left" w:pos="2153"/>
          <w:tab w:val="left" w:pos="2183"/>
        </w:tabs>
        <w:spacing w:before="15"/>
        <w:ind w:left="1358"/>
        <w:rPr>
          <w:rFonts w:hint="default" w:ascii="Times New Roman" w:hAnsi="Times New Roman" w:eastAsia="宋体" w:cs="Times New Roman"/>
          <w:color w:val="auto"/>
        </w:rPr>
      </w:pPr>
      <w:bookmarkStart w:id="94" w:name="_Toc19437"/>
      <w:r>
        <w:rPr>
          <w:rFonts w:hint="default" w:ascii="Times New Roman" w:hAnsi="Times New Roman" w:eastAsia="宋体" w:cs="Times New Roman"/>
          <w:color w:val="auto"/>
        </w:rPr>
        <w:t>作业场所</w:t>
      </w:r>
      <w:r>
        <w:rPr>
          <w:rFonts w:hint="eastAsia" w:ascii="Times New Roman" w:hAnsi="Times New Roman" w:eastAsia="宋体" w:cs="Times New Roman"/>
          <w:color w:val="auto"/>
          <w:lang w:val="en-US" w:eastAsia="zh-CN"/>
        </w:rPr>
        <w:t>消防器材</w:t>
      </w:r>
      <w:r>
        <w:rPr>
          <w:rFonts w:hint="default" w:ascii="Times New Roman" w:hAnsi="Times New Roman" w:eastAsia="宋体" w:cs="Times New Roman"/>
          <w:color w:val="auto"/>
        </w:rPr>
        <w:t>配备要求</w:t>
      </w:r>
      <w:bookmarkEnd w:id="94"/>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0"/>
        <w:gridCol w:w="2441"/>
        <w:gridCol w:w="1785"/>
        <w:gridCol w:w="1302"/>
        <w:gridCol w:w="2391"/>
      </w:tblGrid>
      <w:tr w14:paraId="5F499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0" w:type="dxa"/>
            <w:noWrap w:val="0"/>
            <w:vAlign w:val="center"/>
          </w:tcPr>
          <w:p w14:paraId="044D0206">
            <w:pPr>
              <w:autoSpaceDE w:val="0"/>
              <w:autoSpaceDN w:val="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序号</w:t>
            </w:r>
          </w:p>
        </w:tc>
        <w:tc>
          <w:tcPr>
            <w:tcW w:w="2441" w:type="dxa"/>
            <w:noWrap w:val="0"/>
            <w:vAlign w:val="center"/>
          </w:tcPr>
          <w:p w14:paraId="3A13AF6D">
            <w:pPr>
              <w:autoSpaceDE w:val="0"/>
              <w:autoSpaceDN w:val="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物资名称</w:t>
            </w:r>
          </w:p>
        </w:tc>
        <w:tc>
          <w:tcPr>
            <w:tcW w:w="1785" w:type="dxa"/>
            <w:noWrap w:val="0"/>
            <w:vAlign w:val="center"/>
          </w:tcPr>
          <w:p w14:paraId="0BE47835">
            <w:pPr>
              <w:autoSpaceDE w:val="0"/>
              <w:autoSpaceDN w:val="0"/>
              <w:jc w:val="center"/>
              <w:rPr>
                <w:rFonts w:hint="eastAsia" w:ascii="Times New Roman" w:hAnsi="Times New Roman" w:eastAsia="宋体" w:cs="Times New Roman"/>
                <w:color w:val="auto"/>
                <w:sz w:val="21"/>
                <w:szCs w:val="22"/>
                <w:u w:val="none"/>
                <w:lang w:eastAsia="zh-CN"/>
              </w:rPr>
            </w:pPr>
            <w:r>
              <w:rPr>
                <w:rFonts w:hint="eastAsia" w:ascii="Times New Roman" w:hAnsi="Times New Roman" w:eastAsia="宋体" w:cs="Times New Roman"/>
                <w:color w:val="auto"/>
                <w:sz w:val="21"/>
                <w:szCs w:val="22"/>
                <w:u w:val="none"/>
                <w:lang w:val="en-US" w:eastAsia="zh-CN"/>
              </w:rPr>
              <w:t>型号</w:t>
            </w:r>
          </w:p>
        </w:tc>
        <w:tc>
          <w:tcPr>
            <w:tcW w:w="1302" w:type="dxa"/>
            <w:noWrap w:val="0"/>
            <w:vAlign w:val="center"/>
          </w:tcPr>
          <w:p w14:paraId="1E325ECB">
            <w:pPr>
              <w:autoSpaceDE w:val="0"/>
              <w:autoSpaceDN w:val="0"/>
              <w:jc w:val="center"/>
              <w:rPr>
                <w:rFonts w:hint="eastAsia" w:ascii="Times New Roman" w:hAnsi="Times New Roman" w:eastAsia="宋体" w:cs="Times New Roman"/>
                <w:color w:val="auto"/>
                <w:sz w:val="21"/>
                <w:szCs w:val="22"/>
                <w:u w:val="none"/>
                <w:lang w:eastAsia="zh-CN"/>
              </w:rPr>
            </w:pPr>
            <w:r>
              <w:rPr>
                <w:rFonts w:hint="eastAsia" w:ascii="Times New Roman" w:hAnsi="Times New Roman" w:eastAsia="宋体" w:cs="Times New Roman"/>
                <w:color w:val="auto"/>
                <w:sz w:val="21"/>
                <w:szCs w:val="22"/>
                <w:u w:val="none"/>
                <w:lang w:val="en-US" w:eastAsia="zh-CN"/>
              </w:rPr>
              <w:t>数量</w:t>
            </w:r>
          </w:p>
        </w:tc>
        <w:tc>
          <w:tcPr>
            <w:tcW w:w="2391" w:type="dxa"/>
            <w:noWrap w:val="0"/>
            <w:vAlign w:val="center"/>
          </w:tcPr>
          <w:p w14:paraId="6DC9B51C">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设置位置</w:t>
            </w:r>
          </w:p>
        </w:tc>
      </w:tr>
      <w:tr w14:paraId="54431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0" w:type="dxa"/>
            <w:noWrap w:val="0"/>
            <w:vAlign w:val="center"/>
          </w:tcPr>
          <w:p w14:paraId="54AA59C5">
            <w:pPr>
              <w:autoSpaceDE w:val="0"/>
              <w:autoSpaceDN w:val="0"/>
              <w:jc w:val="center"/>
              <w:rPr>
                <w:rFonts w:hint="default" w:ascii="Times New Roman" w:hAnsi="Times New Roman" w:eastAsia="Times New Roman" w:cs="Times New Roman"/>
                <w:color w:val="auto"/>
                <w:sz w:val="21"/>
                <w:szCs w:val="22"/>
                <w:u w:val="none"/>
              </w:rPr>
            </w:pPr>
            <w:r>
              <w:rPr>
                <w:rFonts w:hint="default" w:ascii="Times New Roman" w:hAnsi="Times New Roman" w:eastAsia="Times New Roman" w:cs="Times New Roman"/>
                <w:color w:val="auto"/>
                <w:sz w:val="21"/>
                <w:szCs w:val="22"/>
                <w:u w:val="none"/>
              </w:rPr>
              <w:t>1</w:t>
            </w:r>
          </w:p>
        </w:tc>
        <w:tc>
          <w:tcPr>
            <w:tcW w:w="2441" w:type="dxa"/>
            <w:noWrap w:val="0"/>
            <w:vAlign w:val="center"/>
          </w:tcPr>
          <w:p w14:paraId="07A934BC">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室内消防栓</w:t>
            </w:r>
          </w:p>
        </w:tc>
        <w:tc>
          <w:tcPr>
            <w:tcW w:w="1785" w:type="dxa"/>
            <w:noWrap w:val="0"/>
            <w:vAlign w:val="center"/>
          </w:tcPr>
          <w:p w14:paraId="1DA2DDF2">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SN65</w:t>
            </w:r>
          </w:p>
        </w:tc>
        <w:tc>
          <w:tcPr>
            <w:tcW w:w="1302" w:type="dxa"/>
            <w:noWrap w:val="0"/>
            <w:vAlign w:val="center"/>
          </w:tcPr>
          <w:p w14:paraId="020D2FA0">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cs="Times New Roman"/>
                <w:color w:val="auto"/>
                <w:sz w:val="21"/>
                <w:szCs w:val="22"/>
                <w:u w:val="none"/>
                <w:lang w:val="en-US" w:eastAsia="zh-CN"/>
              </w:rPr>
              <w:t>3</w:t>
            </w:r>
            <w:r>
              <w:rPr>
                <w:rFonts w:hint="eastAsia" w:ascii="Times New Roman" w:hAnsi="Times New Roman" w:eastAsia="宋体" w:cs="Times New Roman"/>
                <w:color w:val="auto"/>
                <w:sz w:val="21"/>
                <w:szCs w:val="22"/>
                <w:u w:val="none"/>
                <w:lang w:val="en-US" w:eastAsia="zh-CN"/>
              </w:rPr>
              <w:t>套</w:t>
            </w:r>
          </w:p>
        </w:tc>
        <w:tc>
          <w:tcPr>
            <w:tcW w:w="2391" w:type="dxa"/>
            <w:vMerge w:val="restart"/>
            <w:noWrap w:val="0"/>
            <w:vAlign w:val="center"/>
          </w:tcPr>
          <w:p w14:paraId="622A0C95">
            <w:pPr>
              <w:autoSpaceDE w:val="0"/>
              <w:autoSpaceDN w:val="0"/>
              <w:jc w:val="center"/>
              <w:rPr>
                <w:rFonts w:hint="default" w:ascii="Times New Roman" w:hAnsi="Times New Roman" w:eastAsia="宋体" w:cs="Times New Roman"/>
                <w:color w:val="auto"/>
                <w:sz w:val="22"/>
                <w:szCs w:val="22"/>
                <w:u w:val="none"/>
                <w:lang w:val="en-US" w:eastAsia="zh-CN"/>
              </w:rPr>
            </w:pPr>
            <w:r>
              <w:rPr>
                <w:rFonts w:hint="eastAsia" w:ascii="Times New Roman" w:hAnsi="Times New Roman" w:eastAsia="宋体" w:cs="Times New Roman"/>
                <w:color w:val="auto"/>
                <w:sz w:val="22"/>
                <w:szCs w:val="22"/>
                <w:u w:val="none"/>
                <w:lang w:val="en-US" w:eastAsia="zh-CN"/>
              </w:rPr>
              <w:t>2号仓库</w:t>
            </w:r>
          </w:p>
        </w:tc>
      </w:tr>
      <w:tr w14:paraId="05C91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0" w:type="dxa"/>
            <w:noWrap w:val="0"/>
            <w:vAlign w:val="center"/>
          </w:tcPr>
          <w:p w14:paraId="0C506B2A">
            <w:pPr>
              <w:autoSpaceDE w:val="0"/>
              <w:autoSpaceDN w:val="0"/>
              <w:jc w:val="center"/>
              <w:rPr>
                <w:rFonts w:hint="default" w:ascii="Times New Roman" w:hAnsi="Times New Roman" w:eastAsia="Times New Roman" w:cs="Times New Roman"/>
                <w:color w:val="auto"/>
                <w:sz w:val="21"/>
                <w:szCs w:val="22"/>
                <w:u w:val="none"/>
              </w:rPr>
            </w:pPr>
            <w:r>
              <w:rPr>
                <w:rFonts w:hint="default" w:ascii="Times New Roman" w:hAnsi="Times New Roman" w:eastAsia="Times New Roman" w:cs="Times New Roman"/>
                <w:color w:val="auto"/>
                <w:sz w:val="21"/>
                <w:szCs w:val="22"/>
                <w:u w:val="none"/>
              </w:rPr>
              <w:t>2</w:t>
            </w:r>
          </w:p>
        </w:tc>
        <w:tc>
          <w:tcPr>
            <w:tcW w:w="2441" w:type="dxa"/>
            <w:noWrap w:val="0"/>
            <w:vAlign w:val="center"/>
          </w:tcPr>
          <w:p w14:paraId="361F1D54">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干粉灭火器</w:t>
            </w:r>
          </w:p>
        </w:tc>
        <w:tc>
          <w:tcPr>
            <w:tcW w:w="1785" w:type="dxa"/>
            <w:noWrap w:val="0"/>
            <w:vAlign w:val="center"/>
          </w:tcPr>
          <w:p w14:paraId="483A465F">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MF/ABC2</w:t>
            </w:r>
          </w:p>
        </w:tc>
        <w:tc>
          <w:tcPr>
            <w:tcW w:w="1302" w:type="dxa"/>
            <w:noWrap w:val="0"/>
            <w:vAlign w:val="center"/>
          </w:tcPr>
          <w:p w14:paraId="74867518">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cs="Times New Roman"/>
                <w:color w:val="auto"/>
                <w:sz w:val="21"/>
                <w:szCs w:val="22"/>
                <w:u w:val="none"/>
                <w:lang w:val="en-US" w:eastAsia="zh-CN"/>
              </w:rPr>
              <w:t>10</w:t>
            </w:r>
            <w:r>
              <w:rPr>
                <w:rFonts w:hint="eastAsia" w:ascii="Times New Roman" w:hAnsi="Times New Roman" w:eastAsia="宋体" w:cs="Times New Roman"/>
                <w:color w:val="auto"/>
                <w:sz w:val="21"/>
                <w:szCs w:val="22"/>
                <w:u w:val="none"/>
                <w:lang w:val="en-US" w:eastAsia="zh-CN"/>
              </w:rPr>
              <w:t>具</w:t>
            </w:r>
          </w:p>
        </w:tc>
        <w:tc>
          <w:tcPr>
            <w:tcW w:w="2391" w:type="dxa"/>
            <w:vMerge w:val="continue"/>
            <w:noWrap w:val="0"/>
            <w:vAlign w:val="center"/>
          </w:tcPr>
          <w:p w14:paraId="4A9B1651">
            <w:pPr>
              <w:autoSpaceDE w:val="0"/>
              <w:autoSpaceDN w:val="0"/>
              <w:jc w:val="center"/>
              <w:rPr>
                <w:rFonts w:hint="default" w:ascii="Times New Roman" w:hAnsi="Times New Roman" w:eastAsia="Times New Roman" w:cs="Times New Roman"/>
                <w:color w:val="auto"/>
                <w:sz w:val="22"/>
                <w:szCs w:val="22"/>
                <w:u w:val="none"/>
              </w:rPr>
            </w:pPr>
          </w:p>
        </w:tc>
      </w:tr>
      <w:tr w14:paraId="315AB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0" w:type="dxa"/>
            <w:noWrap w:val="0"/>
            <w:vAlign w:val="center"/>
          </w:tcPr>
          <w:p w14:paraId="6C556797">
            <w:pPr>
              <w:autoSpaceDE w:val="0"/>
              <w:autoSpaceDN w:val="0"/>
              <w:jc w:val="center"/>
              <w:rPr>
                <w:rFonts w:hint="default" w:ascii="Times New Roman" w:hAnsi="Times New Roman" w:eastAsia="Times New Roman" w:cs="Times New Roman"/>
                <w:color w:val="auto"/>
                <w:sz w:val="21"/>
                <w:szCs w:val="22"/>
                <w:u w:val="none"/>
              </w:rPr>
            </w:pPr>
            <w:r>
              <w:rPr>
                <w:rFonts w:hint="default" w:ascii="Times New Roman" w:hAnsi="Times New Roman" w:eastAsia="Times New Roman" w:cs="Times New Roman"/>
                <w:color w:val="auto"/>
                <w:sz w:val="21"/>
                <w:szCs w:val="22"/>
                <w:u w:val="none"/>
              </w:rPr>
              <w:t>3</w:t>
            </w:r>
          </w:p>
        </w:tc>
        <w:tc>
          <w:tcPr>
            <w:tcW w:w="2441" w:type="dxa"/>
            <w:noWrap w:val="0"/>
            <w:vAlign w:val="center"/>
          </w:tcPr>
          <w:p w14:paraId="3224280B">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室内消防栓</w:t>
            </w:r>
          </w:p>
        </w:tc>
        <w:tc>
          <w:tcPr>
            <w:tcW w:w="1785" w:type="dxa"/>
            <w:noWrap w:val="0"/>
            <w:vAlign w:val="center"/>
          </w:tcPr>
          <w:p w14:paraId="6168F8E6">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SN65</w:t>
            </w:r>
          </w:p>
        </w:tc>
        <w:tc>
          <w:tcPr>
            <w:tcW w:w="1302" w:type="dxa"/>
            <w:noWrap w:val="0"/>
            <w:vAlign w:val="center"/>
          </w:tcPr>
          <w:p w14:paraId="0B3B36AB">
            <w:pPr>
              <w:autoSpaceDE w:val="0"/>
              <w:autoSpaceDN w:val="0"/>
              <w:jc w:val="center"/>
              <w:rPr>
                <w:rFonts w:hint="default" w:ascii="Times New Roman" w:hAnsi="Times New Roman" w:eastAsia="宋体" w:cs="Times New Roman"/>
                <w:color w:val="auto"/>
                <w:sz w:val="21"/>
                <w:szCs w:val="22"/>
                <w:u w:val="none"/>
              </w:rPr>
            </w:pPr>
            <w:r>
              <w:rPr>
                <w:rFonts w:hint="eastAsia" w:cs="Times New Roman"/>
                <w:color w:val="auto"/>
                <w:sz w:val="21"/>
                <w:szCs w:val="22"/>
                <w:u w:val="none"/>
                <w:lang w:val="en-US" w:eastAsia="zh-CN"/>
              </w:rPr>
              <w:t>2</w:t>
            </w:r>
            <w:r>
              <w:rPr>
                <w:rFonts w:hint="eastAsia" w:ascii="Times New Roman" w:hAnsi="Times New Roman" w:eastAsia="宋体" w:cs="Times New Roman"/>
                <w:color w:val="auto"/>
                <w:sz w:val="21"/>
                <w:szCs w:val="22"/>
                <w:u w:val="none"/>
                <w:lang w:val="en-US" w:eastAsia="zh-CN"/>
              </w:rPr>
              <w:t>套</w:t>
            </w:r>
          </w:p>
        </w:tc>
        <w:tc>
          <w:tcPr>
            <w:tcW w:w="2391" w:type="dxa"/>
            <w:vMerge w:val="restart"/>
            <w:noWrap w:val="0"/>
            <w:vAlign w:val="center"/>
          </w:tcPr>
          <w:p w14:paraId="387B8591">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2"/>
                <w:szCs w:val="22"/>
                <w:u w:val="none"/>
                <w:lang w:val="en-US" w:eastAsia="zh-CN"/>
              </w:rPr>
              <w:t>4号仓库</w:t>
            </w:r>
          </w:p>
        </w:tc>
      </w:tr>
      <w:tr w14:paraId="310D6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0" w:type="dxa"/>
            <w:noWrap w:val="0"/>
            <w:vAlign w:val="center"/>
          </w:tcPr>
          <w:p w14:paraId="5FB4AEA5">
            <w:pPr>
              <w:autoSpaceDE w:val="0"/>
              <w:autoSpaceDN w:val="0"/>
              <w:jc w:val="center"/>
              <w:rPr>
                <w:rFonts w:hint="default" w:ascii="Times New Roman" w:hAnsi="Times New Roman" w:eastAsia="Times New Roman" w:cs="Times New Roman"/>
                <w:color w:val="auto"/>
                <w:sz w:val="21"/>
                <w:szCs w:val="22"/>
                <w:u w:val="none"/>
              </w:rPr>
            </w:pPr>
            <w:r>
              <w:rPr>
                <w:rFonts w:hint="default" w:ascii="Times New Roman" w:hAnsi="Times New Roman" w:eastAsia="Times New Roman" w:cs="Times New Roman"/>
                <w:color w:val="auto"/>
                <w:sz w:val="21"/>
                <w:szCs w:val="22"/>
                <w:u w:val="none"/>
              </w:rPr>
              <w:t>4</w:t>
            </w:r>
          </w:p>
        </w:tc>
        <w:tc>
          <w:tcPr>
            <w:tcW w:w="2441" w:type="dxa"/>
            <w:noWrap w:val="0"/>
            <w:vAlign w:val="center"/>
          </w:tcPr>
          <w:p w14:paraId="597EE94F">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干粉灭火器</w:t>
            </w:r>
          </w:p>
        </w:tc>
        <w:tc>
          <w:tcPr>
            <w:tcW w:w="1785" w:type="dxa"/>
            <w:noWrap w:val="0"/>
            <w:vAlign w:val="center"/>
          </w:tcPr>
          <w:p w14:paraId="65026B99">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MF/ABC2</w:t>
            </w:r>
          </w:p>
        </w:tc>
        <w:tc>
          <w:tcPr>
            <w:tcW w:w="1302" w:type="dxa"/>
            <w:noWrap w:val="0"/>
            <w:vAlign w:val="center"/>
          </w:tcPr>
          <w:p w14:paraId="6B88CDED">
            <w:pPr>
              <w:autoSpaceDE w:val="0"/>
              <w:autoSpaceDN w:val="0"/>
              <w:jc w:val="center"/>
              <w:rPr>
                <w:rFonts w:hint="default" w:ascii="Times New Roman" w:hAnsi="Times New Roman" w:eastAsia="宋体" w:cs="Times New Roman"/>
                <w:color w:val="auto"/>
                <w:sz w:val="21"/>
                <w:szCs w:val="22"/>
                <w:u w:val="none"/>
              </w:rPr>
            </w:pPr>
            <w:r>
              <w:rPr>
                <w:rFonts w:hint="eastAsia" w:cs="Times New Roman"/>
                <w:color w:val="auto"/>
                <w:sz w:val="21"/>
                <w:szCs w:val="22"/>
                <w:u w:val="none"/>
                <w:lang w:val="en-US" w:eastAsia="zh-CN"/>
              </w:rPr>
              <w:t>10</w:t>
            </w:r>
            <w:r>
              <w:rPr>
                <w:rFonts w:hint="eastAsia" w:ascii="Times New Roman" w:hAnsi="Times New Roman" w:eastAsia="宋体" w:cs="Times New Roman"/>
                <w:color w:val="auto"/>
                <w:sz w:val="21"/>
                <w:szCs w:val="22"/>
                <w:u w:val="none"/>
                <w:lang w:val="en-US" w:eastAsia="zh-CN"/>
              </w:rPr>
              <w:t>具</w:t>
            </w:r>
          </w:p>
        </w:tc>
        <w:tc>
          <w:tcPr>
            <w:tcW w:w="2391" w:type="dxa"/>
            <w:vMerge w:val="continue"/>
            <w:noWrap w:val="0"/>
            <w:vAlign w:val="center"/>
          </w:tcPr>
          <w:p w14:paraId="2C522151">
            <w:pPr>
              <w:autoSpaceDE w:val="0"/>
              <w:autoSpaceDN w:val="0"/>
              <w:jc w:val="center"/>
              <w:rPr>
                <w:rFonts w:hint="default" w:ascii="Times New Roman" w:hAnsi="Times New Roman" w:eastAsia="宋体" w:cs="Times New Roman"/>
                <w:color w:val="auto"/>
                <w:sz w:val="21"/>
                <w:szCs w:val="22"/>
                <w:u w:val="none"/>
              </w:rPr>
            </w:pPr>
          </w:p>
        </w:tc>
      </w:tr>
      <w:tr w14:paraId="69361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0" w:type="dxa"/>
            <w:noWrap w:val="0"/>
            <w:vAlign w:val="center"/>
          </w:tcPr>
          <w:p w14:paraId="5217A339">
            <w:pPr>
              <w:autoSpaceDE w:val="0"/>
              <w:autoSpaceDN w:val="0"/>
              <w:jc w:val="center"/>
              <w:rPr>
                <w:rFonts w:hint="default" w:ascii="Times New Roman" w:hAnsi="Times New Roman" w:eastAsia="Times New Roman" w:cs="Times New Roman"/>
                <w:color w:val="auto"/>
                <w:sz w:val="21"/>
                <w:szCs w:val="22"/>
                <w:u w:val="none"/>
              </w:rPr>
            </w:pPr>
            <w:r>
              <w:rPr>
                <w:rFonts w:hint="default" w:ascii="Times New Roman" w:hAnsi="Times New Roman" w:eastAsia="Times New Roman" w:cs="Times New Roman"/>
                <w:color w:val="auto"/>
                <w:sz w:val="21"/>
                <w:szCs w:val="22"/>
                <w:u w:val="none"/>
              </w:rPr>
              <w:t>5</w:t>
            </w:r>
          </w:p>
        </w:tc>
        <w:tc>
          <w:tcPr>
            <w:tcW w:w="2441" w:type="dxa"/>
            <w:noWrap w:val="0"/>
            <w:vAlign w:val="center"/>
          </w:tcPr>
          <w:p w14:paraId="416F0E9F">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室内消防栓</w:t>
            </w:r>
          </w:p>
        </w:tc>
        <w:tc>
          <w:tcPr>
            <w:tcW w:w="1785" w:type="dxa"/>
            <w:noWrap w:val="0"/>
            <w:vAlign w:val="center"/>
          </w:tcPr>
          <w:p w14:paraId="3CA04C6F">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SN65</w:t>
            </w:r>
          </w:p>
        </w:tc>
        <w:tc>
          <w:tcPr>
            <w:tcW w:w="1302" w:type="dxa"/>
            <w:noWrap w:val="0"/>
            <w:vAlign w:val="center"/>
          </w:tcPr>
          <w:p w14:paraId="718B6BC4">
            <w:pPr>
              <w:autoSpaceDE w:val="0"/>
              <w:autoSpaceDN w:val="0"/>
              <w:jc w:val="center"/>
              <w:rPr>
                <w:rFonts w:hint="default" w:ascii="Times New Roman" w:hAnsi="Times New Roman" w:eastAsia="宋体" w:cs="Times New Roman"/>
                <w:color w:val="auto"/>
                <w:sz w:val="21"/>
                <w:szCs w:val="22"/>
                <w:u w:val="none"/>
              </w:rPr>
            </w:pPr>
            <w:r>
              <w:rPr>
                <w:rFonts w:hint="eastAsia" w:cs="Times New Roman"/>
                <w:color w:val="auto"/>
                <w:sz w:val="21"/>
                <w:szCs w:val="22"/>
                <w:u w:val="none"/>
                <w:lang w:val="en-US" w:eastAsia="zh-CN"/>
              </w:rPr>
              <w:t>2</w:t>
            </w:r>
            <w:r>
              <w:rPr>
                <w:rFonts w:hint="eastAsia" w:ascii="Times New Roman" w:hAnsi="Times New Roman" w:eastAsia="宋体" w:cs="Times New Roman"/>
                <w:color w:val="auto"/>
                <w:sz w:val="21"/>
                <w:szCs w:val="22"/>
                <w:u w:val="none"/>
                <w:lang w:val="en-US" w:eastAsia="zh-CN"/>
              </w:rPr>
              <w:t>套</w:t>
            </w:r>
          </w:p>
        </w:tc>
        <w:tc>
          <w:tcPr>
            <w:tcW w:w="2391" w:type="dxa"/>
            <w:vMerge w:val="restart"/>
            <w:noWrap w:val="0"/>
            <w:vAlign w:val="center"/>
          </w:tcPr>
          <w:p w14:paraId="0ACA626D">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2"/>
                <w:szCs w:val="22"/>
                <w:u w:val="none"/>
                <w:lang w:val="en-US" w:eastAsia="zh-CN"/>
              </w:rPr>
              <w:t>5号仓库</w:t>
            </w:r>
          </w:p>
        </w:tc>
      </w:tr>
      <w:tr w14:paraId="42EA4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0" w:type="dxa"/>
            <w:noWrap w:val="0"/>
            <w:vAlign w:val="center"/>
          </w:tcPr>
          <w:p w14:paraId="056C6F75">
            <w:pPr>
              <w:autoSpaceDE w:val="0"/>
              <w:autoSpaceDN w:val="0"/>
              <w:jc w:val="center"/>
              <w:rPr>
                <w:rFonts w:hint="default" w:ascii="Times New Roman" w:hAnsi="Times New Roman" w:eastAsia="Times New Roman" w:cs="Times New Roman"/>
                <w:color w:val="auto"/>
                <w:sz w:val="21"/>
                <w:szCs w:val="22"/>
                <w:u w:val="none"/>
              </w:rPr>
            </w:pPr>
            <w:r>
              <w:rPr>
                <w:rFonts w:hint="default" w:ascii="Times New Roman" w:hAnsi="Times New Roman" w:eastAsia="Times New Roman" w:cs="Times New Roman"/>
                <w:color w:val="auto"/>
                <w:sz w:val="21"/>
                <w:szCs w:val="22"/>
                <w:u w:val="none"/>
              </w:rPr>
              <w:t>6</w:t>
            </w:r>
          </w:p>
        </w:tc>
        <w:tc>
          <w:tcPr>
            <w:tcW w:w="2441" w:type="dxa"/>
            <w:noWrap w:val="0"/>
            <w:vAlign w:val="center"/>
          </w:tcPr>
          <w:p w14:paraId="1B113DDA">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干粉灭火器</w:t>
            </w:r>
          </w:p>
        </w:tc>
        <w:tc>
          <w:tcPr>
            <w:tcW w:w="1785" w:type="dxa"/>
            <w:noWrap w:val="0"/>
            <w:vAlign w:val="center"/>
          </w:tcPr>
          <w:p w14:paraId="3908D5E4">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MF/ABC2</w:t>
            </w:r>
          </w:p>
        </w:tc>
        <w:tc>
          <w:tcPr>
            <w:tcW w:w="1302" w:type="dxa"/>
            <w:noWrap w:val="0"/>
            <w:vAlign w:val="center"/>
          </w:tcPr>
          <w:p w14:paraId="5A3C0219">
            <w:pPr>
              <w:autoSpaceDE w:val="0"/>
              <w:autoSpaceDN w:val="0"/>
              <w:jc w:val="center"/>
              <w:rPr>
                <w:rFonts w:hint="default" w:ascii="Times New Roman" w:hAnsi="Times New Roman" w:eastAsia="宋体" w:cs="Times New Roman"/>
                <w:color w:val="auto"/>
                <w:sz w:val="21"/>
                <w:szCs w:val="22"/>
                <w:u w:val="none"/>
              </w:rPr>
            </w:pPr>
            <w:r>
              <w:rPr>
                <w:rFonts w:hint="eastAsia" w:cs="Times New Roman"/>
                <w:color w:val="auto"/>
                <w:sz w:val="21"/>
                <w:szCs w:val="22"/>
                <w:u w:val="none"/>
                <w:lang w:val="en-US" w:eastAsia="zh-CN"/>
              </w:rPr>
              <w:t>10</w:t>
            </w:r>
            <w:r>
              <w:rPr>
                <w:rFonts w:hint="eastAsia" w:ascii="Times New Roman" w:hAnsi="Times New Roman" w:eastAsia="宋体" w:cs="Times New Roman"/>
                <w:color w:val="auto"/>
                <w:sz w:val="21"/>
                <w:szCs w:val="22"/>
                <w:u w:val="none"/>
                <w:lang w:val="en-US" w:eastAsia="zh-CN"/>
              </w:rPr>
              <w:t>具</w:t>
            </w:r>
          </w:p>
        </w:tc>
        <w:tc>
          <w:tcPr>
            <w:tcW w:w="2391" w:type="dxa"/>
            <w:vMerge w:val="continue"/>
            <w:noWrap w:val="0"/>
            <w:vAlign w:val="center"/>
          </w:tcPr>
          <w:p w14:paraId="6FB535BA">
            <w:pPr>
              <w:autoSpaceDE w:val="0"/>
              <w:autoSpaceDN w:val="0"/>
              <w:jc w:val="center"/>
              <w:rPr>
                <w:rFonts w:hint="default" w:ascii="Times New Roman" w:hAnsi="Times New Roman" w:eastAsia="Times New Roman" w:cs="Times New Roman"/>
                <w:color w:val="auto"/>
                <w:sz w:val="22"/>
                <w:szCs w:val="22"/>
                <w:u w:val="none"/>
              </w:rPr>
            </w:pPr>
          </w:p>
        </w:tc>
      </w:tr>
      <w:tr w14:paraId="36B66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0" w:type="dxa"/>
            <w:noWrap w:val="0"/>
            <w:vAlign w:val="center"/>
          </w:tcPr>
          <w:p w14:paraId="3DB7C6F2">
            <w:pPr>
              <w:autoSpaceDE w:val="0"/>
              <w:autoSpaceDN w:val="0"/>
              <w:jc w:val="center"/>
              <w:rPr>
                <w:rFonts w:hint="default" w:ascii="Times New Roman" w:hAnsi="Times New Roman" w:eastAsia="Times New Roman" w:cs="Times New Roman"/>
                <w:color w:val="auto"/>
                <w:sz w:val="21"/>
                <w:szCs w:val="22"/>
                <w:u w:val="none"/>
              </w:rPr>
            </w:pPr>
            <w:r>
              <w:rPr>
                <w:rFonts w:hint="default" w:ascii="Times New Roman" w:hAnsi="Times New Roman" w:eastAsia="Times New Roman" w:cs="Times New Roman"/>
                <w:color w:val="auto"/>
                <w:sz w:val="21"/>
                <w:szCs w:val="22"/>
                <w:u w:val="none"/>
              </w:rPr>
              <w:t>7</w:t>
            </w:r>
          </w:p>
        </w:tc>
        <w:tc>
          <w:tcPr>
            <w:tcW w:w="2441" w:type="dxa"/>
            <w:noWrap w:val="0"/>
            <w:vAlign w:val="center"/>
          </w:tcPr>
          <w:p w14:paraId="5AF435D1">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室外消防栓</w:t>
            </w:r>
          </w:p>
        </w:tc>
        <w:tc>
          <w:tcPr>
            <w:tcW w:w="1785" w:type="dxa"/>
            <w:noWrap w:val="0"/>
            <w:vAlign w:val="center"/>
          </w:tcPr>
          <w:p w14:paraId="39E1EF8D">
            <w:pPr>
              <w:autoSpaceDE w:val="0"/>
              <w:autoSpaceDN w:val="0"/>
              <w:jc w:val="center"/>
              <w:rPr>
                <w:rFonts w:hint="eastAsia"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w:t>
            </w:r>
          </w:p>
        </w:tc>
        <w:tc>
          <w:tcPr>
            <w:tcW w:w="1302" w:type="dxa"/>
            <w:noWrap w:val="0"/>
            <w:vAlign w:val="center"/>
          </w:tcPr>
          <w:p w14:paraId="5FD3204E">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cs="Times New Roman"/>
                <w:color w:val="auto"/>
                <w:sz w:val="21"/>
                <w:szCs w:val="22"/>
                <w:u w:val="none"/>
                <w:lang w:val="en-US" w:eastAsia="zh-CN"/>
              </w:rPr>
              <w:t>10</w:t>
            </w:r>
            <w:r>
              <w:rPr>
                <w:rFonts w:hint="eastAsia" w:ascii="Times New Roman" w:hAnsi="Times New Roman" w:eastAsia="宋体" w:cs="Times New Roman"/>
                <w:color w:val="auto"/>
                <w:sz w:val="21"/>
                <w:szCs w:val="22"/>
                <w:u w:val="none"/>
                <w:lang w:val="en-US" w:eastAsia="zh-CN"/>
              </w:rPr>
              <w:t>个</w:t>
            </w:r>
          </w:p>
        </w:tc>
        <w:tc>
          <w:tcPr>
            <w:tcW w:w="2391" w:type="dxa"/>
            <w:noWrap w:val="0"/>
            <w:vAlign w:val="center"/>
          </w:tcPr>
          <w:p w14:paraId="4FEC221D">
            <w:pPr>
              <w:autoSpaceDE w:val="0"/>
              <w:autoSpaceDN w:val="0"/>
              <w:jc w:val="center"/>
              <w:rPr>
                <w:rFonts w:hint="eastAsia" w:ascii="Times New Roman" w:hAnsi="Times New Roman" w:eastAsia="宋体" w:cs="Times New Roman"/>
                <w:color w:val="auto"/>
                <w:sz w:val="22"/>
                <w:szCs w:val="22"/>
                <w:u w:val="none"/>
                <w:lang w:val="en-US" w:eastAsia="zh-CN"/>
              </w:rPr>
            </w:pPr>
            <w:r>
              <w:rPr>
                <w:rFonts w:hint="eastAsia" w:ascii="Times New Roman" w:hAnsi="Times New Roman" w:eastAsia="宋体" w:cs="Times New Roman"/>
                <w:color w:val="auto"/>
                <w:sz w:val="22"/>
                <w:szCs w:val="22"/>
                <w:u w:val="none"/>
                <w:lang w:val="en-US" w:eastAsia="zh-CN"/>
              </w:rPr>
              <w:t>厂区</w:t>
            </w:r>
          </w:p>
        </w:tc>
      </w:tr>
      <w:tr w14:paraId="66AEC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0" w:type="dxa"/>
            <w:noWrap w:val="0"/>
            <w:vAlign w:val="center"/>
          </w:tcPr>
          <w:p w14:paraId="2C7C5154">
            <w:pPr>
              <w:autoSpaceDE w:val="0"/>
              <w:autoSpaceDN w:val="0"/>
              <w:jc w:val="center"/>
              <w:rPr>
                <w:rFonts w:hint="default" w:ascii="Times New Roman" w:hAnsi="Times New Roman" w:eastAsia="Times New Roman" w:cs="Times New Roman"/>
                <w:color w:val="auto"/>
                <w:sz w:val="21"/>
                <w:szCs w:val="22"/>
                <w:u w:val="none"/>
              </w:rPr>
            </w:pPr>
            <w:r>
              <w:rPr>
                <w:rFonts w:hint="default" w:ascii="Times New Roman" w:hAnsi="Times New Roman" w:eastAsia="Times New Roman" w:cs="Times New Roman"/>
                <w:color w:val="auto"/>
                <w:sz w:val="21"/>
                <w:szCs w:val="22"/>
                <w:u w:val="none"/>
              </w:rPr>
              <w:t>8</w:t>
            </w:r>
          </w:p>
        </w:tc>
        <w:tc>
          <w:tcPr>
            <w:tcW w:w="2441" w:type="dxa"/>
            <w:noWrap w:val="0"/>
            <w:vAlign w:val="center"/>
          </w:tcPr>
          <w:p w14:paraId="281D78E6">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推车式干粉灭火器</w:t>
            </w:r>
          </w:p>
        </w:tc>
        <w:tc>
          <w:tcPr>
            <w:tcW w:w="1785" w:type="dxa"/>
            <w:noWrap w:val="0"/>
            <w:vAlign w:val="center"/>
          </w:tcPr>
          <w:p w14:paraId="16292EE4">
            <w:pPr>
              <w:autoSpaceDE w:val="0"/>
              <w:autoSpaceDN w:val="0"/>
              <w:jc w:val="center"/>
              <w:rPr>
                <w:rFonts w:hint="default" w:ascii="Times New Roman" w:hAnsi="Times New Roman" w:eastAsia="宋体" w:cs="Times New Roman"/>
                <w:color w:val="auto"/>
                <w:sz w:val="22"/>
                <w:szCs w:val="22"/>
                <w:u w:val="none"/>
                <w:lang w:val="en-US" w:eastAsia="zh-CN"/>
              </w:rPr>
            </w:pPr>
            <w:r>
              <w:rPr>
                <w:rFonts w:hint="eastAsia" w:ascii="Times New Roman" w:hAnsi="Times New Roman" w:eastAsia="宋体" w:cs="Times New Roman"/>
                <w:color w:val="auto"/>
                <w:sz w:val="22"/>
                <w:szCs w:val="22"/>
                <w:u w:val="none"/>
                <w:lang w:val="en-US" w:eastAsia="zh-CN"/>
              </w:rPr>
              <w:t>MFT20</w:t>
            </w:r>
          </w:p>
        </w:tc>
        <w:tc>
          <w:tcPr>
            <w:tcW w:w="1302" w:type="dxa"/>
            <w:noWrap w:val="0"/>
            <w:vAlign w:val="center"/>
          </w:tcPr>
          <w:p w14:paraId="1AACEA21">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2具</w:t>
            </w:r>
          </w:p>
        </w:tc>
        <w:tc>
          <w:tcPr>
            <w:tcW w:w="2391" w:type="dxa"/>
            <w:vMerge w:val="restart"/>
            <w:noWrap w:val="0"/>
            <w:vAlign w:val="center"/>
          </w:tcPr>
          <w:p w14:paraId="5BEEC7ED">
            <w:pPr>
              <w:autoSpaceDE w:val="0"/>
              <w:autoSpaceDN w:val="0"/>
              <w:jc w:val="center"/>
              <w:rPr>
                <w:rFonts w:hint="default" w:ascii="Times New Roman" w:hAnsi="Times New Roman" w:eastAsia="宋体" w:cs="Times New Roman"/>
                <w:color w:val="auto"/>
                <w:sz w:val="22"/>
                <w:szCs w:val="22"/>
                <w:u w:val="none"/>
                <w:lang w:val="en-US" w:eastAsia="zh-CN"/>
              </w:rPr>
            </w:pPr>
            <w:r>
              <w:rPr>
                <w:rFonts w:hint="eastAsia" w:ascii="Times New Roman" w:hAnsi="Times New Roman" w:eastAsia="宋体" w:cs="Times New Roman"/>
                <w:color w:val="auto"/>
                <w:sz w:val="22"/>
                <w:szCs w:val="22"/>
                <w:u w:val="none"/>
                <w:lang w:val="en-US" w:eastAsia="zh-CN"/>
              </w:rPr>
              <w:t>集装箱</w:t>
            </w:r>
            <w:r>
              <w:rPr>
                <w:rFonts w:hint="eastAsia" w:cs="Times New Roman"/>
                <w:color w:val="auto"/>
                <w:sz w:val="22"/>
                <w:szCs w:val="22"/>
                <w:u w:val="none"/>
                <w:lang w:val="en-US" w:eastAsia="zh-CN"/>
              </w:rPr>
              <w:t>拆装棚</w:t>
            </w:r>
          </w:p>
        </w:tc>
      </w:tr>
      <w:tr w14:paraId="37E9F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0" w:type="dxa"/>
            <w:noWrap w:val="0"/>
            <w:vAlign w:val="center"/>
          </w:tcPr>
          <w:p w14:paraId="0957B225">
            <w:pPr>
              <w:autoSpaceDE w:val="0"/>
              <w:autoSpaceDN w:val="0"/>
              <w:jc w:val="center"/>
              <w:rPr>
                <w:rFonts w:hint="eastAsia" w:ascii="Times New Roman" w:hAnsi="Times New Roman" w:eastAsia="宋体" w:cs="Times New Roman"/>
                <w:color w:val="auto"/>
                <w:sz w:val="21"/>
                <w:szCs w:val="22"/>
                <w:u w:val="none"/>
                <w:lang w:val="en-US" w:eastAsia="zh-CN"/>
              </w:rPr>
            </w:pPr>
            <w:bookmarkStart w:id="95" w:name="_Toc26286"/>
            <w:r>
              <w:rPr>
                <w:rFonts w:hint="eastAsia" w:ascii="Times New Roman" w:hAnsi="Times New Roman" w:eastAsia="宋体" w:cs="Times New Roman"/>
                <w:color w:val="auto"/>
                <w:sz w:val="21"/>
                <w:szCs w:val="22"/>
                <w:u w:val="none"/>
                <w:lang w:val="en-US" w:eastAsia="zh-CN"/>
              </w:rPr>
              <w:t>9</w:t>
            </w:r>
          </w:p>
        </w:tc>
        <w:tc>
          <w:tcPr>
            <w:tcW w:w="2441" w:type="dxa"/>
            <w:noWrap w:val="0"/>
            <w:vAlign w:val="center"/>
          </w:tcPr>
          <w:p w14:paraId="6403D61B">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移动泡沫灭火器</w:t>
            </w:r>
          </w:p>
        </w:tc>
        <w:tc>
          <w:tcPr>
            <w:tcW w:w="1785" w:type="dxa"/>
            <w:noWrap w:val="0"/>
            <w:vAlign w:val="center"/>
          </w:tcPr>
          <w:p w14:paraId="41CF51DF">
            <w:pPr>
              <w:autoSpaceDE w:val="0"/>
              <w:autoSpaceDN w:val="0"/>
              <w:jc w:val="center"/>
              <w:rPr>
                <w:rFonts w:hint="default" w:ascii="Times New Roman" w:hAnsi="Times New Roman" w:eastAsia="宋体" w:cs="Times New Roman"/>
                <w:color w:val="auto"/>
                <w:sz w:val="22"/>
                <w:szCs w:val="22"/>
                <w:u w:val="none"/>
                <w:lang w:val="en-US" w:eastAsia="zh-CN"/>
              </w:rPr>
            </w:pPr>
            <w:r>
              <w:rPr>
                <w:rFonts w:hint="eastAsia" w:ascii="Times New Roman" w:hAnsi="Times New Roman" w:eastAsia="宋体" w:cs="Times New Roman"/>
                <w:color w:val="auto"/>
                <w:sz w:val="22"/>
                <w:szCs w:val="22"/>
                <w:u w:val="none"/>
                <w:lang w:val="en-US" w:eastAsia="zh-CN"/>
              </w:rPr>
              <w:t>PY8/200</w:t>
            </w:r>
          </w:p>
        </w:tc>
        <w:tc>
          <w:tcPr>
            <w:tcW w:w="1302" w:type="dxa"/>
            <w:noWrap w:val="0"/>
            <w:vAlign w:val="center"/>
          </w:tcPr>
          <w:p w14:paraId="29D986C6">
            <w:pPr>
              <w:autoSpaceDE w:val="0"/>
              <w:autoSpaceDN w:val="0"/>
              <w:jc w:val="center"/>
              <w:rPr>
                <w:rFonts w:hint="eastAsia"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2具</w:t>
            </w:r>
          </w:p>
        </w:tc>
        <w:tc>
          <w:tcPr>
            <w:tcW w:w="2391" w:type="dxa"/>
            <w:vMerge w:val="continue"/>
            <w:noWrap w:val="0"/>
            <w:vAlign w:val="center"/>
          </w:tcPr>
          <w:p w14:paraId="18078DA0">
            <w:pPr>
              <w:autoSpaceDE w:val="0"/>
              <w:autoSpaceDN w:val="0"/>
              <w:jc w:val="center"/>
              <w:rPr>
                <w:rFonts w:hint="default" w:ascii="Times New Roman" w:hAnsi="Times New Roman" w:eastAsia="Times New Roman" w:cs="Times New Roman"/>
                <w:color w:val="auto"/>
                <w:sz w:val="22"/>
                <w:szCs w:val="22"/>
                <w:u w:val="none"/>
              </w:rPr>
            </w:pPr>
          </w:p>
        </w:tc>
      </w:tr>
      <w:tr w14:paraId="5B61C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0" w:type="dxa"/>
            <w:noWrap w:val="0"/>
            <w:vAlign w:val="center"/>
          </w:tcPr>
          <w:p w14:paraId="35258D1A">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10</w:t>
            </w:r>
          </w:p>
        </w:tc>
        <w:tc>
          <w:tcPr>
            <w:tcW w:w="2441" w:type="dxa"/>
            <w:noWrap w:val="0"/>
            <w:vAlign w:val="center"/>
          </w:tcPr>
          <w:p w14:paraId="6CF78DA8">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干粉灭火器</w:t>
            </w:r>
          </w:p>
        </w:tc>
        <w:tc>
          <w:tcPr>
            <w:tcW w:w="1785" w:type="dxa"/>
            <w:noWrap w:val="0"/>
            <w:vAlign w:val="center"/>
          </w:tcPr>
          <w:p w14:paraId="060CB38B">
            <w:pPr>
              <w:autoSpaceDE w:val="0"/>
              <w:autoSpaceDN w:val="0"/>
              <w:jc w:val="center"/>
              <w:rPr>
                <w:rFonts w:hint="default" w:ascii="Times New Roman" w:hAnsi="Times New Roman" w:eastAsia="Times New Roman" w:cs="Times New Roman"/>
                <w:color w:val="auto"/>
                <w:sz w:val="22"/>
                <w:szCs w:val="22"/>
                <w:u w:val="none"/>
                <w:lang w:val="en-US"/>
              </w:rPr>
            </w:pPr>
            <w:r>
              <w:rPr>
                <w:rFonts w:hint="eastAsia" w:ascii="Times New Roman" w:hAnsi="Times New Roman" w:eastAsia="宋体" w:cs="Times New Roman"/>
                <w:color w:val="auto"/>
                <w:sz w:val="21"/>
                <w:szCs w:val="22"/>
                <w:u w:val="none"/>
                <w:lang w:val="en-US" w:eastAsia="zh-CN"/>
              </w:rPr>
              <w:t>MF/ABC4</w:t>
            </w:r>
          </w:p>
        </w:tc>
        <w:tc>
          <w:tcPr>
            <w:tcW w:w="1302" w:type="dxa"/>
            <w:noWrap w:val="0"/>
            <w:vAlign w:val="center"/>
          </w:tcPr>
          <w:p w14:paraId="7BCB1CD8">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10具</w:t>
            </w:r>
          </w:p>
        </w:tc>
        <w:tc>
          <w:tcPr>
            <w:tcW w:w="2391" w:type="dxa"/>
            <w:vMerge w:val="continue"/>
            <w:noWrap w:val="0"/>
            <w:vAlign w:val="center"/>
          </w:tcPr>
          <w:p w14:paraId="007BA2B1">
            <w:pPr>
              <w:autoSpaceDE w:val="0"/>
              <w:autoSpaceDN w:val="0"/>
              <w:jc w:val="center"/>
              <w:rPr>
                <w:rFonts w:hint="default" w:ascii="Times New Roman" w:hAnsi="Times New Roman" w:eastAsia="Times New Roman" w:cs="Times New Roman"/>
                <w:color w:val="auto"/>
                <w:sz w:val="22"/>
                <w:szCs w:val="22"/>
                <w:u w:val="none"/>
              </w:rPr>
            </w:pPr>
          </w:p>
        </w:tc>
      </w:tr>
      <w:tr w14:paraId="419ED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0" w:type="dxa"/>
            <w:noWrap w:val="0"/>
            <w:vAlign w:val="center"/>
          </w:tcPr>
          <w:p w14:paraId="6AE0B648">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11</w:t>
            </w:r>
          </w:p>
        </w:tc>
        <w:tc>
          <w:tcPr>
            <w:tcW w:w="2441" w:type="dxa"/>
            <w:noWrap w:val="0"/>
            <w:vAlign w:val="center"/>
          </w:tcPr>
          <w:p w14:paraId="5AE9C17D">
            <w:pPr>
              <w:autoSpaceDE w:val="0"/>
              <w:autoSpaceDN w:val="0"/>
              <w:jc w:val="center"/>
              <w:rPr>
                <w:rFonts w:hint="eastAsia"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消防沙</w:t>
            </w:r>
          </w:p>
        </w:tc>
        <w:tc>
          <w:tcPr>
            <w:tcW w:w="1785" w:type="dxa"/>
            <w:noWrap w:val="0"/>
            <w:vAlign w:val="center"/>
          </w:tcPr>
          <w:p w14:paraId="075E3928">
            <w:pPr>
              <w:autoSpaceDE w:val="0"/>
              <w:autoSpaceDN w:val="0"/>
              <w:jc w:val="center"/>
              <w:rPr>
                <w:rFonts w:hint="eastAsia" w:ascii="Times New Roman" w:hAnsi="Times New Roman" w:eastAsia="宋体" w:cs="Times New Roman"/>
                <w:color w:val="auto"/>
                <w:sz w:val="22"/>
                <w:szCs w:val="22"/>
                <w:u w:val="none"/>
                <w:lang w:val="en-US" w:eastAsia="zh-CN"/>
              </w:rPr>
            </w:pPr>
            <w:r>
              <w:rPr>
                <w:rFonts w:hint="eastAsia" w:ascii="Times New Roman" w:hAnsi="Times New Roman" w:eastAsia="宋体" w:cs="Times New Roman"/>
                <w:color w:val="auto"/>
                <w:sz w:val="22"/>
                <w:szCs w:val="22"/>
                <w:u w:val="none"/>
                <w:lang w:val="en-US" w:eastAsia="zh-CN"/>
              </w:rPr>
              <w:t>/</w:t>
            </w:r>
          </w:p>
        </w:tc>
        <w:tc>
          <w:tcPr>
            <w:tcW w:w="1302" w:type="dxa"/>
            <w:noWrap w:val="0"/>
            <w:vAlign w:val="center"/>
          </w:tcPr>
          <w:p w14:paraId="0E2F036E">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2箱</w:t>
            </w:r>
          </w:p>
        </w:tc>
        <w:tc>
          <w:tcPr>
            <w:tcW w:w="2391" w:type="dxa"/>
            <w:vMerge w:val="continue"/>
            <w:noWrap w:val="0"/>
            <w:vAlign w:val="center"/>
          </w:tcPr>
          <w:p w14:paraId="3DC27DBC">
            <w:pPr>
              <w:autoSpaceDE w:val="0"/>
              <w:autoSpaceDN w:val="0"/>
              <w:jc w:val="center"/>
              <w:rPr>
                <w:rFonts w:hint="default" w:ascii="Times New Roman" w:hAnsi="Times New Roman" w:eastAsia="Times New Roman" w:cs="Times New Roman"/>
                <w:color w:val="auto"/>
                <w:sz w:val="22"/>
                <w:szCs w:val="22"/>
                <w:u w:val="none"/>
              </w:rPr>
            </w:pPr>
          </w:p>
        </w:tc>
      </w:tr>
      <w:tr w14:paraId="5AF67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0" w:type="dxa"/>
            <w:noWrap w:val="0"/>
            <w:vAlign w:val="center"/>
          </w:tcPr>
          <w:p w14:paraId="78153A17">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12</w:t>
            </w:r>
          </w:p>
        </w:tc>
        <w:tc>
          <w:tcPr>
            <w:tcW w:w="2441" w:type="dxa"/>
            <w:noWrap w:val="0"/>
            <w:vAlign w:val="center"/>
          </w:tcPr>
          <w:p w14:paraId="31F9B3D2">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消防给水泵</w:t>
            </w:r>
          </w:p>
        </w:tc>
        <w:tc>
          <w:tcPr>
            <w:tcW w:w="1785" w:type="dxa"/>
            <w:noWrap w:val="0"/>
            <w:vAlign w:val="center"/>
          </w:tcPr>
          <w:p w14:paraId="5798059B">
            <w:pPr>
              <w:autoSpaceDE w:val="0"/>
              <w:autoSpaceDN w:val="0"/>
              <w:jc w:val="center"/>
              <w:rPr>
                <w:rFonts w:hint="eastAsia" w:ascii="Times New Roman" w:hAnsi="Times New Roman" w:eastAsia="宋体" w:cs="Times New Roman"/>
                <w:color w:val="auto"/>
                <w:sz w:val="22"/>
                <w:szCs w:val="22"/>
                <w:u w:val="none"/>
                <w:lang w:val="en-US" w:eastAsia="zh-CN"/>
              </w:rPr>
            </w:pPr>
            <w:r>
              <w:rPr>
                <w:rFonts w:hint="eastAsia" w:ascii="Times New Roman" w:hAnsi="Times New Roman" w:eastAsia="宋体" w:cs="Times New Roman"/>
                <w:color w:val="auto"/>
                <w:sz w:val="22"/>
                <w:szCs w:val="22"/>
                <w:u w:val="none"/>
                <w:lang w:val="en-US" w:eastAsia="zh-CN"/>
              </w:rPr>
              <w:t>/</w:t>
            </w:r>
          </w:p>
        </w:tc>
        <w:tc>
          <w:tcPr>
            <w:tcW w:w="1302" w:type="dxa"/>
            <w:noWrap w:val="0"/>
            <w:vAlign w:val="center"/>
          </w:tcPr>
          <w:p w14:paraId="34074209">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2台</w:t>
            </w:r>
          </w:p>
        </w:tc>
        <w:tc>
          <w:tcPr>
            <w:tcW w:w="2391" w:type="dxa"/>
            <w:noWrap w:val="0"/>
            <w:vAlign w:val="center"/>
          </w:tcPr>
          <w:p w14:paraId="1A37561A">
            <w:pPr>
              <w:autoSpaceDE w:val="0"/>
              <w:autoSpaceDN w:val="0"/>
              <w:jc w:val="center"/>
              <w:rPr>
                <w:rFonts w:hint="default" w:ascii="Times New Roman" w:hAnsi="Times New Roman" w:eastAsia="宋体" w:cs="Times New Roman"/>
                <w:color w:val="auto"/>
                <w:sz w:val="22"/>
                <w:szCs w:val="22"/>
                <w:u w:val="none"/>
                <w:lang w:val="en-US" w:eastAsia="zh-CN"/>
              </w:rPr>
            </w:pPr>
            <w:r>
              <w:rPr>
                <w:rFonts w:hint="eastAsia" w:ascii="Times New Roman" w:hAnsi="Times New Roman" w:eastAsia="宋体" w:cs="Times New Roman"/>
                <w:color w:val="auto"/>
                <w:sz w:val="22"/>
                <w:szCs w:val="22"/>
                <w:u w:val="none"/>
                <w:lang w:val="en-US" w:eastAsia="zh-CN"/>
              </w:rPr>
              <w:t>消防泵房（一备一用）</w:t>
            </w:r>
          </w:p>
        </w:tc>
      </w:tr>
    </w:tbl>
    <w:p w14:paraId="2E7D55EE">
      <w:pPr>
        <w:pStyle w:val="4"/>
        <w:numPr>
          <w:ilvl w:val="3"/>
          <w:numId w:val="10"/>
        </w:numPr>
        <w:tabs>
          <w:tab w:val="left" w:pos="1276"/>
          <w:tab w:val="left" w:pos="1358"/>
          <w:tab w:val="left" w:pos="2153"/>
          <w:tab w:val="left" w:pos="2183"/>
        </w:tabs>
        <w:spacing w:before="15"/>
        <w:ind w:left="1358"/>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应急救援人员</w:t>
      </w:r>
      <w:r>
        <w:rPr>
          <w:rFonts w:hint="eastAsia" w:ascii="Times New Roman" w:hAnsi="Times New Roman" w:cs="Times New Roman"/>
          <w:color w:val="auto"/>
          <w:u w:val="none"/>
          <w:lang w:eastAsia="zh-CN"/>
        </w:rPr>
        <w:t>个体防护装备</w:t>
      </w:r>
      <w:r>
        <w:rPr>
          <w:rFonts w:hint="default" w:ascii="Times New Roman" w:hAnsi="Times New Roman" w:eastAsia="宋体" w:cs="Times New Roman"/>
          <w:color w:val="auto"/>
          <w:u w:val="none"/>
        </w:rPr>
        <w:t>配备要求</w:t>
      </w:r>
      <w:bookmarkEnd w:id="95"/>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9"/>
        <w:gridCol w:w="3145"/>
        <w:gridCol w:w="2313"/>
        <w:gridCol w:w="2052"/>
      </w:tblGrid>
      <w:tr w14:paraId="6D80B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dxa"/>
            <w:noWrap w:val="0"/>
            <w:vAlign w:val="center"/>
          </w:tcPr>
          <w:p w14:paraId="54226C48">
            <w:pPr>
              <w:autoSpaceDE w:val="0"/>
              <w:autoSpaceDN w:val="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序号</w:t>
            </w:r>
          </w:p>
        </w:tc>
        <w:tc>
          <w:tcPr>
            <w:tcW w:w="3145" w:type="dxa"/>
            <w:noWrap w:val="0"/>
            <w:vAlign w:val="center"/>
          </w:tcPr>
          <w:p w14:paraId="12CDB9E1">
            <w:pPr>
              <w:autoSpaceDE w:val="0"/>
              <w:autoSpaceDN w:val="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名称</w:t>
            </w:r>
          </w:p>
        </w:tc>
        <w:tc>
          <w:tcPr>
            <w:tcW w:w="2313" w:type="dxa"/>
            <w:noWrap w:val="0"/>
            <w:vAlign w:val="center"/>
          </w:tcPr>
          <w:p w14:paraId="4137B1E7">
            <w:pPr>
              <w:autoSpaceDE w:val="0"/>
              <w:autoSpaceDN w:val="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配备</w:t>
            </w:r>
          </w:p>
        </w:tc>
        <w:tc>
          <w:tcPr>
            <w:tcW w:w="2052" w:type="dxa"/>
            <w:noWrap w:val="0"/>
            <w:vAlign w:val="center"/>
          </w:tcPr>
          <w:p w14:paraId="0EC0D889">
            <w:pPr>
              <w:autoSpaceDE w:val="0"/>
              <w:autoSpaceDN w:val="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备注</w:t>
            </w:r>
          </w:p>
        </w:tc>
      </w:tr>
      <w:tr w14:paraId="759ED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dxa"/>
            <w:noWrap w:val="0"/>
            <w:vAlign w:val="center"/>
          </w:tcPr>
          <w:p w14:paraId="772C4625">
            <w:pPr>
              <w:autoSpaceDE w:val="0"/>
              <w:autoSpaceDN w:val="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1</w:t>
            </w:r>
          </w:p>
        </w:tc>
        <w:tc>
          <w:tcPr>
            <w:tcW w:w="3145" w:type="dxa"/>
            <w:noWrap w:val="0"/>
            <w:vAlign w:val="center"/>
          </w:tcPr>
          <w:p w14:paraId="08F1A73A">
            <w:pPr>
              <w:autoSpaceDE w:val="0"/>
              <w:autoSpaceDN w:val="0"/>
              <w:jc w:val="center"/>
              <w:rPr>
                <w:rFonts w:hint="eastAsia"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安全帽</w:t>
            </w:r>
          </w:p>
        </w:tc>
        <w:tc>
          <w:tcPr>
            <w:tcW w:w="2313" w:type="dxa"/>
            <w:noWrap w:val="0"/>
            <w:vAlign w:val="center"/>
          </w:tcPr>
          <w:p w14:paraId="3FAA70BF">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1个/人</w:t>
            </w:r>
          </w:p>
        </w:tc>
        <w:tc>
          <w:tcPr>
            <w:tcW w:w="2052" w:type="dxa"/>
            <w:noWrap w:val="0"/>
            <w:vAlign w:val="center"/>
          </w:tcPr>
          <w:p w14:paraId="22C9F778">
            <w:pPr>
              <w:autoSpaceDE w:val="0"/>
              <w:autoSpaceDN w:val="0"/>
              <w:jc w:val="center"/>
              <w:rPr>
                <w:rFonts w:hint="default" w:ascii="Times New Roman" w:hAnsi="Times New Roman" w:eastAsia="宋体" w:cs="Times New Roman"/>
                <w:color w:val="auto"/>
                <w:sz w:val="22"/>
                <w:szCs w:val="22"/>
                <w:u w:val="none"/>
              </w:rPr>
            </w:pPr>
          </w:p>
        </w:tc>
      </w:tr>
      <w:tr w14:paraId="6CCC0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dxa"/>
            <w:noWrap w:val="0"/>
            <w:vAlign w:val="center"/>
          </w:tcPr>
          <w:p w14:paraId="0FEB7B69">
            <w:pPr>
              <w:autoSpaceDE w:val="0"/>
              <w:autoSpaceDN w:val="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2</w:t>
            </w:r>
          </w:p>
        </w:tc>
        <w:tc>
          <w:tcPr>
            <w:tcW w:w="3145" w:type="dxa"/>
            <w:noWrap w:val="0"/>
            <w:vAlign w:val="center"/>
          </w:tcPr>
          <w:p w14:paraId="4392C8B2">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防腐蚀液护目镜</w:t>
            </w:r>
          </w:p>
        </w:tc>
        <w:tc>
          <w:tcPr>
            <w:tcW w:w="2313" w:type="dxa"/>
            <w:noWrap w:val="0"/>
            <w:vAlign w:val="center"/>
          </w:tcPr>
          <w:p w14:paraId="2464DF0A">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1付/人</w:t>
            </w:r>
          </w:p>
        </w:tc>
        <w:tc>
          <w:tcPr>
            <w:tcW w:w="2052" w:type="dxa"/>
            <w:noWrap w:val="0"/>
            <w:vAlign w:val="center"/>
          </w:tcPr>
          <w:p w14:paraId="001F2B83">
            <w:pPr>
              <w:autoSpaceDE w:val="0"/>
              <w:autoSpaceDN w:val="0"/>
              <w:jc w:val="center"/>
              <w:rPr>
                <w:rFonts w:hint="default" w:ascii="Times New Roman" w:hAnsi="Times New Roman" w:eastAsia="宋体" w:cs="Times New Roman"/>
                <w:color w:val="auto"/>
                <w:sz w:val="21"/>
                <w:szCs w:val="22"/>
                <w:u w:val="none"/>
              </w:rPr>
            </w:pPr>
          </w:p>
        </w:tc>
      </w:tr>
      <w:tr w14:paraId="66992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dxa"/>
            <w:noWrap w:val="0"/>
            <w:vAlign w:val="center"/>
          </w:tcPr>
          <w:p w14:paraId="6A14755A">
            <w:pPr>
              <w:autoSpaceDE w:val="0"/>
              <w:autoSpaceDN w:val="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3</w:t>
            </w:r>
          </w:p>
        </w:tc>
        <w:tc>
          <w:tcPr>
            <w:tcW w:w="3145" w:type="dxa"/>
            <w:noWrap w:val="0"/>
            <w:vAlign w:val="center"/>
          </w:tcPr>
          <w:p w14:paraId="18EE9104">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过滤式防毒面具</w:t>
            </w:r>
          </w:p>
        </w:tc>
        <w:tc>
          <w:tcPr>
            <w:tcW w:w="2313" w:type="dxa"/>
            <w:noWrap w:val="0"/>
            <w:vAlign w:val="center"/>
          </w:tcPr>
          <w:p w14:paraId="34F98621">
            <w:pPr>
              <w:autoSpaceDE w:val="0"/>
              <w:autoSpaceDN w:val="0"/>
              <w:jc w:val="center"/>
              <w:rPr>
                <w:rFonts w:hint="default" w:ascii="Times New Roman" w:hAnsi="Times New Roman" w:eastAsia="宋体" w:cs="Times New Roman"/>
                <w:color w:val="auto"/>
                <w:sz w:val="21"/>
                <w:szCs w:val="22"/>
                <w:u w:val="none"/>
                <w:lang w:val="en-US"/>
              </w:rPr>
            </w:pPr>
            <w:r>
              <w:rPr>
                <w:rFonts w:hint="eastAsia" w:ascii="Times New Roman" w:hAnsi="Times New Roman" w:eastAsia="宋体" w:cs="Times New Roman"/>
                <w:color w:val="auto"/>
                <w:sz w:val="21"/>
                <w:szCs w:val="22"/>
                <w:u w:val="none"/>
                <w:lang w:val="en-US" w:eastAsia="zh-CN"/>
              </w:rPr>
              <w:t>当班按需</w:t>
            </w:r>
          </w:p>
        </w:tc>
        <w:tc>
          <w:tcPr>
            <w:tcW w:w="2052" w:type="dxa"/>
            <w:noWrap w:val="0"/>
            <w:vAlign w:val="center"/>
          </w:tcPr>
          <w:p w14:paraId="64D945D4">
            <w:pPr>
              <w:autoSpaceDE w:val="0"/>
              <w:autoSpaceDN w:val="0"/>
              <w:jc w:val="center"/>
              <w:rPr>
                <w:rFonts w:hint="default" w:ascii="Times New Roman" w:hAnsi="Times New Roman" w:eastAsia="宋体" w:cs="Times New Roman"/>
                <w:color w:val="auto"/>
                <w:sz w:val="22"/>
                <w:szCs w:val="22"/>
                <w:u w:val="none"/>
              </w:rPr>
            </w:pPr>
          </w:p>
        </w:tc>
      </w:tr>
      <w:tr w14:paraId="6C63F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dxa"/>
            <w:noWrap w:val="0"/>
            <w:vAlign w:val="center"/>
          </w:tcPr>
          <w:p w14:paraId="6DE5171D">
            <w:pPr>
              <w:autoSpaceDE w:val="0"/>
              <w:autoSpaceDN w:val="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4</w:t>
            </w:r>
          </w:p>
        </w:tc>
        <w:tc>
          <w:tcPr>
            <w:tcW w:w="3145" w:type="dxa"/>
            <w:noWrap w:val="0"/>
            <w:vAlign w:val="center"/>
          </w:tcPr>
          <w:p w14:paraId="18BFFCCE">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防化学品手套</w:t>
            </w:r>
          </w:p>
        </w:tc>
        <w:tc>
          <w:tcPr>
            <w:tcW w:w="2313" w:type="dxa"/>
            <w:noWrap w:val="0"/>
            <w:vAlign w:val="center"/>
          </w:tcPr>
          <w:p w14:paraId="0E529B86">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1双/人</w:t>
            </w:r>
          </w:p>
        </w:tc>
        <w:tc>
          <w:tcPr>
            <w:tcW w:w="2052" w:type="dxa"/>
            <w:noWrap w:val="0"/>
            <w:vAlign w:val="center"/>
          </w:tcPr>
          <w:p w14:paraId="475F08C4">
            <w:pPr>
              <w:autoSpaceDE w:val="0"/>
              <w:autoSpaceDN w:val="0"/>
              <w:jc w:val="center"/>
              <w:rPr>
                <w:rFonts w:hint="default" w:ascii="Times New Roman" w:hAnsi="Times New Roman" w:eastAsia="宋体" w:cs="Times New Roman"/>
                <w:color w:val="auto"/>
                <w:sz w:val="22"/>
                <w:szCs w:val="22"/>
                <w:u w:val="none"/>
                <w:lang w:val="en-US" w:eastAsia="zh-CN"/>
              </w:rPr>
            </w:pPr>
            <w:r>
              <w:rPr>
                <w:rFonts w:hint="eastAsia" w:ascii="Times New Roman" w:hAnsi="Times New Roman" w:eastAsia="宋体" w:cs="Times New Roman"/>
                <w:color w:val="auto"/>
                <w:sz w:val="22"/>
                <w:szCs w:val="22"/>
                <w:u w:val="none"/>
                <w:lang w:val="en-US" w:eastAsia="zh-CN"/>
              </w:rPr>
              <w:t>备用5双</w:t>
            </w:r>
          </w:p>
        </w:tc>
      </w:tr>
      <w:tr w14:paraId="029BE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dxa"/>
            <w:noWrap w:val="0"/>
            <w:vAlign w:val="center"/>
          </w:tcPr>
          <w:p w14:paraId="4EA2219B">
            <w:pPr>
              <w:autoSpaceDE w:val="0"/>
              <w:autoSpaceDN w:val="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5</w:t>
            </w:r>
          </w:p>
        </w:tc>
        <w:tc>
          <w:tcPr>
            <w:tcW w:w="3145" w:type="dxa"/>
            <w:noWrap w:val="0"/>
            <w:vAlign w:val="center"/>
          </w:tcPr>
          <w:p w14:paraId="7BA809D8">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断乳胶手套</w:t>
            </w:r>
          </w:p>
        </w:tc>
        <w:tc>
          <w:tcPr>
            <w:tcW w:w="2313" w:type="dxa"/>
            <w:noWrap w:val="0"/>
            <w:vAlign w:val="center"/>
          </w:tcPr>
          <w:p w14:paraId="5FCA61FE">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1双/人</w:t>
            </w:r>
          </w:p>
        </w:tc>
        <w:tc>
          <w:tcPr>
            <w:tcW w:w="2052" w:type="dxa"/>
            <w:noWrap w:val="0"/>
            <w:vAlign w:val="center"/>
          </w:tcPr>
          <w:p w14:paraId="20F17214">
            <w:pPr>
              <w:autoSpaceDE w:val="0"/>
              <w:autoSpaceDN w:val="0"/>
              <w:jc w:val="center"/>
              <w:rPr>
                <w:rFonts w:hint="default" w:ascii="Times New Roman" w:hAnsi="Times New Roman" w:eastAsia="宋体" w:cs="Times New Roman"/>
                <w:color w:val="auto"/>
                <w:sz w:val="21"/>
                <w:szCs w:val="22"/>
                <w:u w:val="none"/>
              </w:rPr>
            </w:pPr>
          </w:p>
        </w:tc>
      </w:tr>
      <w:tr w14:paraId="39C3E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dxa"/>
            <w:noWrap w:val="0"/>
            <w:vAlign w:val="center"/>
          </w:tcPr>
          <w:p w14:paraId="0170E686">
            <w:pPr>
              <w:autoSpaceDE w:val="0"/>
              <w:autoSpaceDN w:val="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6</w:t>
            </w:r>
          </w:p>
        </w:tc>
        <w:tc>
          <w:tcPr>
            <w:tcW w:w="3145" w:type="dxa"/>
            <w:noWrap w:val="0"/>
            <w:vAlign w:val="center"/>
          </w:tcPr>
          <w:p w14:paraId="0ADEB633">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cs="Times New Roman"/>
                <w:color w:val="auto"/>
                <w:sz w:val="21"/>
                <w:szCs w:val="22"/>
                <w:u w:val="single"/>
                <w:lang w:val="en-US" w:eastAsia="zh-CN"/>
              </w:rPr>
              <w:t>防腐蚀、防毒物渗透</w:t>
            </w:r>
            <w:r>
              <w:rPr>
                <w:rFonts w:hint="eastAsia" w:ascii="Times New Roman" w:hAnsi="Times New Roman" w:eastAsia="宋体" w:cs="Times New Roman"/>
                <w:color w:val="auto"/>
                <w:sz w:val="21"/>
                <w:szCs w:val="22"/>
                <w:u w:val="single"/>
                <w:lang w:val="en-US" w:eastAsia="zh-CN"/>
              </w:rPr>
              <w:t>工作服</w:t>
            </w:r>
          </w:p>
        </w:tc>
        <w:tc>
          <w:tcPr>
            <w:tcW w:w="2313" w:type="dxa"/>
            <w:noWrap w:val="0"/>
            <w:vAlign w:val="center"/>
          </w:tcPr>
          <w:p w14:paraId="47697FBD">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4套/人</w:t>
            </w:r>
          </w:p>
        </w:tc>
        <w:tc>
          <w:tcPr>
            <w:tcW w:w="2052" w:type="dxa"/>
            <w:noWrap w:val="0"/>
            <w:vAlign w:val="center"/>
          </w:tcPr>
          <w:p w14:paraId="1B45225C">
            <w:pPr>
              <w:autoSpaceDE w:val="0"/>
              <w:autoSpaceDN w:val="0"/>
              <w:jc w:val="center"/>
              <w:rPr>
                <w:rFonts w:hint="default" w:ascii="Times New Roman" w:hAnsi="Times New Roman" w:eastAsia="宋体" w:cs="Times New Roman"/>
                <w:color w:val="auto"/>
                <w:sz w:val="22"/>
                <w:szCs w:val="22"/>
                <w:u w:val="none"/>
              </w:rPr>
            </w:pPr>
          </w:p>
        </w:tc>
      </w:tr>
      <w:tr w14:paraId="5598D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dxa"/>
            <w:noWrap w:val="0"/>
            <w:vAlign w:val="center"/>
          </w:tcPr>
          <w:p w14:paraId="675674B2">
            <w:pPr>
              <w:autoSpaceDE w:val="0"/>
              <w:autoSpaceDN w:val="0"/>
              <w:jc w:val="center"/>
              <w:rPr>
                <w:rFonts w:hint="eastAsia"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7</w:t>
            </w:r>
          </w:p>
        </w:tc>
        <w:tc>
          <w:tcPr>
            <w:tcW w:w="3145" w:type="dxa"/>
            <w:noWrap w:val="0"/>
            <w:vAlign w:val="center"/>
          </w:tcPr>
          <w:p w14:paraId="23A06987">
            <w:pPr>
              <w:autoSpaceDE w:val="0"/>
              <w:autoSpaceDN w:val="0"/>
              <w:jc w:val="center"/>
              <w:rPr>
                <w:rFonts w:hint="eastAsia"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工作鞋（绝缘皮鞋）</w:t>
            </w:r>
          </w:p>
        </w:tc>
        <w:tc>
          <w:tcPr>
            <w:tcW w:w="2313" w:type="dxa"/>
            <w:noWrap w:val="0"/>
            <w:vAlign w:val="center"/>
          </w:tcPr>
          <w:p w14:paraId="49F84014">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1双/人</w:t>
            </w:r>
          </w:p>
        </w:tc>
        <w:tc>
          <w:tcPr>
            <w:tcW w:w="2052" w:type="dxa"/>
            <w:noWrap w:val="0"/>
            <w:vAlign w:val="center"/>
          </w:tcPr>
          <w:p w14:paraId="71852736">
            <w:pPr>
              <w:autoSpaceDE w:val="0"/>
              <w:autoSpaceDN w:val="0"/>
              <w:jc w:val="center"/>
              <w:rPr>
                <w:rFonts w:hint="default" w:ascii="Times New Roman" w:hAnsi="Times New Roman" w:eastAsia="宋体" w:cs="Times New Roman"/>
                <w:color w:val="auto"/>
                <w:sz w:val="22"/>
                <w:szCs w:val="22"/>
                <w:u w:val="none"/>
              </w:rPr>
            </w:pPr>
          </w:p>
        </w:tc>
      </w:tr>
      <w:tr w14:paraId="2FA9A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dxa"/>
            <w:noWrap w:val="0"/>
            <w:vAlign w:val="center"/>
          </w:tcPr>
          <w:p w14:paraId="1F0D9C8C">
            <w:pPr>
              <w:autoSpaceDE w:val="0"/>
              <w:autoSpaceDN w:val="0"/>
              <w:jc w:val="center"/>
              <w:rPr>
                <w:rFonts w:hint="eastAsia"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8</w:t>
            </w:r>
          </w:p>
        </w:tc>
        <w:tc>
          <w:tcPr>
            <w:tcW w:w="3145" w:type="dxa"/>
            <w:noWrap w:val="0"/>
            <w:vAlign w:val="center"/>
          </w:tcPr>
          <w:p w14:paraId="29176190">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手电筒（防爆型）</w:t>
            </w:r>
          </w:p>
        </w:tc>
        <w:tc>
          <w:tcPr>
            <w:tcW w:w="2313" w:type="dxa"/>
            <w:noWrap w:val="0"/>
            <w:vAlign w:val="center"/>
          </w:tcPr>
          <w:p w14:paraId="4E26FE59">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1个/人</w:t>
            </w:r>
          </w:p>
        </w:tc>
        <w:tc>
          <w:tcPr>
            <w:tcW w:w="2052" w:type="dxa"/>
            <w:noWrap w:val="0"/>
            <w:vAlign w:val="center"/>
          </w:tcPr>
          <w:p w14:paraId="622C5CB5">
            <w:pPr>
              <w:autoSpaceDE w:val="0"/>
              <w:autoSpaceDN w:val="0"/>
              <w:jc w:val="center"/>
              <w:rPr>
                <w:rFonts w:hint="default" w:ascii="Times New Roman" w:hAnsi="Times New Roman" w:eastAsia="宋体" w:cs="Times New Roman"/>
                <w:color w:val="auto"/>
                <w:sz w:val="22"/>
                <w:szCs w:val="22"/>
                <w:u w:val="none"/>
              </w:rPr>
            </w:pPr>
          </w:p>
        </w:tc>
      </w:tr>
      <w:tr w14:paraId="0FA54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dxa"/>
            <w:noWrap w:val="0"/>
            <w:vAlign w:val="center"/>
          </w:tcPr>
          <w:p w14:paraId="1E78AC85">
            <w:pPr>
              <w:autoSpaceDE w:val="0"/>
              <w:autoSpaceDN w:val="0"/>
              <w:jc w:val="center"/>
              <w:rPr>
                <w:rFonts w:hint="eastAsia"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9</w:t>
            </w:r>
          </w:p>
        </w:tc>
        <w:tc>
          <w:tcPr>
            <w:tcW w:w="3145" w:type="dxa"/>
            <w:noWrap w:val="0"/>
            <w:vAlign w:val="center"/>
          </w:tcPr>
          <w:p w14:paraId="15DFA656">
            <w:pPr>
              <w:autoSpaceDE w:val="0"/>
              <w:autoSpaceDN w:val="0"/>
              <w:jc w:val="center"/>
              <w:rPr>
                <w:rFonts w:hint="eastAsia"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雨衣</w:t>
            </w:r>
          </w:p>
        </w:tc>
        <w:tc>
          <w:tcPr>
            <w:tcW w:w="2313" w:type="dxa"/>
            <w:noWrap w:val="0"/>
            <w:vAlign w:val="center"/>
          </w:tcPr>
          <w:p w14:paraId="5493120F">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1件/人</w:t>
            </w:r>
          </w:p>
        </w:tc>
        <w:tc>
          <w:tcPr>
            <w:tcW w:w="2052" w:type="dxa"/>
            <w:noWrap w:val="0"/>
            <w:vAlign w:val="center"/>
          </w:tcPr>
          <w:p w14:paraId="5EC8E30F">
            <w:pPr>
              <w:autoSpaceDE w:val="0"/>
              <w:autoSpaceDN w:val="0"/>
              <w:jc w:val="center"/>
              <w:rPr>
                <w:rFonts w:hint="default" w:ascii="Times New Roman" w:hAnsi="Times New Roman" w:eastAsia="宋体" w:cs="Times New Roman"/>
                <w:color w:val="auto"/>
                <w:sz w:val="22"/>
                <w:szCs w:val="22"/>
                <w:u w:val="none"/>
              </w:rPr>
            </w:pPr>
          </w:p>
        </w:tc>
      </w:tr>
      <w:tr w14:paraId="152D9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dxa"/>
            <w:noWrap w:val="0"/>
            <w:vAlign w:val="center"/>
          </w:tcPr>
          <w:p w14:paraId="0F8C9F3C">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10</w:t>
            </w:r>
          </w:p>
        </w:tc>
        <w:tc>
          <w:tcPr>
            <w:tcW w:w="3145" w:type="dxa"/>
            <w:noWrap w:val="0"/>
            <w:vAlign w:val="center"/>
          </w:tcPr>
          <w:p w14:paraId="6FE5FDAD">
            <w:pPr>
              <w:autoSpaceDE w:val="0"/>
              <w:autoSpaceDN w:val="0"/>
              <w:jc w:val="center"/>
              <w:rPr>
                <w:rFonts w:hint="eastAsia"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水鞋</w:t>
            </w:r>
          </w:p>
        </w:tc>
        <w:tc>
          <w:tcPr>
            <w:tcW w:w="2313" w:type="dxa"/>
            <w:noWrap w:val="0"/>
            <w:vAlign w:val="center"/>
          </w:tcPr>
          <w:p w14:paraId="227B7F50">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1双/人</w:t>
            </w:r>
          </w:p>
        </w:tc>
        <w:tc>
          <w:tcPr>
            <w:tcW w:w="2052" w:type="dxa"/>
            <w:noWrap w:val="0"/>
            <w:vAlign w:val="center"/>
          </w:tcPr>
          <w:p w14:paraId="0F507335">
            <w:pPr>
              <w:autoSpaceDE w:val="0"/>
              <w:autoSpaceDN w:val="0"/>
              <w:jc w:val="center"/>
              <w:rPr>
                <w:rFonts w:hint="default" w:ascii="Times New Roman" w:hAnsi="Times New Roman" w:eastAsia="宋体" w:cs="Times New Roman"/>
                <w:color w:val="auto"/>
                <w:sz w:val="22"/>
                <w:szCs w:val="22"/>
                <w:u w:val="none"/>
              </w:rPr>
            </w:pPr>
          </w:p>
        </w:tc>
      </w:tr>
      <w:tr w14:paraId="6808A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dxa"/>
            <w:noWrap w:val="0"/>
            <w:vAlign w:val="center"/>
          </w:tcPr>
          <w:p w14:paraId="2C60EE58">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11</w:t>
            </w:r>
          </w:p>
        </w:tc>
        <w:tc>
          <w:tcPr>
            <w:tcW w:w="3145" w:type="dxa"/>
            <w:noWrap w:val="0"/>
            <w:vAlign w:val="center"/>
          </w:tcPr>
          <w:p w14:paraId="7CB52B2F">
            <w:pPr>
              <w:autoSpaceDE w:val="0"/>
              <w:autoSpaceDN w:val="0"/>
              <w:jc w:val="center"/>
              <w:rPr>
                <w:rFonts w:hint="default" w:ascii="Times New Roman" w:hAnsi="Times New Roman" w:eastAsia="宋体" w:cs="Times New Roman"/>
                <w:color w:val="auto"/>
                <w:sz w:val="21"/>
                <w:szCs w:val="22"/>
                <w:u w:val="none"/>
                <w:lang w:val="en-US" w:eastAsia="zh-CN"/>
              </w:rPr>
            </w:pPr>
            <w:r>
              <w:rPr>
                <w:rFonts w:hint="eastAsia" w:ascii="Times New Roman" w:hAnsi="Times New Roman" w:eastAsia="宋体" w:cs="Times New Roman"/>
                <w:color w:val="auto"/>
                <w:sz w:val="21"/>
                <w:szCs w:val="22"/>
                <w:u w:val="none"/>
                <w:lang w:val="en-US" w:eastAsia="zh-CN"/>
              </w:rPr>
              <w:t>电气绝缘手套</w:t>
            </w:r>
          </w:p>
        </w:tc>
        <w:tc>
          <w:tcPr>
            <w:tcW w:w="2313" w:type="dxa"/>
            <w:noWrap w:val="0"/>
            <w:vAlign w:val="center"/>
          </w:tcPr>
          <w:p w14:paraId="3798957A">
            <w:pPr>
              <w:autoSpaceDE w:val="0"/>
              <w:autoSpaceDN w:val="0"/>
              <w:jc w:val="center"/>
              <w:rPr>
                <w:rFonts w:hint="default" w:ascii="Times New Roman" w:hAnsi="Times New Roman" w:eastAsia="宋体" w:cs="Times New Roman"/>
                <w:color w:val="auto"/>
                <w:sz w:val="21"/>
                <w:szCs w:val="22"/>
                <w:u w:val="none"/>
              </w:rPr>
            </w:pPr>
            <w:r>
              <w:rPr>
                <w:rFonts w:hint="eastAsia" w:ascii="Times New Roman" w:hAnsi="Times New Roman" w:eastAsia="宋体" w:cs="Times New Roman"/>
                <w:color w:val="auto"/>
                <w:sz w:val="21"/>
                <w:szCs w:val="22"/>
                <w:u w:val="none"/>
                <w:lang w:val="en-US" w:eastAsia="zh-CN"/>
              </w:rPr>
              <w:t>1双/人</w:t>
            </w:r>
          </w:p>
        </w:tc>
        <w:tc>
          <w:tcPr>
            <w:tcW w:w="2052" w:type="dxa"/>
            <w:noWrap w:val="0"/>
            <w:vAlign w:val="center"/>
          </w:tcPr>
          <w:p w14:paraId="31656A99">
            <w:pPr>
              <w:autoSpaceDE w:val="0"/>
              <w:autoSpaceDN w:val="0"/>
              <w:jc w:val="center"/>
              <w:rPr>
                <w:rFonts w:hint="default" w:ascii="Times New Roman" w:hAnsi="Times New Roman" w:eastAsia="宋体" w:cs="Times New Roman"/>
                <w:color w:val="auto"/>
                <w:sz w:val="22"/>
                <w:szCs w:val="22"/>
                <w:u w:val="none"/>
              </w:rPr>
            </w:pPr>
          </w:p>
        </w:tc>
      </w:tr>
    </w:tbl>
    <w:p w14:paraId="394FFD47">
      <w:pPr>
        <w:pStyle w:val="3"/>
        <w:numPr>
          <w:ilvl w:val="1"/>
          <w:numId w:val="9"/>
        </w:numPr>
        <w:spacing w:before="210" w:after="210" w:line="500" w:lineRule="exact"/>
        <w:ind w:left="567" w:leftChars="0" w:hanging="567" w:firstLineChars="0"/>
        <w:rPr>
          <w:rFonts w:hint="default" w:ascii="Times New Roman" w:hAnsi="Times New Roman" w:eastAsia="宋体" w:cs="Times New Roman"/>
          <w:b/>
          <w:bCs w:val="0"/>
          <w:color w:val="000000"/>
          <w:sz w:val="28"/>
          <w:szCs w:val="22"/>
          <w:lang w:val="en-US" w:eastAsia="zh-CN"/>
        </w:rPr>
      </w:pPr>
      <w:bookmarkStart w:id="96" w:name="_bookmark40"/>
      <w:bookmarkEnd w:id="96"/>
      <w:bookmarkStart w:id="97" w:name="_Toc26534"/>
      <w:r>
        <w:rPr>
          <w:rFonts w:hint="default" w:ascii="Times New Roman" w:hAnsi="Times New Roman" w:eastAsia="宋体" w:cs="Times New Roman"/>
          <w:b/>
          <w:bCs w:val="0"/>
          <w:color w:val="000000"/>
          <w:sz w:val="28"/>
          <w:szCs w:val="22"/>
          <w:lang w:val="en-US" w:eastAsia="zh-CN"/>
        </w:rPr>
        <w:t>突发环境事件应急预案编制要求</w:t>
      </w:r>
      <w:bookmarkEnd w:id="97"/>
    </w:p>
    <w:p w14:paraId="5C17DAC2">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制定事故应急预案应根据全厂布局、系统关联、岗位工序、毒害物对象等要素，结合周边环境及特定条件，对潜在事故发生确定对策措施。因此，应急预案只有在项目设计、施工、运行中不断加以确定和完善，才能做到行之有效。</w:t>
      </w:r>
    </w:p>
    <w:p w14:paraId="0EBF05CC">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本项目建成后，建立健全各级（企业、园区、钦州市）事故应急救援网络。业主应与当地政府有关部门协调一致，企业的事故应急网络应与当地政府的事故应急网络联网。</w:t>
      </w:r>
    </w:p>
    <w:p w14:paraId="02D0FE9F">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eastAsia" w:ascii="Times New Roman" w:hAnsi="Times New Roman" w:cs="Times New Roman"/>
          <w:b/>
          <w:bCs/>
          <w:color w:val="000000"/>
          <w:kern w:val="0"/>
          <w:sz w:val="24"/>
          <w:szCs w:val="24"/>
          <w:lang w:val="en-US" w:eastAsia="zh-CN"/>
        </w:rPr>
        <w:t>现有工程</w:t>
      </w:r>
      <w:r>
        <w:rPr>
          <w:rFonts w:hint="default" w:ascii="Times New Roman" w:hAnsi="Times New Roman" w:eastAsia="宋体" w:cs="Times New Roman"/>
          <w:b/>
          <w:bCs/>
          <w:color w:val="000000"/>
          <w:kern w:val="0"/>
          <w:sz w:val="24"/>
          <w:szCs w:val="24"/>
          <w:lang w:val="en-US" w:eastAsia="zh-CN"/>
        </w:rPr>
        <w:t>应急预案</w:t>
      </w:r>
    </w:p>
    <w:p w14:paraId="6D94EB0C">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u w:val="none"/>
          <w:lang w:val="en-US" w:eastAsia="zh-CN"/>
        </w:rPr>
      </w:pPr>
      <w:r>
        <w:rPr>
          <w:rFonts w:hint="eastAsia" w:cs="Times New Roman"/>
          <w:color w:val="000000"/>
          <w:spacing w:val="10"/>
          <w:sz w:val="24"/>
          <w:szCs w:val="32"/>
          <w:u w:val="none"/>
          <w:lang w:val="en-US" w:eastAsia="zh-CN"/>
        </w:rPr>
        <w:t>现有工程属于一般货物贮存和简单矿石加工，不涉及危险物质贮存和使用，现有工程未进行也无需进行突发环境事件应急预案备案。</w:t>
      </w:r>
    </w:p>
    <w:p w14:paraId="61E315FE">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本项目应急预案</w:t>
      </w:r>
    </w:p>
    <w:p w14:paraId="5E893CAF">
      <w:pPr>
        <w:autoSpaceDE w:val="0"/>
        <w:autoSpaceDN w:val="0"/>
        <w:spacing w:line="500" w:lineRule="exact"/>
        <w:ind w:left="116" w:right="395" w:firstLine="480"/>
        <w:rPr>
          <w:rFonts w:hint="default" w:ascii="Times New Roman" w:hAnsi="Times New Roman" w:eastAsia="宋体" w:cs="Times New Roman"/>
          <w:color w:val="000000"/>
          <w:spacing w:val="-6"/>
          <w:sz w:val="24"/>
          <w:szCs w:val="24"/>
        </w:rPr>
      </w:pPr>
      <w:r>
        <w:rPr>
          <w:rFonts w:hint="default" w:ascii="Times New Roman" w:hAnsi="Times New Roman" w:eastAsia="宋体" w:cs="Times New Roman"/>
          <w:color w:val="000000"/>
          <w:spacing w:val="-6"/>
          <w:sz w:val="24"/>
          <w:szCs w:val="24"/>
        </w:rPr>
        <w:t>1、总体要求</w:t>
      </w:r>
    </w:p>
    <w:p w14:paraId="21807C46">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为确保企业安全生产及公司职工和周边群众生命财产安全、防止突发性重大事故发生，并在发生事故后能迅速有效、有条不紊地处理和控制事故扩大，把损失和危害减少到最低程度，结合该企业实际、本着</w:t>
      </w:r>
      <w:r>
        <w:rPr>
          <w:rFonts w:hint="eastAsia"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自救为主、外援为辅、统一指挥、当机立断</w:t>
      </w:r>
      <w:r>
        <w:rPr>
          <w:rFonts w:hint="eastAsia"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的原则，分储存区、车间级及厂级设立三级应急预案体系。</w:t>
      </w:r>
    </w:p>
    <w:p w14:paraId="19B0E8E9">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同时</w:t>
      </w:r>
      <w:r>
        <w:rPr>
          <w:rFonts w:hint="default" w:ascii="Times New Roman" w:hAnsi="Times New Roman" w:eastAsia="宋体" w:cs="Times New Roman"/>
          <w:color w:val="auto"/>
          <w:spacing w:val="10"/>
          <w:sz w:val="24"/>
          <w:szCs w:val="32"/>
          <w:lang w:val="en-US" w:eastAsia="zh-CN"/>
        </w:rPr>
        <w:t>，依据《关于进一步加强环境影响评价管理防范环境风险的通知》（环发</w:t>
      </w:r>
      <w:r>
        <w:rPr>
          <w:rFonts w:hint="eastAsia" w:cs="Times New Roman"/>
          <w:color w:val="auto"/>
          <w:spacing w:val="10"/>
          <w:sz w:val="24"/>
          <w:szCs w:val="32"/>
          <w:lang w:val="en-US" w:eastAsia="zh-CN"/>
        </w:rPr>
        <w:t>〔2012〕77号</w:t>
      </w:r>
      <w:r>
        <w:rPr>
          <w:rFonts w:hint="default" w:ascii="Times New Roman" w:hAnsi="Times New Roman" w:eastAsia="宋体" w:cs="Times New Roman"/>
          <w:color w:val="auto"/>
          <w:spacing w:val="10"/>
          <w:sz w:val="24"/>
          <w:szCs w:val="32"/>
          <w:lang w:val="en-US" w:eastAsia="zh-CN"/>
        </w:rPr>
        <w:t>）的要求，企业应按照《突发环境事件应急预案管理暂行办法》（环发</w:t>
      </w:r>
      <w:r>
        <w:rPr>
          <w:rFonts w:hint="eastAsia" w:cs="Times New Roman"/>
          <w:color w:val="auto"/>
          <w:spacing w:val="10"/>
          <w:sz w:val="24"/>
          <w:szCs w:val="32"/>
          <w:lang w:val="en-US" w:eastAsia="zh-CN"/>
        </w:rPr>
        <w:t>〔2010〕113号</w:t>
      </w:r>
      <w:r>
        <w:rPr>
          <w:rFonts w:hint="default" w:ascii="Times New Roman" w:hAnsi="Times New Roman" w:eastAsia="宋体" w:cs="Times New Roman"/>
          <w:color w:val="auto"/>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等相关规定编制风险应急预案，并与工业园区、当地</w:t>
      </w:r>
      <w:r>
        <w:rPr>
          <w:rFonts w:hint="eastAsia" w:cs="Times New Roman"/>
          <w:color w:val="000000"/>
          <w:spacing w:val="10"/>
          <w:sz w:val="24"/>
          <w:szCs w:val="32"/>
          <w:lang w:val="en-US" w:eastAsia="zh-CN"/>
        </w:rPr>
        <w:t>生态环境</w:t>
      </w:r>
      <w:r>
        <w:rPr>
          <w:rFonts w:hint="default" w:ascii="Times New Roman" w:hAnsi="Times New Roman" w:eastAsia="宋体" w:cs="Times New Roman"/>
          <w:color w:val="000000"/>
          <w:spacing w:val="10"/>
          <w:sz w:val="24"/>
          <w:szCs w:val="32"/>
          <w:lang w:val="en-US" w:eastAsia="zh-CN"/>
        </w:rPr>
        <w:t>部门联动，提高企业环境风险防控能力。</w:t>
      </w:r>
    </w:p>
    <w:p w14:paraId="68710943">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2、应急预案内容</w:t>
      </w:r>
    </w:p>
    <w:p w14:paraId="0868E37B">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根据《突发环境事件应急预案编制导则（试行）》，本项目应急预案内容见表</w:t>
      </w:r>
      <w:r>
        <w:rPr>
          <w:rFonts w:hint="eastAsia" w:cs="Times New Roman"/>
          <w:color w:val="000000"/>
          <w:spacing w:val="10"/>
          <w:sz w:val="24"/>
          <w:szCs w:val="32"/>
          <w:lang w:val="en-US" w:eastAsia="zh-CN"/>
        </w:rPr>
        <w:t>1-57</w:t>
      </w:r>
      <w:r>
        <w:rPr>
          <w:rFonts w:hint="default" w:ascii="Times New Roman" w:hAnsi="Times New Roman" w:eastAsia="宋体" w:cs="Times New Roman"/>
          <w:color w:val="000000"/>
          <w:spacing w:val="10"/>
          <w:sz w:val="24"/>
          <w:szCs w:val="32"/>
          <w:lang w:val="en-US" w:eastAsia="zh-CN"/>
        </w:rPr>
        <w:t>。</w:t>
      </w:r>
    </w:p>
    <w:p w14:paraId="65483566">
      <w:pPr>
        <w:pStyle w:val="4"/>
        <w:numPr>
          <w:ilvl w:val="3"/>
          <w:numId w:val="10"/>
        </w:numPr>
        <w:tabs>
          <w:tab w:val="left" w:pos="1276"/>
          <w:tab w:val="left" w:pos="1358"/>
          <w:tab w:val="left" w:pos="2153"/>
          <w:tab w:val="left" w:pos="2183"/>
        </w:tabs>
        <w:spacing w:before="15"/>
        <w:ind w:left="1358"/>
        <w:rPr>
          <w:rFonts w:hint="default" w:ascii="Times New Roman" w:hAnsi="Times New Roman" w:eastAsia="宋体" w:cs="Times New Roman"/>
          <w:color w:val="000000"/>
        </w:rPr>
      </w:pPr>
      <w:bookmarkStart w:id="98" w:name="_Toc23919"/>
      <w:r>
        <w:rPr>
          <w:rFonts w:hint="default" w:ascii="Times New Roman" w:hAnsi="Times New Roman" w:eastAsia="宋体" w:cs="Times New Roman"/>
          <w:color w:val="000000"/>
        </w:rPr>
        <w:t>应急预案内容</w:t>
      </w:r>
      <w:bookmarkEnd w:id="98"/>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4"/>
        <w:gridCol w:w="1770"/>
        <w:gridCol w:w="5909"/>
      </w:tblGrid>
      <w:tr w14:paraId="26A7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34" w:type="dxa"/>
            <w:noWrap w:val="0"/>
            <w:vAlign w:val="center"/>
          </w:tcPr>
          <w:p w14:paraId="7C811668">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序号</w:t>
            </w:r>
          </w:p>
        </w:tc>
        <w:tc>
          <w:tcPr>
            <w:tcW w:w="1770" w:type="dxa"/>
            <w:noWrap w:val="0"/>
            <w:vAlign w:val="center"/>
          </w:tcPr>
          <w:p w14:paraId="0194D62E">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项目</w:t>
            </w:r>
          </w:p>
        </w:tc>
        <w:tc>
          <w:tcPr>
            <w:tcW w:w="5909" w:type="dxa"/>
            <w:noWrap w:val="0"/>
            <w:vAlign w:val="center"/>
          </w:tcPr>
          <w:p w14:paraId="5891ABB7">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内容及要求</w:t>
            </w:r>
          </w:p>
        </w:tc>
      </w:tr>
      <w:tr w14:paraId="35A4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634" w:type="dxa"/>
            <w:noWrap w:val="0"/>
            <w:vAlign w:val="center"/>
          </w:tcPr>
          <w:p w14:paraId="36AF94F8">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1</w:t>
            </w:r>
          </w:p>
        </w:tc>
        <w:tc>
          <w:tcPr>
            <w:tcW w:w="1770" w:type="dxa"/>
            <w:noWrap w:val="0"/>
            <w:vAlign w:val="center"/>
          </w:tcPr>
          <w:p w14:paraId="5EA3C4B4">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总则</w:t>
            </w:r>
          </w:p>
        </w:tc>
        <w:tc>
          <w:tcPr>
            <w:tcW w:w="5909" w:type="dxa"/>
            <w:noWrap w:val="0"/>
            <w:vAlign w:val="center"/>
          </w:tcPr>
          <w:p w14:paraId="5B6B7A90">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编制目的、编制依据、适用范围、应急预案体系、工作原则</w:t>
            </w:r>
          </w:p>
        </w:tc>
      </w:tr>
      <w:tr w14:paraId="1023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34" w:type="dxa"/>
            <w:noWrap w:val="0"/>
            <w:vAlign w:val="center"/>
          </w:tcPr>
          <w:p w14:paraId="4CB18384">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2</w:t>
            </w:r>
          </w:p>
        </w:tc>
        <w:tc>
          <w:tcPr>
            <w:tcW w:w="1770" w:type="dxa"/>
            <w:noWrap w:val="0"/>
            <w:vAlign w:val="center"/>
          </w:tcPr>
          <w:p w14:paraId="37AE35FC">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基本情况</w:t>
            </w:r>
          </w:p>
        </w:tc>
        <w:tc>
          <w:tcPr>
            <w:tcW w:w="5909" w:type="dxa"/>
            <w:noWrap w:val="0"/>
            <w:vAlign w:val="center"/>
          </w:tcPr>
          <w:p w14:paraId="00814EEF">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阐述企业单位基本情况、环境风险源基本情况、周边环境状况及环境保护目标调查结果</w:t>
            </w:r>
          </w:p>
        </w:tc>
      </w:tr>
      <w:tr w14:paraId="5034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34" w:type="dxa"/>
            <w:noWrap w:val="0"/>
            <w:vAlign w:val="center"/>
          </w:tcPr>
          <w:p w14:paraId="512B6E3E">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3</w:t>
            </w:r>
          </w:p>
        </w:tc>
        <w:tc>
          <w:tcPr>
            <w:tcW w:w="1770" w:type="dxa"/>
            <w:noWrap w:val="0"/>
            <w:vAlign w:val="center"/>
          </w:tcPr>
          <w:p w14:paraId="34C36D66">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环境风险源与环境风险评价</w:t>
            </w:r>
          </w:p>
        </w:tc>
        <w:tc>
          <w:tcPr>
            <w:tcW w:w="5909" w:type="dxa"/>
            <w:noWrap w:val="0"/>
            <w:vAlign w:val="center"/>
          </w:tcPr>
          <w:p w14:paraId="5A7107DA">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阐述项目的环境风险源识别及环境风险评价结果，以及可能发生事件的后果和波及范围</w:t>
            </w:r>
          </w:p>
        </w:tc>
      </w:tr>
      <w:tr w14:paraId="7887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34" w:type="dxa"/>
            <w:noWrap w:val="0"/>
            <w:vAlign w:val="center"/>
          </w:tcPr>
          <w:p w14:paraId="775933A8">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4</w:t>
            </w:r>
          </w:p>
        </w:tc>
        <w:tc>
          <w:tcPr>
            <w:tcW w:w="1770" w:type="dxa"/>
            <w:noWrap w:val="0"/>
            <w:vAlign w:val="center"/>
          </w:tcPr>
          <w:p w14:paraId="1398DBDB">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组织机构及职责</w:t>
            </w:r>
          </w:p>
        </w:tc>
        <w:tc>
          <w:tcPr>
            <w:tcW w:w="5909" w:type="dxa"/>
            <w:noWrap w:val="0"/>
            <w:vAlign w:val="center"/>
          </w:tcPr>
          <w:p w14:paraId="6289F4D1">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组织体系、指挥机构组成及职责</w:t>
            </w:r>
          </w:p>
        </w:tc>
      </w:tr>
      <w:tr w14:paraId="1737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34" w:type="dxa"/>
            <w:noWrap w:val="0"/>
            <w:vAlign w:val="center"/>
          </w:tcPr>
          <w:p w14:paraId="60BA07AA">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5</w:t>
            </w:r>
          </w:p>
        </w:tc>
        <w:tc>
          <w:tcPr>
            <w:tcW w:w="1770" w:type="dxa"/>
            <w:noWrap w:val="0"/>
            <w:vAlign w:val="center"/>
          </w:tcPr>
          <w:p w14:paraId="3749AF1C">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预防与预警</w:t>
            </w:r>
          </w:p>
        </w:tc>
        <w:tc>
          <w:tcPr>
            <w:tcW w:w="5909" w:type="dxa"/>
            <w:noWrap w:val="0"/>
            <w:vAlign w:val="center"/>
          </w:tcPr>
          <w:p w14:paraId="1A82D993">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环境风险源监控、预警行动、报警、通讯联络方式</w:t>
            </w:r>
          </w:p>
        </w:tc>
      </w:tr>
      <w:tr w14:paraId="214F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34" w:type="dxa"/>
            <w:noWrap w:val="0"/>
            <w:vAlign w:val="center"/>
          </w:tcPr>
          <w:p w14:paraId="0FCB8495">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6</w:t>
            </w:r>
          </w:p>
        </w:tc>
        <w:tc>
          <w:tcPr>
            <w:tcW w:w="1770" w:type="dxa"/>
            <w:noWrap w:val="0"/>
            <w:vAlign w:val="center"/>
          </w:tcPr>
          <w:p w14:paraId="07A93217">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信息报告与通报</w:t>
            </w:r>
          </w:p>
        </w:tc>
        <w:tc>
          <w:tcPr>
            <w:tcW w:w="5909" w:type="dxa"/>
            <w:noWrap w:val="0"/>
            <w:vAlign w:val="center"/>
          </w:tcPr>
          <w:p w14:paraId="3CFACCDC">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内部报告、信息上报、信息通报、事件报告内容</w:t>
            </w:r>
          </w:p>
        </w:tc>
      </w:tr>
      <w:tr w14:paraId="05EB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34" w:type="dxa"/>
            <w:noWrap w:val="0"/>
            <w:vAlign w:val="center"/>
          </w:tcPr>
          <w:p w14:paraId="470D41C3">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7</w:t>
            </w:r>
          </w:p>
        </w:tc>
        <w:tc>
          <w:tcPr>
            <w:tcW w:w="1770" w:type="dxa"/>
            <w:noWrap w:val="0"/>
            <w:vAlign w:val="center"/>
          </w:tcPr>
          <w:p w14:paraId="2BFE6C82">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应急响应与措施</w:t>
            </w:r>
          </w:p>
        </w:tc>
        <w:tc>
          <w:tcPr>
            <w:tcW w:w="5909" w:type="dxa"/>
            <w:noWrap w:val="0"/>
            <w:vAlign w:val="center"/>
          </w:tcPr>
          <w:p w14:paraId="0BB5747E">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分级响应机制、应急措施、应急监测、应急终止、应急终止后的行动</w:t>
            </w:r>
          </w:p>
        </w:tc>
      </w:tr>
      <w:tr w14:paraId="48AB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34" w:type="dxa"/>
            <w:noWrap w:val="0"/>
            <w:vAlign w:val="center"/>
          </w:tcPr>
          <w:p w14:paraId="6F138A58">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8</w:t>
            </w:r>
          </w:p>
        </w:tc>
        <w:tc>
          <w:tcPr>
            <w:tcW w:w="1770" w:type="dxa"/>
            <w:noWrap w:val="0"/>
            <w:vAlign w:val="center"/>
          </w:tcPr>
          <w:p w14:paraId="6AB28DA5">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后期处置</w:t>
            </w:r>
          </w:p>
        </w:tc>
        <w:tc>
          <w:tcPr>
            <w:tcW w:w="5909" w:type="dxa"/>
            <w:noWrap w:val="0"/>
            <w:vAlign w:val="center"/>
          </w:tcPr>
          <w:p w14:paraId="3137ABB4">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善后处置、保险</w:t>
            </w:r>
          </w:p>
        </w:tc>
      </w:tr>
      <w:tr w14:paraId="0689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34" w:type="dxa"/>
            <w:noWrap w:val="0"/>
            <w:vAlign w:val="center"/>
          </w:tcPr>
          <w:p w14:paraId="06ECA4E6">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9</w:t>
            </w:r>
          </w:p>
        </w:tc>
        <w:tc>
          <w:tcPr>
            <w:tcW w:w="1770" w:type="dxa"/>
            <w:noWrap w:val="0"/>
            <w:vAlign w:val="center"/>
          </w:tcPr>
          <w:p w14:paraId="67C63213">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应急培训和演练</w:t>
            </w:r>
          </w:p>
        </w:tc>
        <w:tc>
          <w:tcPr>
            <w:tcW w:w="5909" w:type="dxa"/>
            <w:noWrap w:val="0"/>
            <w:vAlign w:val="center"/>
          </w:tcPr>
          <w:p w14:paraId="48DDF735">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培训、演练</w:t>
            </w:r>
          </w:p>
        </w:tc>
      </w:tr>
      <w:tr w14:paraId="6E21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34" w:type="dxa"/>
            <w:noWrap w:val="0"/>
            <w:vAlign w:val="center"/>
          </w:tcPr>
          <w:p w14:paraId="7D81BEE4">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10</w:t>
            </w:r>
          </w:p>
        </w:tc>
        <w:tc>
          <w:tcPr>
            <w:tcW w:w="1770" w:type="dxa"/>
            <w:noWrap w:val="0"/>
            <w:vAlign w:val="center"/>
          </w:tcPr>
          <w:p w14:paraId="218EC3D3">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奖惩</w:t>
            </w:r>
          </w:p>
        </w:tc>
        <w:tc>
          <w:tcPr>
            <w:tcW w:w="5909" w:type="dxa"/>
            <w:noWrap w:val="0"/>
            <w:vAlign w:val="center"/>
          </w:tcPr>
          <w:p w14:paraId="166F438D">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明确突发环境事件应急救援工作职工奖励和处罚的条件和内容</w:t>
            </w:r>
          </w:p>
        </w:tc>
      </w:tr>
      <w:tr w14:paraId="1678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634" w:type="dxa"/>
            <w:noWrap w:val="0"/>
            <w:vAlign w:val="center"/>
          </w:tcPr>
          <w:p w14:paraId="39640B23">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11</w:t>
            </w:r>
          </w:p>
        </w:tc>
        <w:tc>
          <w:tcPr>
            <w:tcW w:w="1770" w:type="dxa"/>
            <w:noWrap w:val="0"/>
            <w:vAlign w:val="center"/>
          </w:tcPr>
          <w:p w14:paraId="474B0029">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保障措施</w:t>
            </w:r>
          </w:p>
        </w:tc>
        <w:tc>
          <w:tcPr>
            <w:tcW w:w="5909" w:type="dxa"/>
            <w:noWrap w:val="0"/>
            <w:vAlign w:val="center"/>
          </w:tcPr>
          <w:p w14:paraId="44B99339">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经费及其他保障、应急物资装备保障、应急队伍保障、</w:t>
            </w:r>
            <w:r>
              <w:rPr>
                <w:rFonts w:hint="eastAsia" w:cs="Times New Roman"/>
                <w:color w:val="000000"/>
                <w:kern w:val="0"/>
                <w:sz w:val="21"/>
                <w:szCs w:val="22"/>
                <w:lang w:eastAsia="zh-CN"/>
              </w:rPr>
              <w:t>通信与信息保障</w:t>
            </w:r>
          </w:p>
        </w:tc>
      </w:tr>
      <w:tr w14:paraId="03A5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34" w:type="dxa"/>
            <w:noWrap w:val="0"/>
            <w:vAlign w:val="center"/>
          </w:tcPr>
          <w:p w14:paraId="1193BE9C">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12</w:t>
            </w:r>
          </w:p>
        </w:tc>
        <w:tc>
          <w:tcPr>
            <w:tcW w:w="1770" w:type="dxa"/>
            <w:noWrap w:val="0"/>
            <w:vAlign w:val="center"/>
          </w:tcPr>
          <w:p w14:paraId="37672596">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spacing w:val="-2"/>
                <w:kern w:val="0"/>
                <w:sz w:val="21"/>
                <w:szCs w:val="22"/>
              </w:rPr>
              <w:t>预案的评审</w:t>
            </w:r>
            <w:r>
              <w:rPr>
                <w:rFonts w:hint="default" w:ascii="Times New Roman" w:hAnsi="Times New Roman" w:eastAsia="宋体" w:cs="Times New Roman"/>
                <w:color w:val="000000"/>
                <w:spacing w:val="-2"/>
                <w:kern w:val="0"/>
                <w:sz w:val="21"/>
                <w:szCs w:val="22"/>
                <w:highlight w:val="none"/>
              </w:rPr>
              <w:t>、</w:t>
            </w:r>
            <w:r>
              <w:rPr>
                <w:rFonts w:hint="default" w:ascii="Times New Roman" w:hAnsi="Times New Roman" w:eastAsia="宋体" w:cs="Times New Roman"/>
                <w:color w:val="000000"/>
                <w:spacing w:val="-2"/>
                <w:kern w:val="0"/>
                <w:sz w:val="21"/>
                <w:szCs w:val="22"/>
              </w:rPr>
              <w:t>备</w:t>
            </w:r>
          </w:p>
          <w:p w14:paraId="7A5BB411">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spacing w:val="-2"/>
                <w:kern w:val="0"/>
                <w:sz w:val="21"/>
                <w:szCs w:val="22"/>
              </w:rPr>
              <w:t>案、发布和更新</w:t>
            </w:r>
          </w:p>
        </w:tc>
        <w:tc>
          <w:tcPr>
            <w:tcW w:w="5909" w:type="dxa"/>
            <w:noWrap w:val="0"/>
            <w:vAlign w:val="center"/>
          </w:tcPr>
          <w:p w14:paraId="2FECAA7D">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应明确预案评审、备案、发布和更新要求</w:t>
            </w:r>
          </w:p>
        </w:tc>
      </w:tr>
      <w:tr w14:paraId="1D15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34" w:type="dxa"/>
            <w:noWrap w:val="0"/>
            <w:vAlign w:val="center"/>
          </w:tcPr>
          <w:p w14:paraId="4CF9A050">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13</w:t>
            </w:r>
          </w:p>
        </w:tc>
        <w:tc>
          <w:tcPr>
            <w:tcW w:w="1770" w:type="dxa"/>
            <w:noWrap w:val="0"/>
            <w:vAlign w:val="center"/>
          </w:tcPr>
          <w:p w14:paraId="5759ADA4">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预案的实施和</w:t>
            </w:r>
            <w:r>
              <w:rPr>
                <w:rFonts w:hint="default" w:ascii="Times New Roman" w:hAnsi="Times New Roman" w:eastAsia="宋体" w:cs="Times New Roman"/>
                <w:color w:val="000000"/>
                <w:kern w:val="0"/>
                <w:sz w:val="21"/>
                <w:szCs w:val="22"/>
                <w:highlight w:val="none"/>
              </w:rPr>
              <w:t>生</w:t>
            </w:r>
          </w:p>
          <w:p w14:paraId="718CBAAF">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效时间</w:t>
            </w:r>
          </w:p>
        </w:tc>
        <w:tc>
          <w:tcPr>
            <w:tcW w:w="5909" w:type="dxa"/>
            <w:noWrap w:val="0"/>
            <w:vAlign w:val="center"/>
          </w:tcPr>
          <w:p w14:paraId="2507BF6E">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列出预案实施和生效的具体时间；预案更新的发布与通知</w:t>
            </w:r>
          </w:p>
        </w:tc>
      </w:tr>
      <w:tr w14:paraId="17A8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634" w:type="dxa"/>
            <w:noWrap w:val="0"/>
            <w:vAlign w:val="center"/>
          </w:tcPr>
          <w:p w14:paraId="54109A2F">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14</w:t>
            </w:r>
          </w:p>
        </w:tc>
        <w:tc>
          <w:tcPr>
            <w:tcW w:w="1770" w:type="dxa"/>
            <w:noWrap w:val="0"/>
            <w:vAlign w:val="center"/>
          </w:tcPr>
          <w:p w14:paraId="0A772C15">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kern w:val="0"/>
                <w:sz w:val="21"/>
                <w:szCs w:val="22"/>
              </w:rPr>
              <w:t>附件</w:t>
            </w:r>
          </w:p>
        </w:tc>
        <w:tc>
          <w:tcPr>
            <w:tcW w:w="5909" w:type="dxa"/>
            <w:noWrap w:val="0"/>
            <w:vAlign w:val="center"/>
          </w:tcPr>
          <w:p w14:paraId="7EBAD6CB">
            <w:pPr>
              <w:autoSpaceDE w:val="0"/>
              <w:autoSpaceDN w:val="0"/>
              <w:jc w:val="center"/>
              <w:rPr>
                <w:rFonts w:hint="default" w:ascii="Times New Roman" w:hAnsi="Times New Roman" w:eastAsia="宋体" w:cs="Times New Roman"/>
                <w:color w:val="000000"/>
                <w:kern w:val="0"/>
                <w:sz w:val="21"/>
                <w:szCs w:val="22"/>
              </w:rPr>
            </w:pPr>
            <w:r>
              <w:rPr>
                <w:rFonts w:hint="default" w:ascii="Times New Roman" w:hAnsi="Times New Roman" w:eastAsia="宋体" w:cs="Times New Roman"/>
                <w:color w:val="000000"/>
                <w:spacing w:val="-3"/>
                <w:kern w:val="0"/>
                <w:sz w:val="21"/>
                <w:szCs w:val="22"/>
              </w:rPr>
              <w:t>环境风险评价文件；危险废物委托处理合同；区域位置及周围环境保护目标分布、位置关系图；重大环境风险源、应急设施、应急物资储备分布、雨水和污水收集管网、污水处理设施平面布置图、监测点位图、水系分布及水源保护图等；企业单位周边区域道路交通图、疏散路线、交通管制示意图；内部应急人员的职责、姓名、电话清单；外部联系单位、人员、电话；各种制度、程</w:t>
            </w:r>
            <w:r>
              <w:rPr>
                <w:rFonts w:hint="default" w:ascii="Times New Roman" w:hAnsi="Times New Roman" w:eastAsia="宋体" w:cs="Times New Roman"/>
                <w:color w:val="000000"/>
                <w:kern w:val="0"/>
                <w:sz w:val="21"/>
                <w:szCs w:val="22"/>
              </w:rPr>
              <w:t>序、方案等。</w:t>
            </w:r>
          </w:p>
        </w:tc>
      </w:tr>
    </w:tbl>
    <w:p w14:paraId="4B8B563E">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3、预案适用范围</w:t>
      </w:r>
    </w:p>
    <w:p w14:paraId="7805B32C">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应急预案应适用于</w:t>
      </w:r>
      <w:r>
        <w:rPr>
          <w:rFonts w:hint="eastAsia" w:cs="Times New Roman"/>
          <w:color w:val="000000"/>
          <w:spacing w:val="10"/>
          <w:sz w:val="24"/>
          <w:szCs w:val="32"/>
          <w:lang w:val="en-US" w:eastAsia="zh-CN"/>
        </w:rPr>
        <w:t>钦州石化产业园区志得化学品仓储物流项目（一期）</w:t>
      </w:r>
      <w:r>
        <w:rPr>
          <w:rFonts w:hint="default" w:ascii="Times New Roman" w:hAnsi="Times New Roman" w:eastAsia="宋体" w:cs="Times New Roman"/>
          <w:color w:val="000000"/>
          <w:spacing w:val="10"/>
          <w:sz w:val="24"/>
          <w:szCs w:val="32"/>
          <w:lang w:val="en-US" w:eastAsia="zh-CN"/>
        </w:rPr>
        <w:t>正常工况下防控管理工作以及突发环境事件时的预防预警、应急处置、应急监测和救援工作。</w:t>
      </w:r>
      <w:r>
        <w:rPr>
          <w:rFonts w:hint="eastAsia" w:cs="Times New Roman"/>
          <w:color w:val="000000"/>
          <w:spacing w:val="10"/>
          <w:sz w:val="24"/>
          <w:szCs w:val="32"/>
          <w:lang w:val="en-US" w:eastAsia="zh-CN"/>
        </w:rPr>
        <w:t>超出</w:t>
      </w:r>
      <w:r>
        <w:rPr>
          <w:rFonts w:hint="default" w:ascii="Times New Roman" w:hAnsi="Times New Roman" w:eastAsia="宋体" w:cs="Times New Roman"/>
          <w:color w:val="000000"/>
          <w:spacing w:val="10"/>
          <w:sz w:val="24"/>
          <w:szCs w:val="32"/>
          <w:lang w:val="en-US" w:eastAsia="zh-CN"/>
        </w:rPr>
        <w:t>企业应急预案应急能力，则与上级政府发布的其他应急预案衔接，当上级预案启动后，本预案作为辅助执行。</w:t>
      </w:r>
    </w:p>
    <w:p w14:paraId="5E52F736">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4、预案主要内容</w:t>
      </w:r>
    </w:p>
    <w:p w14:paraId="24824B7E">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①明确组织指挥机构，包括应急领导和指挥机构、日常管理机构的人员组成和人员的职责分工，并应建立通畅有效的</w:t>
      </w:r>
      <w:r>
        <w:rPr>
          <w:rFonts w:hint="eastAsia" w:cs="Times New Roman"/>
          <w:color w:val="000000"/>
          <w:spacing w:val="10"/>
          <w:sz w:val="24"/>
          <w:szCs w:val="32"/>
          <w:lang w:val="en-US" w:eastAsia="zh-CN"/>
        </w:rPr>
        <w:t>通信网络</w:t>
      </w:r>
      <w:r>
        <w:rPr>
          <w:rFonts w:hint="default" w:ascii="Times New Roman" w:hAnsi="Times New Roman" w:eastAsia="宋体" w:cs="Times New Roman"/>
          <w:color w:val="000000"/>
          <w:spacing w:val="10"/>
          <w:sz w:val="24"/>
          <w:szCs w:val="32"/>
          <w:lang w:val="en-US" w:eastAsia="zh-CN"/>
        </w:rPr>
        <w:t>；</w:t>
      </w:r>
    </w:p>
    <w:p w14:paraId="3C094B2F">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②预警和预防机制，建立突发事故预警制度，明确预警级别、预警方式；</w:t>
      </w:r>
    </w:p>
    <w:p w14:paraId="62DB4EF0">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③制定突发事故的应急响应程序，包括事故的报警、应急反应等级的确定、应急反应启动、紧急救援行动的开展、事故调查以及事故索赔等应急环节；</w:t>
      </w:r>
    </w:p>
    <w:p w14:paraId="0811A3B0">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④应急保障，包括应急反应设备、应急队伍、物资及后勤、经费保障等应急支援与装备保障，技术储备与保障，还应建立培训和演习的相关制度；</w:t>
      </w:r>
    </w:p>
    <w:p w14:paraId="208B1C25">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⑤附图附件（</w:t>
      </w:r>
      <w:r>
        <w:rPr>
          <w:rFonts w:hint="eastAsia" w:cs="Times New Roman"/>
          <w:color w:val="000000"/>
          <w:spacing w:val="10"/>
          <w:sz w:val="24"/>
          <w:szCs w:val="32"/>
          <w:lang w:val="en-US" w:eastAsia="zh-CN"/>
        </w:rPr>
        <w:t>应急通信</w:t>
      </w:r>
      <w:r>
        <w:rPr>
          <w:rFonts w:hint="default" w:ascii="Times New Roman" w:hAnsi="Times New Roman" w:eastAsia="宋体" w:cs="Times New Roman"/>
          <w:color w:val="000000"/>
          <w:spacing w:val="10"/>
          <w:sz w:val="24"/>
          <w:szCs w:val="32"/>
          <w:lang w:val="en-US" w:eastAsia="zh-CN"/>
        </w:rPr>
        <w:t>联络表、敏感资源分布、人员急救方式等）。</w:t>
      </w:r>
    </w:p>
    <w:p w14:paraId="00C86AAA">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5、环境风险事故分类与分级</w:t>
      </w:r>
    </w:p>
    <w:p w14:paraId="60D50275">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参考《国家突发环境事件应急预案》以及《广西壮族自治区突发环境事件应急预案》中的环境污染事件分级标准，结合企业的实际情况，制定</w:t>
      </w:r>
      <w:r>
        <w:rPr>
          <w:rFonts w:hint="eastAsia" w:ascii="Times New Roman" w:hAnsi="Times New Roman" w:eastAsia="宋体" w:cs="Times New Roman"/>
          <w:color w:val="000000"/>
          <w:spacing w:val="10"/>
          <w:sz w:val="24"/>
          <w:szCs w:val="32"/>
          <w:lang w:val="en-US" w:eastAsia="zh-CN"/>
        </w:rPr>
        <w:t>广西志得实业有限公司</w:t>
      </w:r>
      <w:r>
        <w:rPr>
          <w:rFonts w:hint="default" w:ascii="Times New Roman" w:hAnsi="Times New Roman" w:eastAsia="宋体" w:cs="Times New Roman"/>
          <w:color w:val="000000"/>
          <w:spacing w:val="10"/>
          <w:sz w:val="24"/>
          <w:szCs w:val="32"/>
          <w:lang w:val="en-US" w:eastAsia="zh-CN"/>
        </w:rPr>
        <w:t>污染事件分级标准。按照突发事件性质、社会危害程度、可控性和影响范围，突发环境事件分为一般（Ⅲ级）、较大（Ⅱ级）、重大（Ⅰ级）。企业突发环境事件分级见表1-</w:t>
      </w:r>
      <w:r>
        <w:rPr>
          <w:rFonts w:hint="eastAsia" w:cs="Times New Roman"/>
          <w:color w:val="000000"/>
          <w:spacing w:val="10"/>
          <w:sz w:val="24"/>
          <w:szCs w:val="32"/>
          <w:lang w:val="en-US" w:eastAsia="zh-CN"/>
        </w:rPr>
        <w:t>58</w:t>
      </w:r>
      <w:r>
        <w:rPr>
          <w:rFonts w:hint="default" w:ascii="Times New Roman" w:hAnsi="Times New Roman" w:eastAsia="宋体" w:cs="Times New Roman"/>
          <w:color w:val="000000"/>
          <w:spacing w:val="10"/>
          <w:sz w:val="24"/>
          <w:szCs w:val="32"/>
          <w:lang w:val="en-US" w:eastAsia="zh-CN"/>
        </w:rPr>
        <w:t>。</w:t>
      </w:r>
    </w:p>
    <w:p w14:paraId="285F2204">
      <w:pPr>
        <w:pStyle w:val="4"/>
        <w:numPr>
          <w:ilvl w:val="3"/>
          <w:numId w:val="10"/>
        </w:numPr>
        <w:tabs>
          <w:tab w:val="left" w:pos="1276"/>
          <w:tab w:val="left" w:pos="1358"/>
          <w:tab w:val="left" w:pos="2153"/>
          <w:tab w:val="left" w:pos="2183"/>
        </w:tabs>
        <w:spacing w:before="15"/>
        <w:ind w:left="1358"/>
        <w:rPr>
          <w:rFonts w:hint="default" w:ascii="Times New Roman" w:hAnsi="Times New Roman" w:eastAsia="宋体" w:cs="Times New Roman"/>
          <w:color w:val="auto"/>
        </w:rPr>
      </w:pPr>
      <w:bookmarkStart w:id="99" w:name="_Toc29022"/>
      <w:r>
        <w:rPr>
          <w:rFonts w:hint="default" w:ascii="Times New Roman" w:hAnsi="Times New Roman" w:eastAsia="宋体" w:cs="Times New Roman"/>
          <w:color w:val="auto"/>
        </w:rPr>
        <w:t>企业突发环境事件等级</w:t>
      </w:r>
      <w:bookmarkEnd w:id="99"/>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5"/>
        <w:gridCol w:w="7445"/>
      </w:tblGrid>
      <w:tr w14:paraId="0EE02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75" w:type="dxa"/>
            <w:noWrap w:val="0"/>
            <w:vAlign w:val="center"/>
          </w:tcPr>
          <w:p w14:paraId="6F44E039">
            <w:pPr>
              <w:autoSpaceDE w:val="0"/>
              <w:autoSpaceDN w:val="0"/>
              <w:jc w:val="center"/>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级别</w:t>
            </w:r>
          </w:p>
        </w:tc>
        <w:tc>
          <w:tcPr>
            <w:tcW w:w="7445" w:type="dxa"/>
            <w:noWrap w:val="0"/>
            <w:vAlign w:val="center"/>
          </w:tcPr>
          <w:p w14:paraId="19750155">
            <w:pPr>
              <w:autoSpaceDE w:val="0"/>
              <w:autoSpaceDN w:val="0"/>
              <w:jc w:val="center"/>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事件</w:t>
            </w:r>
          </w:p>
        </w:tc>
      </w:tr>
      <w:tr w14:paraId="2D938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75" w:type="dxa"/>
            <w:vMerge w:val="restart"/>
            <w:noWrap w:val="0"/>
            <w:vAlign w:val="center"/>
          </w:tcPr>
          <w:p w14:paraId="735F0FB4">
            <w:pPr>
              <w:autoSpaceDE w:val="0"/>
              <w:autoSpaceDN w:val="0"/>
              <w:jc w:val="center"/>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重大</w:t>
            </w:r>
          </w:p>
        </w:tc>
        <w:tc>
          <w:tcPr>
            <w:tcW w:w="7445" w:type="dxa"/>
            <w:noWrap w:val="0"/>
            <w:vAlign w:val="center"/>
          </w:tcPr>
          <w:p w14:paraId="77DD94DB">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1</w:t>
            </w:r>
            <w:r>
              <w:rPr>
                <w:rFonts w:hint="default" w:ascii="Times New Roman" w:hAnsi="Times New Roman" w:eastAsia="宋体" w:cs="Times New Roman"/>
                <w:bCs/>
                <w:color w:val="auto"/>
                <w:spacing w:val="-3"/>
                <w:sz w:val="21"/>
                <w:szCs w:val="22"/>
              </w:rPr>
              <w:t>、因火灾、爆炸、危险化学品泄漏产生事故废水，大量事故废水离开厂区，进入厂外水体或土壤，造成污染，企业已无法对事件进行控制，需请求外部救援的；</w:t>
            </w:r>
          </w:p>
          <w:p w14:paraId="4BDA520F">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2、因火灾、爆炸、危险化学品泄漏产生的二次污染气体，对周边敏感点造成影响的，但需要进行人员疏散的；</w:t>
            </w:r>
          </w:p>
          <w:p w14:paraId="1A167B43">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3、有毒有害气体发生泄漏，影响范围出厂界，需要进行人员疏散的；</w:t>
            </w:r>
          </w:p>
          <w:p w14:paraId="106E358D">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4、突发环境事件，引起周边人群的</w:t>
            </w:r>
            <w:r>
              <w:rPr>
                <w:rFonts w:hint="default" w:ascii="Times New Roman" w:hAnsi="Times New Roman" w:eastAsia="宋体" w:cs="Times New Roman"/>
                <w:bCs/>
                <w:color w:val="auto"/>
                <w:sz w:val="21"/>
                <w:szCs w:val="22"/>
                <w:highlight w:val="none"/>
              </w:rPr>
              <w:t>感</w:t>
            </w:r>
            <w:r>
              <w:rPr>
                <w:rFonts w:hint="eastAsia" w:cs="Times New Roman"/>
                <w:bCs/>
                <w:color w:val="auto"/>
                <w:sz w:val="21"/>
                <w:szCs w:val="22"/>
                <w:highlight w:val="none"/>
                <w:lang w:eastAsia="zh-CN"/>
              </w:rPr>
              <w:t>官</w:t>
            </w:r>
            <w:r>
              <w:rPr>
                <w:rFonts w:hint="default" w:ascii="Times New Roman" w:hAnsi="Times New Roman" w:eastAsia="宋体" w:cs="Times New Roman"/>
                <w:bCs/>
                <w:color w:val="auto"/>
                <w:sz w:val="21"/>
                <w:szCs w:val="22"/>
              </w:rPr>
              <w:t>不适，遭到群体性抗议的；</w:t>
            </w:r>
          </w:p>
        </w:tc>
      </w:tr>
      <w:tr w14:paraId="39F25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75" w:type="dxa"/>
            <w:vMerge w:val="continue"/>
            <w:noWrap w:val="0"/>
            <w:vAlign w:val="center"/>
          </w:tcPr>
          <w:p w14:paraId="093FFD62">
            <w:pPr>
              <w:autoSpaceDE w:val="0"/>
              <w:autoSpaceDN w:val="0"/>
              <w:jc w:val="center"/>
              <w:rPr>
                <w:rFonts w:hint="default" w:ascii="Times New Roman" w:hAnsi="Times New Roman" w:eastAsia="宋体" w:cs="Times New Roman"/>
                <w:bCs/>
                <w:color w:val="auto"/>
                <w:sz w:val="22"/>
                <w:szCs w:val="22"/>
              </w:rPr>
            </w:pPr>
          </w:p>
        </w:tc>
        <w:tc>
          <w:tcPr>
            <w:tcW w:w="7445" w:type="dxa"/>
            <w:noWrap w:val="0"/>
            <w:vAlign w:val="center"/>
          </w:tcPr>
          <w:p w14:paraId="44F62ABD">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5、废气持续超标排放，导致企业附近的空气质量超过《环境空气质量标准》（GB3095—2012）二级标准；</w:t>
            </w:r>
          </w:p>
          <w:p w14:paraId="298C9534">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6、化学品发生泄漏、火灾爆炸事件，造成环境污染，对当地的社会活动造成影响，造成社会</w:t>
            </w:r>
            <w:r>
              <w:rPr>
                <w:rFonts w:hint="eastAsia" w:cs="Times New Roman"/>
                <w:bCs/>
                <w:color w:val="auto"/>
                <w:sz w:val="21"/>
                <w:szCs w:val="22"/>
                <w:lang w:eastAsia="zh-CN"/>
              </w:rPr>
              <w:t>恐慌</w:t>
            </w:r>
            <w:r>
              <w:rPr>
                <w:rFonts w:hint="default" w:ascii="Times New Roman" w:hAnsi="Times New Roman" w:eastAsia="宋体" w:cs="Times New Roman"/>
                <w:bCs/>
                <w:color w:val="auto"/>
                <w:sz w:val="21"/>
                <w:szCs w:val="22"/>
              </w:rPr>
              <w:t>；</w:t>
            </w:r>
          </w:p>
          <w:p w14:paraId="0BF132F4">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7、危险废物发生泄漏，造成厂界外环境影响的；</w:t>
            </w:r>
          </w:p>
          <w:p w14:paraId="1072F554">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8、因环境污染，造成1人以上中毒或死亡的。</w:t>
            </w:r>
          </w:p>
        </w:tc>
      </w:tr>
      <w:tr w14:paraId="4412D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75" w:type="dxa"/>
            <w:noWrap w:val="0"/>
            <w:vAlign w:val="center"/>
          </w:tcPr>
          <w:p w14:paraId="0DF702C0">
            <w:pPr>
              <w:autoSpaceDE w:val="0"/>
              <w:autoSpaceDN w:val="0"/>
              <w:jc w:val="center"/>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较大</w:t>
            </w:r>
          </w:p>
        </w:tc>
        <w:tc>
          <w:tcPr>
            <w:tcW w:w="7445" w:type="dxa"/>
            <w:noWrap w:val="0"/>
            <w:vAlign w:val="center"/>
          </w:tcPr>
          <w:p w14:paraId="6DD86A0B">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1</w:t>
            </w:r>
            <w:r>
              <w:rPr>
                <w:rFonts w:hint="default" w:ascii="Times New Roman" w:hAnsi="Times New Roman" w:eastAsia="宋体" w:cs="Times New Roman"/>
                <w:bCs/>
                <w:color w:val="auto"/>
                <w:spacing w:val="-3"/>
                <w:sz w:val="21"/>
                <w:szCs w:val="22"/>
              </w:rPr>
              <w:t>、因火灾、爆炸、危险化学品泄漏产生事故废水，事故废水未离开厂区，可通过厂区水体</w:t>
            </w:r>
            <w:r>
              <w:rPr>
                <w:rFonts w:hint="default" w:ascii="Times New Roman" w:hAnsi="Times New Roman" w:eastAsia="宋体" w:cs="Times New Roman"/>
                <w:bCs/>
                <w:color w:val="auto"/>
                <w:spacing w:val="-3"/>
                <w:sz w:val="21"/>
                <w:szCs w:val="22"/>
                <w:highlight w:val="none"/>
              </w:rPr>
              <w:t>防</w:t>
            </w:r>
            <w:r>
              <w:rPr>
                <w:rFonts w:hint="eastAsia" w:ascii="Times New Roman" w:hAnsi="Times New Roman" w:cs="Times New Roman"/>
                <w:lang w:val="en-US" w:eastAsia="zh-CN"/>
              </w:rPr>
              <w:t>控</w:t>
            </w:r>
            <w:r>
              <w:rPr>
                <w:rFonts w:hint="default" w:ascii="Times New Roman" w:hAnsi="Times New Roman" w:eastAsia="宋体" w:cs="Times New Roman"/>
                <w:bCs/>
                <w:color w:val="auto"/>
                <w:spacing w:val="-3"/>
                <w:sz w:val="21"/>
                <w:szCs w:val="22"/>
              </w:rPr>
              <w:t>体系进行控制的；</w:t>
            </w:r>
          </w:p>
          <w:p w14:paraId="24C7D7A7">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2</w:t>
            </w:r>
            <w:r>
              <w:rPr>
                <w:rFonts w:hint="default" w:ascii="Times New Roman" w:hAnsi="Times New Roman" w:eastAsia="宋体" w:cs="Times New Roman"/>
                <w:bCs/>
                <w:color w:val="auto"/>
                <w:spacing w:val="-3"/>
                <w:sz w:val="21"/>
                <w:szCs w:val="22"/>
              </w:rPr>
              <w:t>、因火灾、爆炸、危险化学品泄漏产生的二次污染气体，对周边敏感点造成影响的，但无需进行人员疏散的；</w:t>
            </w:r>
          </w:p>
          <w:p w14:paraId="6F32799D">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3、有毒有害气体发生泄漏，已扩散出厂界，但未对周围敏感点内人群的生活造成影响；</w:t>
            </w:r>
          </w:p>
          <w:p w14:paraId="63DBCF60">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4、由于突发环境事件引发群众投诉10起/天以上，或引起周边人群的不适，且原因未查明或得不到有效处理的；</w:t>
            </w:r>
          </w:p>
          <w:p w14:paraId="6ED3751A">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5、废气持续4小时超标排放，但企业附近的空气质量未超过《环境空气质量标准》（GB3095—2012）二级标准；</w:t>
            </w:r>
          </w:p>
          <w:p w14:paraId="6FDE316C">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6、化学品发生泄漏，但及时发现与控制，其影响范围超出装置车间或风险单元，控制在厂区范围内，其影响未出厂界的；</w:t>
            </w:r>
          </w:p>
          <w:p w14:paraId="57FEAAC7">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7、危险废物发生泄漏，其影响已出装置、车间或风险单元范围内，但未出厂界的。</w:t>
            </w:r>
          </w:p>
        </w:tc>
      </w:tr>
      <w:tr w14:paraId="6E330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75" w:type="dxa"/>
            <w:noWrap w:val="0"/>
            <w:vAlign w:val="center"/>
          </w:tcPr>
          <w:p w14:paraId="79875F08">
            <w:pPr>
              <w:autoSpaceDE w:val="0"/>
              <w:autoSpaceDN w:val="0"/>
              <w:jc w:val="center"/>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一般</w:t>
            </w:r>
          </w:p>
        </w:tc>
        <w:tc>
          <w:tcPr>
            <w:tcW w:w="7445" w:type="dxa"/>
            <w:noWrap w:val="0"/>
            <w:vAlign w:val="center"/>
          </w:tcPr>
          <w:p w14:paraId="50760603">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1、因火灾、爆炸、危险化学品泄漏产生事故废水，事故废水可控制在事故现场区域内，未进入其他水体防控体系内的；</w:t>
            </w:r>
          </w:p>
          <w:p w14:paraId="768C8DC4">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2、因火灾、爆炸、危险化学品泄漏产生的二次污染气体未对周边敏感点造成影响的；</w:t>
            </w:r>
          </w:p>
          <w:p w14:paraId="74C8674C">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3、有毒有害气体直接发生泄漏，但其影响未出厂界的；</w:t>
            </w:r>
          </w:p>
          <w:p w14:paraId="4515D46D">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4、由于突发环境事件引发群众投诉5起/天的，且原因未查明或得不到有效处理的；</w:t>
            </w:r>
          </w:p>
          <w:p w14:paraId="42602D87">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5、废气排放瞬间波动超标，超标废气未对外环境造成污染；</w:t>
            </w:r>
          </w:p>
          <w:p w14:paraId="463582EA">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6、化学品发生泄漏，但影响范围较小，控制在装置车间或风险单元的；</w:t>
            </w:r>
          </w:p>
          <w:p w14:paraId="554CE841">
            <w:pPr>
              <w:autoSpaceDE w:val="0"/>
              <w:autoSpaceDN w:val="0"/>
              <w:jc w:val="left"/>
              <w:rPr>
                <w:rFonts w:hint="default" w:ascii="Times New Roman" w:hAnsi="Times New Roman" w:eastAsia="宋体" w:cs="Times New Roman"/>
                <w:bCs/>
                <w:color w:val="auto"/>
                <w:sz w:val="21"/>
                <w:szCs w:val="22"/>
              </w:rPr>
            </w:pPr>
            <w:r>
              <w:rPr>
                <w:rFonts w:hint="default" w:ascii="Times New Roman" w:hAnsi="Times New Roman" w:eastAsia="宋体" w:cs="Times New Roman"/>
                <w:bCs/>
                <w:color w:val="auto"/>
                <w:sz w:val="21"/>
                <w:szCs w:val="22"/>
              </w:rPr>
              <w:t>7、危险废物发生泄漏，但其影响可控在装置区、车间或风险单元内。</w:t>
            </w:r>
          </w:p>
        </w:tc>
      </w:tr>
    </w:tbl>
    <w:p w14:paraId="53907FE0">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6、应急预案响应级别分级</w:t>
      </w:r>
    </w:p>
    <w:p w14:paraId="57FF6B47">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对应于风险事故的分级，应急预案也相应</w:t>
      </w:r>
      <w:r>
        <w:rPr>
          <w:rFonts w:hint="eastAsia" w:cs="Times New Roman"/>
          <w:color w:val="000000"/>
          <w:spacing w:val="10"/>
          <w:sz w:val="24"/>
          <w:szCs w:val="32"/>
          <w:lang w:val="en-US" w:eastAsia="zh-CN"/>
        </w:rPr>
        <w:t>地</w:t>
      </w:r>
      <w:r>
        <w:rPr>
          <w:rFonts w:hint="default" w:ascii="Times New Roman" w:hAnsi="Times New Roman" w:eastAsia="宋体" w:cs="Times New Roman"/>
          <w:color w:val="000000"/>
          <w:spacing w:val="10"/>
          <w:sz w:val="24"/>
          <w:szCs w:val="32"/>
          <w:lang w:val="en-US" w:eastAsia="zh-CN"/>
        </w:rPr>
        <w:t>分为三级响应机制，由低到高</w:t>
      </w:r>
      <w:r>
        <w:rPr>
          <w:rFonts w:hint="eastAsia" w:cs="Times New Roman"/>
          <w:color w:val="000000"/>
          <w:spacing w:val="10"/>
          <w:sz w:val="24"/>
          <w:szCs w:val="32"/>
          <w:lang w:val="en-US" w:eastAsia="zh-CN"/>
        </w:rPr>
        <w:t>分</w:t>
      </w:r>
      <w:r>
        <w:rPr>
          <w:rFonts w:hint="default" w:ascii="Times New Roman" w:hAnsi="Times New Roman" w:eastAsia="宋体" w:cs="Times New Roman"/>
          <w:color w:val="000000"/>
          <w:spacing w:val="10"/>
          <w:sz w:val="24"/>
          <w:szCs w:val="32"/>
          <w:lang w:val="en-US" w:eastAsia="zh-CN"/>
        </w:rPr>
        <w:t>为Ⅲ级（一般事故）、Ⅱ级（重大事故）、Ⅰ级（特大事故）。</w:t>
      </w:r>
    </w:p>
    <w:p w14:paraId="2CC2C892">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Ⅲ级（一般事故）：发生一般事故时，生产人员应该立即报警，启动装置级环境风险事件应急预案，根据应急反应计划安排，迅速转变为应急处理人员，按照预定方案投入扑救行动；</w:t>
      </w:r>
    </w:p>
    <w:p w14:paraId="2DDC894B">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Ⅱ级（重大事故）：发生重大事故时，</w:t>
      </w:r>
      <w:r>
        <w:rPr>
          <w:rFonts w:hint="eastAsia" w:cs="Times New Roman"/>
          <w:color w:val="000000"/>
          <w:spacing w:val="10"/>
          <w:sz w:val="24"/>
          <w:szCs w:val="32"/>
          <w:lang w:val="en-US" w:eastAsia="zh-CN"/>
        </w:rPr>
        <w:t>公司</w:t>
      </w:r>
      <w:r>
        <w:rPr>
          <w:rFonts w:hint="default" w:ascii="Times New Roman" w:hAnsi="Times New Roman" w:eastAsia="宋体" w:cs="Times New Roman"/>
          <w:color w:val="000000"/>
          <w:spacing w:val="10"/>
          <w:sz w:val="24"/>
          <w:szCs w:val="32"/>
          <w:lang w:val="en-US" w:eastAsia="zh-CN"/>
        </w:rPr>
        <w:t>应急指挥领导小组迅速启动装置级、公司级两级环境风险事件应急预案，同时告知当地政府预警；</w:t>
      </w:r>
    </w:p>
    <w:p w14:paraId="1DC94C0F">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Ⅰ级（特大事故）：发生特大事故时，公司内应急指挥领导小组迅速启动装置级、公司级两级环境风险事件应急预案，同时告知工业园区及地方政府协调分别启动各级应急预案，协助企业处理突发事故。</w:t>
      </w:r>
    </w:p>
    <w:p w14:paraId="5A2701FD">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特大事故发生后，钦州市应急指挥领导小组应迅速按照原国家环境保护总局环发〔2006﹞50号《环境保护行政主管部门突发环境事件信息报告办法》的要求，将事故情况上报广西壮族自治区生态环境</w:t>
      </w:r>
      <w:r>
        <w:rPr>
          <w:rFonts w:hint="eastAsia" w:ascii="Times New Roman" w:hAnsi="Times New Roman" w:eastAsia="宋体" w:cs="Times New Roman"/>
          <w:color w:val="000000"/>
          <w:spacing w:val="10"/>
          <w:sz w:val="24"/>
          <w:szCs w:val="32"/>
          <w:lang w:val="en-US" w:eastAsia="zh-CN"/>
        </w:rPr>
        <w:t>厅</w:t>
      </w:r>
      <w:r>
        <w:rPr>
          <w:rFonts w:hint="default" w:ascii="Times New Roman" w:hAnsi="Times New Roman" w:eastAsia="宋体" w:cs="Times New Roman"/>
          <w:color w:val="000000"/>
          <w:spacing w:val="10"/>
          <w:sz w:val="24"/>
          <w:szCs w:val="32"/>
          <w:lang w:val="en-US" w:eastAsia="zh-CN"/>
        </w:rPr>
        <w:t>和</w:t>
      </w:r>
      <w:r>
        <w:rPr>
          <w:rFonts w:hint="eastAsia" w:ascii="Times New Roman" w:hAnsi="Times New Roman" w:eastAsia="宋体" w:cs="Times New Roman"/>
          <w:color w:val="000000"/>
          <w:spacing w:val="10"/>
          <w:sz w:val="24"/>
          <w:szCs w:val="32"/>
          <w:lang w:val="en-US" w:eastAsia="zh-CN"/>
        </w:rPr>
        <w:t>中华人民共和国</w:t>
      </w:r>
      <w:r>
        <w:rPr>
          <w:rFonts w:hint="default" w:ascii="Times New Roman" w:hAnsi="Times New Roman" w:eastAsia="宋体" w:cs="Times New Roman"/>
          <w:color w:val="000000"/>
          <w:spacing w:val="10"/>
          <w:sz w:val="24"/>
          <w:szCs w:val="32"/>
          <w:lang w:val="en-US" w:eastAsia="zh-CN"/>
        </w:rPr>
        <w:t>生态环境部、</w:t>
      </w:r>
      <w:r>
        <w:rPr>
          <w:rFonts w:hint="eastAsia" w:ascii="Times New Roman" w:hAnsi="Times New Roman" w:eastAsia="宋体" w:cs="Times New Roman"/>
          <w:color w:val="000000"/>
          <w:spacing w:val="10"/>
          <w:sz w:val="24"/>
          <w:szCs w:val="32"/>
          <w:lang w:val="en-US" w:eastAsia="zh-CN"/>
        </w:rPr>
        <w:t>中华人民共和国应急管理部</w:t>
      </w:r>
      <w:r>
        <w:rPr>
          <w:rFonts w:hint="default" w:ascii="Times New Roman" w:hAnsi="Times New Roman" w:eastAsia="宋体" w:cs="Times New Roman"/>
          <w:color w:val="000000"/>
          <w:spacing w:val="10"/>
          <w:sz w:val="24"/>
          <w:szCs w:val="32"/>
          <w:lang w:val="en-US" w:eastAsia="zh-CN"/>
        </w:rPr>
        <w:t>等有关部门，请求协助救援。</w:t>
      </w:r>
    </w:p>
    <w:p w14:paraId="51CB0B9D">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7、应急管理机构的设置</w:t>
      </w:r>
    </w:p>
    <w:p w14:paraId="7804C480">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应急管理机构为应急指挥部，厂长为主任，常设机构在安全环保科，由科长担任常务副主任，下设九个组为事件应急救援专业队伍。</w:t>
      </w:r>
    </w:p>
    <w:p w14:paraId="04AC0F6C">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事故应急救援专业队伍按其工作职能划分为9个小组：</w:t>
      </w:r>
    </w:p>
    <w:p w14:paraId="3E5BA7B6">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①危险源控制组：负责在紧急状态下的现场抢险作业，及时控制危险源。一般由事故单位人员组成，并根据危险化学品的性质准备好专用的防护用品、用具及专业工具等。参与危险源的控制一般由专业防护队伍和消防队伍组成。该组人员应具有较高的专业技术水平，并配备专业的防护和急救器材。</w:t>
      </w:r>
    </w:p>
    <w:p w14:paraId="7F464843">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②伤员抢救组：负责现场伤员的搜救和紧急处理，并护送伤员到医疗点救治。</w:t>
      </w:r>
    </w:p>
    <w:p w14:paraId="40B3254D">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③医疗救护组：负责在现场附近的安全区域内设立临时医疗救护点，对受伤人员进行紧急救治并护送重伤人员至医院进一步治疗。由地方急救中心或指定的具有相应能力的医院组成。该医院应根据伤害和中毒的特点制定抢救预案。</w:t>
      </w:r>
    </w:p>
    <w:p w14:paraId="478700D3">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④消防组：负责现场灭火、设备</w:t>
      </w:r>
      <w:r>
        <w:rPr>
          <w:rFonts w:hint="eastAsia" w:cs="Times New Roman"/>
          <w:color w:val="000000"/>
          <w:spacing w:val="10"/>
          <w:sz w:val="24"/>
          <w:szCs w:val="32"/>
          <w:lang w:val="en-US" w:eastAsia="zh-CN"/>
        </w:rPr>
        <w:t>容器</w:t>
      </w:r>
      <w:r>
        <w:rPr>
          <w:rFonts w:hint="default" w:ascii="Times New Roman" w:hAnsi="Times New Roman" w:eastAsia="宋体" w:cs="Times New Roman"/>
          <w:color w:val="000000"/>
          <w:spacing w:val="10"/>
          <w:sz w:val="24"/>
          <w:szCs w:val="32"/>
          <w:lang w:val="en-US" w:eastAsia="zh-CN"/>
        </w:rPr>
        <w:t>的冷却、喷水隔爆、抢救伤员及事故后对被污染区域的洗消工作。由企业消防人员和当地消防队伍组成。</w:t>
      </w:r>
    </w:p>
    <w:p w14:paraId="15A322EA">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⑤安全疏散组：负责对现场及周围人员进行防护指导、疏散人员、现场周围物资的转移。一般由事故单位安全保卫人员和当地政府人员组成。</w:t>
      </w:r>
    </w:p>
    <w:p w14:paraId="6323DF49">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⑥安全警戒组：负责布置安全警戒、禁止无关人员和车辆进入危险区域、在人员疏散区域进行治安</w:t>
      </w:r>
      <w:r>
        <w:rPr>
          <w:rFonts w:hint="eastAsia" w:ascii="Times New Roman" w:hAnsi="Times New Roman" w:eastAsia="宋体" w:cs="Times New Roman"/>
          <w:color w:val="000000"/>
          <w:spacing w:val="10"/>
          <w:sz w:val="24"/>
          <w:szCs w:val="32"/>
          <w:lang w:val="en-US" w:eastAsia="zh-CN"/>
        </w:rPr>
        <w:t>巡逻</w:t>
      </w:r>
      <w:r>
        <w:rPr>
          <w:rFonts w:hint="default" w:ascii="Times New Roman" w:hAnsi="Times New Roman" w:eastAsia="宋体" w:cs="Times New Roman"/>
          <w:color w:val="000000"/>
          <w:spacing w:val="10"/>
          <w:sz w:val="24"/>
          <w:szCs w:val="32"/>
          <w:lang w:val="en-US" w:eastAsia="zh-CN"/>
        </w:rPr>
        <w:t>。此工作由公安、交警部门负责。</w:t>
      </w:r>
    </w:p>
    <w:p w14:paraId="42404E99">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⑦物资供应组：负责组织抢救物资和工、器具的供应，组织车辆运送抢险物资和人员。由公司和当地政府部门共同负责。</w:t>
      </w:r>
    </w:p>
    <w:p w14:paraId="2CA5CACE">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⑧环境监测组：负责对大气、水体、土壤等进行环境即时监测，确定危险区域范围和危险物质</w:t>
      </w:r>
      <w:r>
        <w:rPr>
          <w:rFonts w:hint="eastAsia" w:cs="Times New Roman"/>
          <w:color w:val="000000"/>
          <w:spacing w:val="10"/>
          <w:sz w:val="24"/>
          <w:szCs w:val="32"/>
          <w:lang w:val="en-US" w:eastAsia="zh-CN"/>
        </w:rPr>
        <w:t>的成分及</w:t>
      </w:r>
      <w:r>
        <w:rPr>
          <w:rFonts w:hint="default" w:ascii="Times New Roman" w:hAnsi="Times New Roman" w:eastAsia="宋体" w:cs="Times New Roman"/>
          <w:color w:val="000000"/>
          <w:spacing w:val="10"/>
          <w:sz w:val="24"/>
          <w:szCs w:val="32"/>
          <w:lang w:val="en-US" w:eastAsia="zh-CN"/>
        </w:rPr>
        <w:t>浓度，对事故造成的环境影响做出正确的评估，为指挥人员决策和消除事故污染提供依据。负责对事故现场危险物质的处置。</w:t>
      </w:r>
    </w:p>
    <w:p w14:paraId="2D77C8D4">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⑨专家咨询组：负责对事故应急救援提出应急救援方案和安全措施，现场指导教授工作，参与事故的调查分析并制定防范措施。由救援领导小组办公室负责组织各方面的专家。</w:t>
      </w:r>
    </w:p>
    <w:p w14:paraId="30FEBC4C">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8、事故应急救援</w:t>
      </w:r>
    </w:p>
    <w:p w14:paraId="1A1DFF64">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事故应急救援一般包括报警与接警、应急救援队伍的出动、救援后备队的预备、实施应急救援（紧急疏散、现场急救）、溢出或泄漏救援和火灾控制几个方面。</w:t>
      </w:r>
    </w:p>
    <w:p w14:paraId="73649F0D">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①事故报警</w:t>
      </w:r>
    </w:p>
    <w:p w14:paraId="68BD77D2">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发生危险化学品特大事故或有可能发展成为特大事故和可能危及周边区域安全的事故时，应及时向特大事故应急救援领导小组办公室报告或向119报警。报告或报警的内容包括：事故发生的时间、地点、企业名称、交通路线、联络电话、联络人姓名、危险化学品的种类、数量、事故类型（火灾、爆炸、有毒物质的大量泄漏等）、周边情况、需要支援的人员、设备、器材等。</w:t>
      </w:r>
    </w:p>
    <w:p w14:paraId="0BCA8DA8">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②接到报告或报警后，迅速向领导小组成员汇报，指派应急总指挥，调集车辆和各专业队伍、设施迅速赶赴事故现场。</w:t>
      </w:r>
    </w:p>
    <w:p w14:paraId="26F2D989">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③事故发生单位应指派专人负责引导指挥人员及各专业队伍进入事故救援现场；</w:t>
      </w:r>
    </w:p>
    <w:p w14:paraId="01B5E04B">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④指挥人员到达现场后，立即了解现场情况及事故的性质，确定警戒区域和事故控制具体实施方案，布置各专业救援队伍任务。</w:t>
      </w:r>
    </w:p>
    <w:p w14:paraId="34D8A0FD">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⑤专家咨询到达现场后，迅速对事故情况作出判断，提出处置实施办法和防范措施，事故得到控制后，参与事故调查及提出防范措施；</w:t>
      </w:r>
    </w:p>
    <w:p w14:paraId="4372A9F3">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⑥各专业救援队伍到达现场后，服从现场指挥人员的指挥，采取</w:t>
      </w:r>
      <w:r>
        <w:rPr>
          <w:rFonts w:hint="eastAsia" w:cs="Times New Roman"/>
          <w:color w:val="000000"/>
          <w:spacing w:val="10"/>
          <w:sz w:val="24"/>
          <w:szCs w:val="32"/>
          <w:lang w:val="en-US" w:eastAsia="zh-CN"/>
        </w:rPr>
        <w:t>必需的</w:t>
      </w:r>
      <w:r>
        <w:rPr>
          <w:rFonts w:hint="default" w:ascii="Times New Roman" w:hAnsi="Times New Roman" w:eastAsia="宋体" w:cs="Times New Roman"/>
          <w:color w:val="000000"/>
          <w:spacing w:val="10"/>
          <w:sz w:val="24"/>
          <w:szCs w:val="32"/>
          <w:lang w:val="en-US" w:eastAsia="zh-CN"/>
        </w:rPr>
        <w:t>个人防护，按各自的分工展开处置和救援工作；</w:t>
      </w:r>
    </w:p>
    <w:p w14:paraId="31BC2682">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⑦事故得到控制后，由专家组成员和环保部门指导进行现场洗消工作。</w:t>
      </w:r>
    </w:p>
    <w:p w14:paraId="4D3E6E67">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⑧事故得到控制后，由安全生产监督管理部门决定应妥善保护的区域，组织相关机构和人员对事故开展调查和救援工作。</w:t>
      </w:r>
    </w:p>
    <w:p w14:paraId="29D8E065">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应急预案的联动</w:t>
      </w:r>
    </w:p>
    <w:p w14:paraId="79D53F08">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1、与工业园区的应急联动</w:t>
      </w:r>
    </w:p>
    <w:p w14:paraId="0646A5FE">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本项目应急预案与工业园区相衔接，充分利用工业园区现有应急救援资源，与工业园区保持联动。若环境事件发生后，首先启动本公司应急预案，并及时将事故情况向工业园区有关部门报告。同时，公司的应急响应行动与工业园区的应急响应保持联动，确保信息传递和人员的救助以及事故处理的及时和准确无误，做到最快、最好地处理突发事故。</w:t>
      </w:r>
    </w:p>
    <w:p w14:paraId="3099064F">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环境突发事件一旦发生，影响涉及的区域范围均比较大，所以应急联动要求在钦州市环境突发事件应急指挥中心的领导下统一协调。</w:t>
      </w:r>
    </w:p>
    <w:p w14:paraId="5B869A0F">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2、与钦州市的应急联动</w:t>
      </w:r>
    </w:p>
    <w:p w14:paraId="105B4A2A">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视事故发展情况，钦州市启动《钦州港经济开发区预防和处理突发环境事件应急预案</w:t>
      </w:r>
      <w:r>
        <w:rPr>
          <w:rFonts w:hint="eastAsia"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钦州市环境突发污染事件应急预案》</w:t>
      </w:r>
      <w:r>
        <w:rPr>
          <w:rFonts w:hint="eastAsia" w:cs="Times New Roman"/>
          <w:color w:val="000000"/>
          <w:spacing w:val="10"/>
          <w:sz w:val="24"/>
          <w:szCs w:val="32"/>
          <w:lang w:val="en-US" w:eastAsia="zh-CN"/>
        </w:rPr>
        <w:t>及</w:t>
      </w:r>
      <w:r>
        <w:rPr>
          <w:rFonts w:hint="default" w:ascii="Times New Roman" w:hAnsi="Times New Roman" w:eastAsia="宋体" w:cs="Times New Roman"/>
          <w:color w:val="000000"/>
          <w:spacing w:val="10"/>
          <w:sz w:val="24"/>
          <w:szCs w:val="32"/>
          <w:lang w:val="en-US" w:eastAsia="zh-CN"/>
        </w:rPr>
        <w:t>相关专项预案，实施联动救援。</w:t>
      </w:r>
    </w:p>
    <w:p w14:paraId="5E5ECBD2">
      <w:pPr>
        <w:pStyle w:val="3"/>
        <w:numPr>
          <w:ilvl w:val="1"/>
          <w:numId w:val="9"/>
        </w:numPr>
        <w:spacing w:before="210" w:after="210" w:line="500" w:lineRule="exact"/>
        <w:ind w:left="567" w:leftChars="0" w:hanging="567" w:firstLineChars="0"/>
        <w:rPr>
          <w:rFonts w:hint="default" w:ascii="Times New Roman" w:hAnsi="Times New Roman" w:eastAsia="宋体" w:cs="Times New Roman"/>
          <w:b/>
          <w:bCs w:val="0"/>
          <w:color w:val="000000"/>
          <w:sz w:val="28"/>
          <w:szCs w:val="22"/>
          <w:lang w:val="en-US" w:eastAsia="zh-CN"/>
        </w:rPr>
      </w:pPr>
      <w:bookmarkStart w:id="100" w:name="_bookmark41"/>
      <w:bookmarkEnd w:id="100"/>
      <w:bookmarkStart w:id="101" w:name="_Toc20778"/>
      <w:r>
        <w:rPr>
          <w:rFonts w:hint="default" w:ascii="Times New Roman" w:hAnsi="Times New Roman" w:eastAsia="宋体" w:cs="Times New Roman"/>
          <w:b/>
          <w:bCs w:val="0"/>
          <w:color w:val="000000"/>
          <w:sz w:val="28"/>
          <w:szCs w:val="22"/>
          <w:lang w:val="en-US" w:eastAsia="zh-CN"/>
        </w:rPr>
        <w:t>风险评价结论与建议</w:t>
      </w:r>
      <w:bookmarkEnd w:id="101"/>
    </w:p>
    <w:p w14:paraId="6BE03AC9">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结论</w:t>
      </w:r>
    </w:p>
    <w:p w14:paraId="18F724D3">
      <w:pPr>
        <w:autoSpaceDE w:val="0"/>
        <w:autoSpaceDN w:val="0"/>
        <w:adjustRightInd w:val="0"/>
        <w:spacing w:line="500" w:lineRule="exact"/>
        <w:ind w:firstLine="52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1、项目危险因素</w:t>
      </w:r>
    </w:p>
    <w:p w14:paraId="17D5D703">
      <w:pPr>
        <w:autoSpaceDE w:val="0"/>
        <w:autoSpaceDN w:val="0"/>
        <w:adjustRightInd w:val="0"/>
        <w:spacing w:line="500" w:lineRule="exact"/>
        <w:ind w:firstLine="52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项目涉及的主要储存物质中多数物质属于有毒有害物质。其中磷酸、</w:t>
      </w:r>
      <w:r>
        <w:rPr>
          <w:rFonts w:hint="eastAsia" w:cs="Times New Roman"/>
          <w:color w:val="auto"/>
          <w:spacing w:val="10"/>
          <w:sz w:val="24"/>
          <w:szCs w:val="32"/>
          <w:lang w:val="en-US" w:eastAsia="zh-CN"/>
        </w:rPr>
        <w:t>盐酸</w:t>
      </w:r>
      <w:r>
        <w:rPr>
          <w:rFonts w:hint="default" w:ascii="Times New Roman" w:hAnsi="Times New Roman" w:eastAsia="宋体" w:cs="Times New Roman"/>
          <w:color w:val="auto"/>
          <w:spacing w:val="10"/>
          <w:sz w:val="24"/>
          <w:szCs w:val="32"/>
          <w:lang w:val="en-US" w:eastAsia="zh-CN"/>
        </w:rPr>
        <w:t>、</w:t>
      </w:r>
      <w:r>
        <w:rPr>
          <w:rFonts w:hint="eastAsia" w:cs="Times New Roman"/>
          <w:color w:val="auto"/>
          <w:spacing w:val="10"/>
          <w:sz w:val="24"/>
          <w:szCs w:val="32"/>
          <w:lang w:val="en-US" w:eastAsia="zh-CN"/>
        </w:rPr>
        <w:t>硫酸镍、氢氧化锂具有强腐蚀性，氟硅酸钠、氟硅酸镁、氟化钠、氟化钡、氟硅酸锌、氟硅酸钾、氟化铵、氟化钾、氟化锌为有毒害物质，具有</w:t>
      </w:r>
      <w:r>
        <w:rPr>
          <w:rFonts w:hint="default" w:ascii="Times New Roman" w:hAnsi="Times New Roman" w:eastAsia="宋体" w:cs="Times New Roman"/>
          <w:color w:val="auto"/>
          <w:spacing w:val="10"/>
          <w:sz w:val="24"/>
          <w:szCs w:val="32"/>
          <w:lang w:val="en-US" w:eastAsia="zh-CN"/>
        </w:rPr>
        <w:t>泄漏的危险性，属于本次评价的风险物质。根据风险识别，厂内重点风险源为</w:t>
      </w:r>
      <w:r>
        <w:rPr>
          <w:rFonts w:hint="eastAsia" w:cs="Times New Roman"/>
          <w:color w:val="auto"/>
          <w:spacing w:val="10"/>
          <w:sz w:val="24"/>
          <w:szCs w:val="32"/>
          <w:lang w:val="en-US" w:eastAsia="zh-CN"/>
        </w:rPr>
        <w:t>2号、4</w:t>
      </w:r>
      <w:r>
        <w:rPr>
          <w:rFonts w:hint="eastAsia" w:ascii="Times New Roman" w:hAnsi="Times New Roman" w:eastAsia="宋体" w:cs="Times New Roman"/>
          <w:color w:val="auto"/>
          <w:spacing w:val="10"/>
          <w:sz w:val="24"/>
          <w:szCs w:val="32"/>
          <w:lang w:val="en-US" w:eastAsia="zh-CN"/>
        </w:rPr>
        <w:t>号</w:t>
      </w:r>
      <w:r>
        <w:rPr>
          <w:rFonts w:hint="eastAsia" w:cs="Times New Roman"/>
          <w:color w:val="auto"/>
          <w:spacing w:val="10"/>
          <w:sz w:val="24"/>
          <w:szCs w:val="32"/>
          <w:lang w:val="en-US" w:eastAsia="zh-CN"/>
        </w:rPr>
        <w:t>、5号</w:t>
      </w:r>
      <w:r>
        <w:rPr>
          <w:rFonts w:hint="eastAsia" w:ascii="Times New Roman" w:hAnsi="Times New Roman" w:eastAsia="宋体" w:cs="Times New Roman"/>
          <w:color w:val="auto"/>
          <w:spacing w:val="10"/>
          <w:sz w:val="24"/>
          <w:szCs w:val="32"/>
          <w:lang w:val="en-US" w:eastAsia="zh-CN"/>
        </w:rPr>
        <w:t>仓库</w:t>
      </w:r>
      <w:r>
        <w:rPr>
          <w:rFonts w:hint="default" w:ascii="Times New Roman" w:hAnsi="Times New Roman" w:eastAsia="宋体" w:cs="Times New Roman"/>
          <w:color w:val="auto"/>
          <w:spacing w:val="10"/>
          <w:sz w:val="24"/>
          <w:szCs w:val="32"/>
          <w:lang w:val="en-US" w:eastAsia="zh-CN"/>
        </w:rPr>
        <w:t>（磷酸</w:t>
      </w:r>
      <w:r>
        <w:rPr>
          <w:rFonts w:hint="eastAsia" w:cs="Times New Roman"/>
          <w:color w:val="auto"/>
          <w:spacing w:val="10"/>
          <w:sz w:val="24"/>
          <w:szCs w:val="32"/>
          <w:lang w:val="en-US" w:eastAsia="zh-CN"/>
        </w:rPr>
        <w:t>、盐酸、硫酸镍、氢氧化锂、氟硅酸钠、氟硅酸镁、氟化钠、氟化钡、氟硅酸锌、氟硅酸钾、氟化铵、氟化钾、氟化锌</w:t>
      </w:r>
      <w:r>
        <w:rPr>
          <w:rFonts w:hint="default" w:ascii="Times New Roman" w:hAnsi="Times New Roman" w:eastAsia="宋体" w:cs="Times New Roman"/>
          <w:color w:val="auto"/>
          <w:spacing w:val="10"/>
          <w:sz w:val="24"/>
          <w:szCs w:val="32"/>
          <w:lang w:val="en-US" w:eastAsia="zh-CN"/>
        </w:rPr>
        <w:t>）。</w:t>
      </w:r>
    </w:p>
    <w:p w14:paraId="18126799">
      <w:pPr>
        <w:autoSpaceDE w:val="0"/>
        <w:autoSpaceDN w:val="0"/>
        <w:adjustRightInd w:val="0"/>
        <w:spacing w:line="500" w:lineRule="exact"/>
        <w:ind w:firstLine="52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2、环境敏感性及事故环境影响</w:t>
      </w:r>
    </w:p>
    <w:p w14:paraId="5DE4B629">
      <w:pPr>
        <w:autoSpaceDE w:val="0"/>
        <w:autoSpaceDN w:val="0"/>
        <w:adjustRightInd w:val="0"/>
        <w:spacing w:line="500" w:lineRule="exact"/>
        <w:ind w:firstLine="52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根据《建设项目环境风险评价技术导则》（HJ169-2018）附录D，项目大气、地表水、地下水环境风险潜势均为Ⅲ，环境风险评价等级为二级。</w:t>
      </w:r>
    </w:p>
    <w:p w14:paraId="25F6D7F9">
      <w:pPr>
        <w:autoSpaceDE w:val="0"/>
        <w:autoSpaceDN w:val="0"/>
        <w:adjustRightInd w:val="0"/>
        <w:spacing w:line="500" w:lineRule="exact"/>
        <w:ind w:firstLine="52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项目设定的最大可信环境风险事故，根据预测结果：</w:t>
      </w:r>
    </w:p>
    <w:p w14:paraId="4ED4D0BF">
      <w:pPr>
        <w:autoSpaceDE w:val="0"/>
        <w:autoSpaceDN w:val="0"/>
        <w:adjustRightInd w:val="0"/>
        <w:spacing w:line="500" w:lineRule="exact"/>
        <w:ind w:firstLine="52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①</w:t>
      </w:r>
      <w:r>
        <w:rPr>
          <w:rFonts w:hint="eastAsia" w:cs="Times New Roman"/>
          <w:color w:val="auto"/>
          <w:spacing w:val="10"/>
          <w:sz w:val="24"/>
          <w:szCs w:val="32"/>
          <w:lang w:val="en-US" w:eastAsia="zh-CN"/>
        </w:rPr>
        <w:t>5</w:t>
      </w:r>
      <w:r>
        <w:rPr>
          <w:rFonts w:hint="eastAsia" w:ascii="Times New Roman" w:hAnsi="Times New Roman" w:eastAsia="宋体" w:cs="Times New Roman"/>
          <w:color w:val="auto"/>
          <w:spacing w:val="10"/>
          <w:sz w:val="24"/>
          <w:szCs w:val="32"/>
          <w:lang w:val="en-US" w:eastAsia="zh-CN"/>
        </w:rPr>
        <w:t>号仓库</w:t>
      </w:r>
      <w:r>
        <w:rPr>
          <w:rFonts w:hint="default" w:ascii="Times New Roman" w:hAnsi="Times New Roman" w:eastAsia="宋体" w:cs="Times New Roman"/>
          <w:color w:val="auto"/>
          <w:spacing w:val="10"/>
          <w:sz w:val="24"/>
          <w:szCs w:val="32"/>
          <w:lang w:val="en-US" w:eastAsia="zh-CN"/>
        </w:rPr>
        <w:t>单个20L</w:t>
      </w:r>
      <w:r>
        <w:rPr>
          <w:rFonts w:hint="eastAsia" w:cs="Times New Roman"/>
          <w:color w:val="auto"/>
          <w:spacing w:val="10"/>
          <w:sz w:val="24"/>
          <w:szCs w:val="32"/>
          <w:lang w:val="en-US" w:eastAsia="zh-CN"/>
        </w:rPr>
        <w:t>盐酸</w:t>
      </w:r>
      <w:r>
        <w:rPr>
          <w:rFonts w:hint="default" w:ascii="Times New Roman" w:hAnsi="Times New Roman" w:eastAsia="宋体" w:cs="Times New Roman"/>
          <w:color w:val="auto"/>
          <w:spacing w:val="10"/>
          <w:sz w:val="24"/>
          <w:szCs w:val="32"/>
          <w:lang w:val="en-US" w:eastAsia="zh-CN"/>
        </w:rPr>
        <w:t>桶</w:t>
      </w:r>
      <w:r>
        <w:rPr>
          <w:rFonts w:hint="eastAsia" w:cs="Times New Roman"/>
          <w:color w:val="auto"/>
          <w:spacing w:val="10"/>
          <w:sz w:val="24"/>
          <w:szCs w:val="32"/>
          <w:lang w:val="en-US" w:eastAsia="zh-CN"/>
        </w:rPr>
        <w:t>盐酸</w:t>
      </w:r>
      <w:r>
        <w:rPr>
          <w:rFonts w:hint="default" w:ascii="Times New Roman" w:hAnsi="Times New Roman" w:eastAsia="宋体" w:cs="Times New Roman"/>
          <w:color w:val="auto"/>
          <w:spacing w:val="10"/>
          <w:sz w:val="24"/>
          <w:szCs w:val="32"/>
          <w:lang w:val="en-US" w:eastAsia="zh-CN"/>
        </w:rPr>
        <w:t>泄漏，</w:t>
      </w:r>
      <w:r>
        <w:rPr>
          <w:rFonts w:hint="eastAsia" w:cs="Times New Roman"/>
          <w:color w:val="auto"/>
          <w:spacing w:val="10"/>
          <w:sz w:val="24"/>
          <w:szCs w:val="32"/>
          <w:lang w:val="en-US" w:eastAsia="zh-CN"/>
        </w:rPr>
        <w:t>HCl</w:t>
      </w:r>
      <w:r>
        <w:rPr>
          <w:rFonts w:hint="default" w:ascii="Times New Roman" w:hAnsi="Times New Roman" w:eastAsia="宋体" w:cs="Times New Roman"/>
          <w:color w:val="auto"/>
          <w:spacing w:val="10"/>
          <w:sz w:val="24"/>
          <w:szCs w:val="32"/>
          <w:lang w:val="en-US" w:eastAsia="zh-CN"/>
        </w:rPr>
        <w:t>污染物释放进入大气环境，造成大气风险事故情形下，对应的气象条件均为大气稳定度F下的气象因素，出现超大气毒性终点浓度-1的最远距离为</w:t>
      </w:r>
      <w:r>
        <w:rPr>
          <w:rFonts w:hint="eastAsia" w:ascii="Times New Roman" w:hAnsi="Times New Roman" w:eastAsia="宋体" w:cs="Times New Roman"/>
          <w:color w:val="auto"/>
          <w:spacing w:val="10"/>
          <w:sz w:val="24"/>
          <w:szCs w:val="32"/>
          <w:lang w:val="en-US" w:eastAsia="zh-CN"/>
        </w:rPr>
        <w:t>220</w:t>
      </w:r>
      <w:r>
        <w:rPr>
          <w:rFonts w:hint="default" w:ascii="Times New Roman" w:hAnsi="Times New Roman" w:eastAsia="宋体" w:cs="Times New Roman"/>
          <w:color w:val="auto"/>
          <w:spacing w:val="10"/>
          <w:sz w:val="24"/>
          <w:szCs w:val="32"/>
          <w:lang w:val="en-US" w:eastAsia="zh-CN"/>
        </w:rPr>
        <w:t>m，出现超大气毒性终点浓度-2的最远距离为</w:t>
      </w:r>
      <w:r>
        <w:rPr>
          <w:rFonts w:hint="eastAsia" w:ascii="Times New Roman" w:hAnsi="Times New Roman" w:eastAsia="宋体" w:cs="Times New Roman"/>
          <w:color w:val="auto"/>
          <w:spacing w:val="10"/>
          <w:sz w:val="24"/>
          <w:szCs w:val="32"/>
          <w:lang w:val="en-US" w:eastAsia="zh-CN"/>
        </w:rPr>
        <w:t>7</w:t>
      </w:r>
      <w:r>
        <w:rPr>
          <w:rFonts w:hint="default" w:ascii="Times New Roman" w:hAnsi="Times New Roman" w:eastAsia="宋体" w:cs="Times New Roman"/>
          <w:color w:val="auto"/>
          <w:spacing w:val="10"/>
          <w:sz w:val="24"/>
          <w:szCs w:val="32"/>
          <w:lang w:val="en-US" w:eastAsia="zh-CN"/>
        </w:rPr>
        <w:t>20m，此情境下，最大影响区域范围内</w:t>
      </w:r>
      <w:r>
        <w:rPr>
          <w:rFonts w:hint="eastAsia" w:ascii="Times New Roman" w:hAnsi="Times New Roman" w:eastAsia="宋体" w:cs="Times New Roman"/>
          <w:color w:val="auto"/>
          <w:spacing w:val="10"/>
          <w:sz w:val="24"/>
          <w:szCs w:val="32"/>
          <w:lang w:val="en-US" w:eastAsia="zh-CN"/>
        </w:rPr>
        <w:t>存在沙岗头村</w:t>
      </w:r>
      <w:r>
        <w:rPr>
          <w:rFonts w:hint="default" w:ascii="Times New Roman" w:hAnsi="Times New Roman" w:eastAsia="宋体" w:cs="Times New Roman"/>
          <w:color w:val="auto"/>
          <w:spacing w:val="10"/>
          <w:sz w:val="24"/>
          <w:szCs w:val="32"/>
          <w:lang w:val="en-US" w:eastAsia="zh-CN"/>
        </w:rPr>
        <w:t>环境风险敏感点。</w:t>
      </w:r>
    </w:p>
    <w:p w14:paraId="53581D2F">
      <w:pPr>
        <w:autoSpaceDE w:val="0"/>
        <w:autoSpaceDN w:val="0"/>
        <w:adjustRightInd w:val="0"/>
        <w:spacing w:line="500" w:lineRule="exact"/>
        <w:ind w:firstLine="52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②</w:t>
      </w:r>
      <w:r>
        <w:rPr>
          <w:rFonts w:hint="eastAsia" w:cs="Times New Roman"/>
          <w:color w:val="auto"/>
          <w:spacing w:val="10"/>
          <w:sz w:val="24"/>
          <w:szCs w:val="32"/>
          <w:lang w:val="en-US" w:eastAsia="zh-CN"/>
        </w:rPr>
        <w:t>磷酸泄漏，事故应急池破裂，磷酸进入地下水环境，</w:t>
      </w:r>
      <w:r>
        <w:rPr>
          <w:rFonts w:hint="default" w:ascii="Times New Roman" w:hAnsi="Times New Roman" w:eastAsia="宋体" w:cs="Times New Roman"/>
          <w:color w:val="auto"/>
          <w:spacing w:val="10"/>
          <w:sz w:val="24"/>
          <w:szCs w:val="32"/>
          <w:lang w:val="en-US" w:eastAsia="zh-CN"/>
        </w:rPr>
        <w:t>发生后渗漏液随着时间的推移污染晕面积逐步扩大，但在项目区地下水净化作用下污染晕中各污染物的浓度逐渐变小。磷酸泄漏后，总磷浓度在下游</w:t>
      </w:r>
      <w:r>
        <w:rPr>
          <w:rFonts w:hint="eastAsia" w:cs="Times New Roman"/>
          <w:color w:val="auto"/>
          <w:spacing w:val="10"/>
          <w:sz w:val="24"/>
          <w:szCs w:val="32"/>
          <w:lang w:val="en-US" w:eastAsia="zh-CN"/>
        </w:rPr>
        <w:t>51</w:t>
      </w:r>
      <w:r>
        <w:rPr>
          <w:rFonts w:hint="default" w:ascii="Times New Roman" w:hAnsi="Times New Roman" w:eastAsia="宋体" w:cs="Times New Roman"/>
          <w:color w:val="auto"/>
          <w:spacing w:val="10"/>
          <w:sz w:val="24"/>
          <w:szCs w:val="32"/>
          <w:lang w:val="en-US" w:eastAsia="zh-CN"/>
        </w:rPr>
        <w:t>m范围以外均达到《地表水环境质量标准》（GB3838-2002）Ⅲ类水标准，且项目下游及500m范围内均不存在地下水保护目标，因此，项目的运营不会对地下水环境造成明显影响，不会威胁到村庄村民的用水安全。</w:t>
      </w:r>
      <w:r>
        <w:rPr>
          <w:rFonts w:hint="eastAsia" w:cs="Times New Roman"/>
          <w:color w:val="000000"/>
          <w:spacing w:val="10"/>
          <w:sz w:val="24"/>
          <w:szCs w:val="32"/>
          <w:lang w:val="en-US" w:eastAsia="zh-CN"/>
        </w:rPr>
        <w:t>污染物泄漏后到达污染物排放边界钦州湾海域，污染物进入钦州湾海域后，经海水稀释，对海洋环境影响不大。</w:t>
      </w:r>
    </w:p>
    <w:p w14:paraId="1FCFB3FB">
      <w:pPr>
        <w:autoSpaceDE w:val="0"/>
        <w:autoSpaceDN w:val="0"/>
        <w:adjustRightInd w:val="0"/>
        <w:spacing w:line="500" w:lineRule="exact"/>
        <w:ind w:firstLine="520" w:firstLineChars="200"/>
        <w:rPr>
          <w:rFonts w:hint="default" w:ascii="Times New Roman" w:hAnsi="Times New Roman" w:eastAsia="宋体" w:cs="Times New Roman"/>
          <w:color w:val="auto"/>
          <w:spacing w:val="10"/>
          <w:sz w:val="24"/>
          <w:szCs w:val="32"/>
          <w:lang w:val="en-US" w:eastAsia="zh-CN"/>
        </w:rPr>
      </w:pPr>
      <w:r>
        <w:rPr>
          <w:rFonts w:hint="default" w:ascii="Times New Roman" w:hAnsi="Times New Roman" w:eastAsia="宋体" w:cs="Times New Roman"/>
          <w:color w:val="auto"/>
          <w:spacing w:val="10"/>
          <w:sz w:val="24"/>
          <w:szCs w:val="32"/>
          <w:lang w:val="en-US" w:eastAsia="zh-CN"/>
        </w:rPr>
        <w:t>污染物扩散范围主要与地层结构及其渗透性、水文地质条件、废液下渗量以及某种污染物浓度的背景值等因素有关。其中地层结构及其渗透性、水文地质条件为主要因素，从水文地质单元来看，项目所在地水力梯度小，水流速度慢，污染物不容易随水流迁移，污染物在其中迁移距离较小。</w:t>
      </w:r>
    </w:p>
    <w:p w14:paraId="72852891">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3、环境风险防范措施和应急预案</w:t>
      </w:r>
    </w:p>
    <w:p w14:paraId="554E6562">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项目风险防范措施及应急预案合理、可行，项目建设水体污染事故</w:t>
      </w:r>
      <w:r>
        <w:rPr>
          <w:rFonts w:hint="eastAsia" w:ascii="Times New Roman" w:hAnsi="Times New Roman" w:eastAsia="宋体" w:cs="Times New Roman"/>
          <w:color w:val="000000"/>
          <w:spacing w:val="10"/>
          <w:sz w:val="24"/>
          <w:szCs w:val="32"/>
          <w:lang w:val="en-US" w:eastAsia="zh-CN"/>
        </w:rPr>
        <w:t>二</w:t>
      </w:r>
      <w:r>
        <w:rPr>
          <w:rFonts w:hint="default" w:ascii="Times New Roman" w:hAnsi="Times New Roman" w:eastAsia="宋体" w:cs="Times New Roman"/>
          <w:color w:val="000000"/>
          <w:spacing w:val="10"/>
          <w:sz w:val="24"/>
          <w:szCs w:val="32"/>
          <w:lang w:val="en-US" w:eastAsia="zh-CN"/>
        </w:rPr>
        <w:t>级防控系统可有效防控本项目事故废水不排出厂区。厂区应急预案纳入园区环境风险防控体系和管理的衔接要求，实现厂区与园区环境风险防控设施及管理的有效联动，有效防控环境风险。</w:t>
      </w:r>
    </w:p>
    <w:p w14:paraId="2BBE0833">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4、环境风险评价结论与建议</w:t>
      </w:r>
    </w:p>
    <w:p w14:paraId="3AFA72CA">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项目环境风险的影响范围内没有敏感点。在落实本报告提出的各项风险管控措施和建议的前提下，项目环境风险可防可控。</w:t>
      </w:r>
    </w:p>
    <w:p w14:paraId="71FE010D">
      <w:pPr>
        <w:keepNext/>
        <w:keepLines/>
        <w:numPr>
          <w:ilvl w:val="2"/>
          <w:numId w:val="9"/>
        </w:numPr>
        <w:spacing w:before="126" w:after="126" w:line="500" w:lineRule="exact"/>
        <w:ind w:left="709" w:leftChars="0" w:hanging="709" w:firstLineChars="0"/>
        <w:outlineLvl w:val="2"/>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建议</w:t>
      </w:r>
    </w:p>
    <w:p w14:paraId="2E01417F">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1、应在后续的设计、建设和运行过程中，严格按照国家、行业和地方的法律法规和相关标准、规范的要求，健全、完善、落实和保持公司风险源的安全控制措施和设施。</w:t>
      </w:r>
      <w:r>
        <w:rPr>
          <w:rFonts w:hint="eastAsia" w:cs="Times New Roman"/>
          <w:color w:val="000000"/>
          <w:spacing w:val="10"/>
          <w:sz w:val="24"/>
          <w:szCs w:val="32"/>
          <w:lang w:val="en-US" w:eastAsia="zh-CN"/>
        </w:rPr>
        <w:t>加强员工环保和安全意识，规范操作。</w:t>
      </w:r>
    </w:p>
    <w:p w14:paraId="3C1C32D1">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2、确保本项目危险化学品储存区与周边设施的距离满足国家相关规范的要求。</w:t>
      </w:r>
    </w:p>
    <w:p w14:paraId="1D40BE4F">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3、建立、完善和落实事故预防措施和应急预案，进一步提高公司设备的安全水平，保障人员和财产的安全，将环境风险降低到合理可行的最低水平上。</w:t>
      </w:r>
    </w:p>
    <w:p w14:paraId="4DAA1455">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4、按照</w:t>
      </w:r>
      <w:r>
        <w:rPr>
          <w:rFonts w:hint="eastAsia"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企业自救、属地为主、分级响应、区域联动</w:t>
      </w:r>
      <w:r>
        <w:rPr>
          <w:rFonts w:hint="eastAsia" w:cs="Times New Roman"/>
          <w:color w:val="000000"/>
          <w:spacing w:val="10"/>
          <w:sz w:val="24"/>
          <w:szCs w:val="32"/>
          <w:lang w:val="en-US" w:eastAsia="zh-CN"/>
        </w:rPr>
        <w:t>”</w:t>
      </w:r>
      <w:r>
        <w:rPr>
          <w:rFonts w:hint="default" w:ascii="Times New Roman" w:hAnsi="Times New Roman" w:eastAsia="宋体" w:cs="Times New Roman"/>
          <w:color w:val="000000"/>
          <w:spacing w:val="10"/>
          <w:sz w:val="24"/>
          <w:szCs w:val="32"/>
          <w:lang w:val="en-US" w:eastAsia="zh-CN"/>
        </w:rPr>
        <w:t>的原则，制定企业突发环境事故应急预案，并实现与地方政府或相关管理部门突发环境事故应急预案的有效衔接。</w:t>
      </w:r>
    </w:p>
    <w:p w14:paraId="75BF6964">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5、建设单位安全环保部、安全环保组工作人员对公司各级领导和员工进行相应的各级《环境风险事故应急预案》进行宣传和培训，并定期组织演练。</w:t>
      </w:r>
    </w:p>
    <w:p w14:paraId="0DC59766">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6、建设单位必须高度重视，做到风险防范警钟</w:t>
      </w:r>
      <w:r>
        <w:rPr>
          <w:rFonts w:hint="eastAsia" w:ascii="Times New Roman" w:hAnsi="Times New Roman" w:eastAsia="宋体" w:cs="Times New Roman"/>
          <w:color w:val="000000"/>
          <w:spacing w:val="10"/>
          <w:sz w:val="24"/>
          <w:szCs w:val="32"/>
          <w:lang w:val="en-US" w:eastAsia="zh-CN"/>
        </w:rPr>
        <w:t>长</w:t>
      </w:r>
      <w:r>
        <w:rPr>
          <w:rFonts w:hint="default" w:ascii="Times New Roman" w:hAnsi="Times New Roman" w:eastAsia="宋体" w:cs="Times New Roman"/>
          <w:color w:val="000000"/>
          <w:spacing w:val="10"/>
          <w:sz w:val="24"/>
          <w:szCs w:val="32"/>
          <w:lang w:val="en-US" w:eastAsia="zh-CN"/>
        </w:rPr>
        <w:t>鸣，环境安全管理常抓不懈；严格落实各项风险防范措施，不断完善风险管理体系。</w:t>
      </w:r>
    </w:p>
    <w:p w14:paraId="0CEAE09A">
      <w:pPr>
        <w:autoSpaceDE w:val="0"/>
        <w:autoSpaceDN w:val="0"/>
        <w:adjustRightInd w:val="0"/>
        <w:spacing w:line="500" w:lineRule="exact"/>
        <w:ind w:firstLine="520" w:firstLineChars="200"/>
        <w:rPr>
          <w:rFonts w:hint="default" w:ascii="Times New Roman" w:hAnsi="Times New Roman" w:eastAsia="宋体" w:cs="Times New Roman"/>
          <w:color w:val="000000"/>
          <w:spacing w:val="10"/>
          <w:sz w:val="24"/>
          <w:szCs w:val="32"/>
          <w:lang w:val="en-US" w:eastAsia="zh-CN"/>
        </w:rPr>
      </w:pPr>
      <w:r>
        <w:rPr>
          <w:rFonts w:hint="default" w:ascii="Times New Roman" w:hAnsi="Times New Roman" w:eastAsia="宋体" w:cs="Times New Roman"/>
          <w:color w:val="000000"/>
          <w:spacing w:val="10"/>
          <w:sz w:val="24"/>
          <w:szCs w:val="32"/>
          <w:lang w:val="en-US" w:eastAsia="zh-CN"/>
        </w:rPr>
        <w:t>7、待本项目投产后，建设单位应根据管理的需要，进行环境影响后评价。</w:t>
      </w:r>
    </w:p>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ˎ̥">
    <w:altName w:val="Times New Roman"/>
    <w:panose1 w:val="00000000000000000000"/>
    <w:charset w:val="00"/>
    <w:family w:val="swiss"/>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57D47">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D7681">
    <w:pPr>
      <w:pStyle w:val="13"/>
      <w:framePr w:wrap="around" w:vAnchor="text" w:hAnchor="margin" w:xAlign="center" w:y="1"/>
      <w:rPr>
        <w:rStyle w:val="22"/>
      </w:rPr>
    </w:pPr>
    <w:r>
      <w:fldChar w:fldCharType="begin"/>
    </w:r>
    <w:r>
      <w:rPr>
        <w:rStyle w:val="22"/>
      </w:rPr>
      <w:instrText xml:space="preserve">PAGE  </w:instrText>
    </w:r>
    <w:r>
      <w:fldChar w:fldCharType="end"/>
    </w:r>
  </w:p>
  <w:p w14:paraId="629C2DA1">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156B0">
    <w:pPr>
      <w:pStyle w:val="13"/>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BB51C">
    <w:pPr>
      <w:pStyle w:val="13"/>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5D7E2F">
                          <w:pPr>
                            <w:pStyle w:val="13"/>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30</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4D5D7E2F">
                    <w:pPr>
                      <w:pStyle w:val="13"/>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30</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B71EA">
    <w:pPr>
      <w:pStyle w:val="13"/>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CF0C70">
                          <w:pPr>
                            <w:pStyle w:val="13"/>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35</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0Ae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ctrShy3OPHzzx/nX3/Ov78T&#10;9KFAfYAa8x4CZqbhgx9wbWY/oDPzHlS0+YuMCMZR3tNFXjkkIvKj1XK1qjAkMDZfEJ89Pg8R0kfp&#10;LclGQyPOr8jKj3eQxtQ5JVdz/lYbU2Zo3H8OxMwelnsfe8xWGnbDRGjn2xPy6XH0DXW46ZSYTw6V&#10;zVsyG3E2drNxCFHvu7JGuR6E94eETZTecoURdiqMMyvspv3KS/HvvWQ9/l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DQB4yQEAAJsDAAAOAAAAAAAAAAEAIAAAAB4BAABkcnMvZTJvRG9j&#10;LnhtbFBLBQYAAAAABgAGAFkBAABZBQAAAAA=&#10;">
              <v:fill on="f" focussize="0,0"/>
              <v:stroke on="f"/>
              <v:imagedata o:title=""/>
              <o:lock v:ext="edit" aspectratio="f"/>
              <v:textbox inset="0mm,0mm,0mm,0mm" style="mso-fit-shape-to-text:t;">
                <w:txbxContent>
                  <w:p w14:paraId="2ACF0C70">
                    <w:pPr>
                      <w:pStyle w:val="13"/>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35</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6B96B">
    <w:pPr>
      <w:pStyle w:val="13"/>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336D3">
    <w:pPr>
      <w:pStyle w:val="13"/>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EE73FE">
                          <w:pPr>
                            <w:pStyle w:val="13"/>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PcoMoBAACb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PcoMoBAACbAwAADgAAAAAAAAABACAAAAAeAQAAZHJzL2Uyb0Rv&#10;Yy54bWxQSwUGAAAAAAYABgBZAQAAWgUAAAAA&#10;">
              <v:fill on="f" focussize="0,0"/>
              <v:stroke on="f"/>
              <v:imagedata o:title=""/>
              <o:lock v:ext="edit" aspectratio="f"/>
              <v:textbox inset="0mm,0mm,0mm,0mm" style="mso-fit-shape-to-text:t;">
                <w:txbxContent>
                  <w:p w14:paraId="45EE73FE">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5E7F5">
    <w:pPr>
      <w:pStyle w:val="13"/>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C74E98">
                          <w:pPr>
                            <w:pStyle w:val="13"/>
                          </w:pPr>
                          <w:r>
                            <w:fldChar w:fldCharType="begin"/>
                          </w:r>
                          <w:r>
                            <w:instrText xml:space="preserve"> PAGE  \* MERGEFORMAT </w:instrText>
                          </w:r>
                          <w:r>
                            <w:fldChar w:fldCharType="separate"/>
                          </w:r>
                          <w:r>
                            <w:t>62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14:paraId="32C74E98">
                    <w:pPr>
                      <w:pStyle w:val="1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89B59">
    <w:pPr>
      <w:pStyle w:val="13"/>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62A7D0">
                          <w:pPr>
                            <w:pStyle w:val="13"/>
                          </w:pPr>
                          <w:r>
                            <w:fldChar w:fldCharType="begin"/>
                          </w:r>
                          <w:r>
                            <w:instrText xml:space="preserve"> PAGE  \* MERGEFORMAT </w:instrText>
                          </w:r>
                          <w:r>
                            <w:fldChar w:fldCharType="separate"/>
                          </w:r>
                          <w:r>
                            <w:t>63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14:paraId="0B62A7D0">
                    <w:pPr>
                      <w:pStyle w:val="13"/>
                    </w:pPr>
                    <w:r>
                      <w:fldChar w:fldCharType="begin"/>
                    </w:r>
                    <w:r>
                      <w:instrText xml:space="preserve"> PAGE  \* MERGEFORMAT </w:instrText>
                    </w:r>
                    <w:r>
                      <w:fldChar w:fldCharType="separate"/>
                    </w:r>
                    <w:r>
                      <w:t>63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072CFF"/>
    <w:multiLevelType w:val="singleLevel"/>
    <w:tmpl w:val="C7072CFF"/>
    <w:lvl w:ilvl="0" w:tentative="0">
      <w:start w:val="2"/>
      <w:numFmt w:val="decimal"/>
      <w:suff w:val="nothing"/>
      <w:lvlText w:val="%1）"/>
      <w:lvlJc w:val="left"/>
    </w:lvl>
  </w:abstractNum>
  <w:abstractNum w:abstractNumId="1">
    <w:nsid w:val="D38165BC"/>
    <w:multiLevelType w:val="singleLevel"/>
    <w:tmpl w:val="D38165BC"/>
    <w:lvl w:ilvl="0" w:tentative="0">
      <w:start w:val="1"/>
      <w:numFmt w:val="decimal"/>
      <w:suff w:val="space"/>
      <w:lvlText w:val="%1."/>
      <w:lvlJc w:val="left"/>
    </w:lvl>
  </w:abstractNum>
  <w:abstractNum w:abstractNumId="2">
    <w:nsid w:val="DB7C0914"/>
    <w:multiLevelType w:val="singleLevel"/>
    <w:tmpl w:val="DB7C0914"/>
    <w:lvl w:ilvl="0" w:tentative="0">
      <w:start w:val="2"/>
      <w:numFmt w:val="decimal"/>
      <w:suff w:val="nothing"/>
      <w:lvlText w:val="%1、"/>
      <w:lvlJc w:val="left"/>
    </w:lvl>
  </w:abstractNum>
  <w:abstractNum w:abstractNumId="3">
    <w:nsid w:val="DDE8CF9C"/>
    <w:multiLevelType w:val="singleLevel"/>
    <w:tmpl w:val="DDE8CF9C"/>
    <w:lvl w:ilvl="0" w:tentative="0">
      <w:start w:val="4"/>
      <w:numFmt w:val="decimal"/>
      <w:suff w:val="space"/>
      <w:lvlText w:val="%1."/>
      <w:lvlJc w:val="left"/>
    </w:lvl>
  </w:abstractNum>
  <w:abstractNum w:abstractNumId="4">
    <w:nsid w:val="F27D994F"/>
    <w:multiLevelType w:val="singleLevel"/>
    <w:tmpl w:val="F27D994F"/>
    <w:lvl w:ilvl="0" w:tentative="0">
      <w:start w:val="1"/>
      <w:numFmt w:val="decimal"/>
      <w:suff w:val="space"/>
      <w:lvlText w:val="%1."/>
      <w:lvlJc w:val="left"/>
    </w:lvl>
  </w:abstractNum>
  <w:abstractNum w:abstractNumId="5">
    <w:nsid w:val="F424111E"/>
    <w:multiLevelType w:val="multilevel"/>
    <w:tmpl w:val="F424111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FDABFBD0"/>
    <w:multiLevelType w:val="singleLevel"/>
    <w:tmpl w:val="FDABFBD0"/>
    <w:lvl w:ilvl="0" w:tentative="0">
      <w:start w:val="5"/>
      <w:numFmt w:val="decimal"/>
      <w:suff w:val="nothing"/>
      <w:lvlText w:val="%1、"/>
      <w:lvlJc w:val="left"/>
    </w:lvl>
  </w:abstractNum>
  <w:abstractNum w:abstractNumId="7">
    <w:nsid w:val="00000005"/>
    <w:multiLevelType w:val="multilevel"/>
    <w:tmpl w:val="00000005"/>
    <w:lvl w:ilvl="0" w:tentative="0">
      <w:start w:val="1"/>
      <w:numFmt w:val="decimal"/>
      <w:lvlText w:val="第%1章  "/>
      <w:lvlJc w:val="left"/>
      <w:pPr>
        <w:tabs>
          <w:tab w:val="left" w:pos="3065"/>
        </w:tabs>
        <w:ind w:left="2410" w:hanging="425"/>
      </w:pPr>
      <w:rPr>
        <w:rFonts w:hint="eastAsia"/>
        <w:color w:val="auto"/>
      </w:rPr>
    </w:lvl>
    <w:lvl w:ilvl="1" w:tentative="0">
      <w:start w:val="1"/>
      <w:numFmt w:val="decimal"/>
      <w:lvlText w:val="%1.%2 "/>
      <w:lvlJc w:val="left"/>
      <w:pPr>
        <w:tabs>
          <w:tab w:val="left" w:pos="3217"/>
        </w:tabs>
        <w:ind w:left="3217" w:hanging="567"/>
      </w:pPr>
      <w:rPr>
        <w:rFonts w:hint="eastAsia"/>
        <w:lang w:val="en-US"/>
      </w:rPr>
    </w:lvl>
    <w:lvl w:ilvl="2" w:tentative="0">
      <w:start w:val="1"/>
      <w:numFmt w:val="decimal"/>
      <w:lvlText w:val="%1.%2.%3 "/>
      <w:lvlJc w:val="left"/>
      <w:pPr>
        <w:tabs>
          <w:tab w:val="left" w:pos="1080"/>
        </w:tabs>
        <w:ind w:left="709" w:hanging="709"/>
      </w:pPr>
      <w:rPr>
        <w:rFonts w:hint="default" w:ascii="Times New Roman" w:hAnsi="Times New Roman"/>
        <w:b/>
        <w:i w:val="0"/>
      </w:rPr>
    </w:lvl>
    <w:lvl w:ilvl="3" w:tentative="0">
      <w:start w:val="1"/>
      <w:numFmt w:val="decimal"/>
      <w:lvlRestart w:val="1"/>
      <w:lvlText w:val="表%1-%4"/>
      <w:lvlJc w:val="center"/>
      <w:pPr>
        <w:tabs>
          <w:tab w:val="left" w:pos="2973"/>
        </w:tabs>
        <w:ind w:left="7008" w:hanging="563"/>
      </w:pPr>
      <w:rPr>
        <w:rFonts w:hint="default" w:ascii="Times New Roman" w:hAnsi="Times New Roman" w:eastAsia="宋体"/>
        <w:b/>
        <w:i w:val="0"/>
        <w:color w:val="auto"/>
        <w:sz w:val="24"/>
        <w:lang w:val="en-US"/>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0DB9EFD2"/>
    <w:multiLevelType w:val="multilevel"/>
    <w:tmpl w:val="0DB9EFD2"/>
    <w:lvl w:ilvl="0" w:tentative="0">
      <w:start w:val="1"/>
      <w:numFmt w:val="decimal"/>
      <w:suff w:val="space"/>
      <w:lvlText w:val="%1."/>
      <w:lvlJc w:val="left"/>
      <w:pPr>
        <w:ind w:left="425" w:hanging="425"/>
      </w:pPr>
      <w:rPr>
        <w:rFonts w:hint="default" w:ascii="Times New Roman" w:hAnsi="Times New Roman" w:eastAsia="黑体"/>
        <w:b w:val="0"/>
        <w:i w:val="0"/>
        <w:sz w:val="32"/>
      </w:rPr>
    </w:lvl>
    <w:lvl w:ilvl="1" w:tentative="0">
      <w:start w:val="1"/>
      <w:numFmt w:val="decimal"/>
      <w:suff w:val="space"/>
      <w:lvlText w:val="%1.%2."/>
      <w:lvlJc w:val="left"/>
      <w:pPr>
        <w:ind w:left="0" w:firstLine="0"/>
      </w:pPr>
      <w:rPr>
        <w:rFonts w:hint="eastAsia" w:ascii="Times New Roman" w:hAnsi="Times New Roman"/>
        <w:b w:val="0"/>
        <w:bCs w:val="0"/>
        <w:i w:val="0"/>
        <w:iCs w:val="0"/>
        <w:caps w:val="0"/>
        <w:smallCaps w:val="0"/>
        <w:strike w:val="0"/>
        <w:dstrike w:val="0"/>
        <w:vanish w:val="0"/>
        <w:spacing w:val="0"/>
        <w:kern w:val="0"/>
        <w:position w:val="0"/>
        <w:u w:val="none"/>
        <w:vertAlign w:val="baseline"/>
        <w:lang w:bidi="zh-CN"/>
        <w14:ligatures w14:val="none"/>
        <w14:numForm w14:val="default"/>
        <w14:numSpacing w14:val="default"/>
        <w14:cntxtalts w14:val="0"/>
      </w:rPr>
    </w:lvl>
    <w:lvl w:ilvl="2" w:tentative="0">
      <w:start w:val="1"/>
      <w:numFmt w:val="decimal"/>
      <w:suff w:val="space"/>
      <w:lvlText w:val="%1.%2.%3."/>
      <w:lvlJc w:val="left"/>
      <w:pPr>
        <w:ind w:left="0" w:leftChars="0" w:firstLine="0" w:firstLineChars="0"/>
      </w:pPr>
      <w:rPr>
        <w:rFonts w:hint="eastAsia"/>
      </w:rPr>
    </w:lvl>
    <w:lvl w:ilvl="3" w:tentative="0">
      <w:start w:val="1"/>
      <w:numFmt w:val="decimal"/>
      <w:lvlText w:val="%1.%2.%3.%4."/>
      <w:lvlJc w:val="left"/>
      <w:pPr>
        <w:ind w:left="0" w:firstLine="0"/>
      </w:pPr>
      <w:rPr>
        <w:rFonts w:hint="eastAsia" w:ascii="Times New Roman" w:hAnsi="Times New Roman"/>
        <w:b w:val="0"/>
        <w:bCs w:val="0"/>
        <w:i w:val="0"/>
        <w:iCs w:val="0"/>
        <w:caps w:val="0"/>
        <w:smallCaps w:val="0"/>
        <w:strike w:val="0"/>
        <w:dstrike w:val="0"/>
        <w:vanish w:val="0"/>
        <w:spacing w:val="0"/>
        <w:kern w:val="0"/>
        <w:position w:val="0"/>
        <w:u w:val="none"/>
        <w:vertAlign w:val="baseline"/>
        <w:lang w:bidi="ar-SA"/>
        <w14:ligatures w14:val="none"/>
        <w14:numForm w14:val="default"/>
        <w14:numSpacing w14:val="default"/>
        <w14:cntxtalts w14:val="0"/>
      </w:rPr>
    </w:lvl>
    <w:lvl w:ilvl="4" w:tentative="0">
      <w:start w:val="1"/>
      <w:numFmt w:val="decimal"/>
      <w:lvlRestart w:val="2"/>
      <w:pStyle w:val="5"/>
      <w:lvlText w:val="表%1.%2-%5"/>
      <w:lvlJc w:val="center"/>
      <w:pPr>
        <w:ind w:left="0" w:leftChars="0" w:firstLine="0" w:firstLineChars="0"/>
      </w:pPr>
      <w:rPr>
        <w:rFonts w:hint="eastAsia"/>
        <w:b/>
        <w:bCs w:val="0"/>
        <w:i w:val="0"/>
        <w:iCs w:val="0"/>
        <w:caps w:val="0"/>
        <w:smallCaps w:val="0"/>
        <w:strike w:val="0"/>
        <w:dstrike w:val="0"/>
        <w:vanish w:val="0"/>
        <w:spacing w:val="0"/>
        <w:position w:val="0"/>
        <w:u w:val="none"/>
        <w:vertAlign w:val="baseline"/>
        <w:lang w:val="en-US" w:bidi="zh-CN"/>
        <w14:ligatures w14:val="none"/>
        <w14:numForm w14:val="default"/>
        <w14:numSpacing w14:val="default"/>
        <w14:cntxtalts w14:val="0"/>
      </w:rPr>
    </w:lvl>
    <w:lvl w:ilvl="5" w:tentative="0">
      <w:start w:val="1"/>
      <w:numFmt w:val="decimal"/>
      <w:lvlRestart w:val="2"/>
      <w:lvlText w:val="图%1.%2-%6"/>
      <w:lvlJc w:val="left"/>
      <w:pPr>
        <w:ind w:left="0" w:firstLine="0"/>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
    <w:nsid w:val="4F26174B"/>
    <w:multiLevelType w:val="singleLevel"/>
    <w:tmpl w:val="4F26174B"/>
    <w:lvl w:ilvl="0" w:tentative="0">
      <w:start w:val="1"/>
      <w:numFmt w:val="decimal"/>
      <w:suff w:val="space"/>
      <w:lvlText w:val="%1."/>
      <w:lvlJc w:val="left"/>
    </w:lvl>
  </w:abstractNum>
  <w:abstractNum w:abstractNumId="10">
    <w:nsid w:val="71376559"/>
    <w:multiLevelType w:val="singleLevel"/>
    <w:tmpl w:val="71376559"/>
    <w:lvl w:ilvl="0" w:tentative="0">
      <w:start w:val="12"/>
      <w:numFmt w:val="decimal"/>
      <w:suff w:val="space"/>
      <w:lvlText w:val="%1."/>
      <w:lvlJc w:val="left"/>
    </w:lvl>
  </w:abstractNum>
  <w:num w:numId="1">
    <w:abstractNumId w:val="8"/>
  </w:num>
  <w:num w:numId="2">
    <w:abstractNumId w:val="3"/>
  </w:num>
  <w:num w:numId="3">
    <w:abstractNumId w:val="10"/>
  </w:num>
  <w:num w:numId="4">
    <w:abstractNumId w:val="9"/>
  </w:num>
  <w:num w:numId="5">
    <w:abstractNumId w:val="1"/>
  </w:num>
  <w:num w:numId="6">
    <w:abstractNumId w:val="4"/>
  </w:num>
  <w:num w:numId="7">
    <w:abstractNumId w:val="6"/>
  </w:num>
  <w:num w:numId="8">
    <w:abstractNumId w:val="0"/>
  </w:num>
  <w:num w:numId="9">
    <w:abstractNumId w:val="5"/>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E96473"/>
    <w:rsid w:val="00A95A9A"/>
    <w:rsid w:val="01B14C06"/>
    <w:rsid w:val="01C42B8B"/>
    <w:rsid w:val="021F6013"/>
    <w:rsid w:val="023178D1"/>
    <w:rsid w:val="02A209F3"/>
    <w:rsid w:val="02B01361"/>
    <w:rsid w:val="02C1356F"/>
    <w:rsid w:val="03AD764F"/>
    <w:rsid w:val="03B629A7"/>
    <w:rsid w:val="03B95FF4"/>
    <w:rsid w:val="0431202E"/>
    <w:rsid w:val="04EB210A"/>
    <w:rsid w:val="050E236F"/>
    <w:rsid w:val="0526590B"/>
    <w:rsid w:val="05291032"/>
    <w:rsid w:val="05C01924"/>
    <w:rsid w:val="05F544C1"/>
    <w:rsid w:val="06293802"/>
    <w:rsid w:val="066E30C6"/>
    <w:rsid w:val="06C92E89"/>
    <w:rsid w:val="07243D1B"/>
    <w:rsid w:val="073161DB"/>
    <w:rsid w:val="07C1191B"/>
    <w:rsid w:val="081E7E70"/>
    <w:rsid w:val="08DB0FD0"/>
    <w:rsid w:val="09B5725D"/>
    <w:rsid w:val="0A652A31"/>
    <w:rsid w:val="0A83110A"/>
    <w:rsid w:val="0AA1234A"/>
    <w:rsid w:val="0AFA5870"/>
    <w:rsid w:val="0B704D42"/>
    <w:rsid w:val="0B865355"/>
    <w:rsid w:val="0CCA1272"/>
    <w:rsid w:val="0CD30126"/>
    <w:rsid w:val="0CE73BD2"/>
    <w:rsid w:val="0CEF0CD8"/>
    <w:rsid w:val="0D531267"/>
    <w:rsid w:val="0E903DF5"/>
    <w:rsid w:val="0F026AA1"/>
    <w:rsid w:val="0F8C0A60"/>
    <w:rsid w:val="0FBD0C1A"/>
    <w:rsid w:val="10533EA5"/>
    <w:rsid w:val="10542B50"/>
    <w:rsid w:val="108F0808"/>
    <w:rsid w:val="111441D3"/>
    <w:rsid w:val="11270A41"/>
    <w:rsid w:val="11427629"/>
    <w:rsid w:val="11EE3914"/>
    <w:rsid w:val="11F70BFD"/>
    <w:rsid w:val="1222745A"/>
    <w:rsid w:val="127F665A"/>
    <w:rsid w:val="140D6614"/>
    <w:rsid w:val="143F60A1"/>
    <w:rsid w:val="145204CA"/>
    <w:rsid w:val="14D67B54"/>
    <w:rsid w:val="15245608"/>
    <w:rsid w:val="1546783B"/>
    <w:rsid w:val="155142DE"/>
    <w:rsid w:val="15D46CBD"/>
    <w:rsid w:val="16025FD0"/>
    <w:rsid w:val="1638724C"/>
    <w:rsid w:val="16647AFE"/>
    <w:rsid w:val="16893F4C"/>
    <w:rsid w:val="16A668AC"/>
    <w:rsid w:val="17326590"/>
    <w:rsid w:val="175C51BC"/>
    <w:rsid w:val="17B650A8"/>
    <w:rsid w:val="17DE3E23"/>
    <w:rsid w:val="1844524F"/>
    <w:rsid w:val="18A54783"/>
    <w:rsid w:val="18A94431"/>
    <w:rsid w:val="18D82379"/>
    <w:rsid w:val="18E5190D"/>
    <w:rsid w:val="1A0E6C42"/>
    <w:rsid w:val="1A2E2E40"/>
    <w:rsid w:val="1A6520CB"/>
    <w:rsid w:val="1A9133CF"/>
    <w:rsid w:val="1BC82E20"/>
    <w:rsid w:val="1BD712B5"/>
    <w:rsid w:val="1C220782"/>
    <w:rsid w:val="1C4C0D1D"/>
    <w:rsid w:val="1C5E5E30"/>
    <w:rsid w:val="1CD81789"/>
    <w:rsid w:val="1CF2284B"/>
    <w:rsid w:val="1D1C3424"/>
    <w:rsid w:val="1D4F1A4B"/>
    <w:rsid w:val="1E2F7187"/>
    <w:rsid w:val="1E312EFF"/>
    <w:rsid w:val="1E6E4153"/>
    <w:rsid w:val="1EB458DE"/>
    <w:rsid w:val="1EC10726"/>
    <w:rsid w:val="1F0D7C31"/>
    <w:rsid w:val="1F73636E"/>
    <w:rsid w:val="1F842044"/>
    <w:rsid w:val="1FE87F35"/>
    <w:rsid w:val="20376A99"/>
    <w:rsid w:val="203E4E03"/>
    <w:rsid w:val="20692E24"/>
    <w:rsid w:val="20727BA1"/>
    <w:rsid w:val="208512E0"/>
    <w:rsid w:val="20AA343C"/>
    <w:rsid w:val="20B41BC5"/>
    <w:rsid w:val="20C91B14"/>
    <w:rsid w:val="20D33795"/>
    <w:rsid w:val="21374CD0"/>
    <w:rsid w:val="217355DC"/>
    <w:rsid w:val="219F0AC7"/>
    <w:rsid w:val="22D87DED"/>
    <w:rsid w:val="235651B5"/>
    <w:rsid w:val="2373540E"/>
    <w:rsid w:val="23F549CE"/>
    <w:rsid w:val="241237D2"/>
    <w:rsid w:val="253A4D8F"/>
    <w:rsid w:val="254A3C75"/>
    <w:rsid w:val="255F2A47"/>
    <w:rsid w:val="261E6425"/>
    <w:rsid w:val="26D27249"/>
    <w:rsid w:val="26D46B1D"/>
    <w:rsid w:val="27075144"/>
    <w:rsid w:val="273B094A"/>
    <w:rsid w:val="274C2B57"/>
    <w:rsid w:val="27DF5779"/>
    <w:rsid w:val="283A50A6"/>
    <w:rsid w:val="28D73CD2"/>
    <w:rsid w:val="2A57508D"/>
    <w:rsid w:val="2A846AAC"/>
    <w:rsid w:val="2AB32EED"/>
    <w:rsid w:val="2B2D0EF2"/>
    <w:rsid w:val="2B392F3E"/>
    <w:rsid w:val="2B7663F5"/>
    <w:rsid w:val="2C097269"/>
    <w:rsid w:val="2C2A2417"/>
    <w:rsid w:val="2CBE44F7"/>
    <w:rsid w:val="2CC3566A"/>
    <w:rsid w:val="2CE02E43"/>
    <w:rsid w:val="2D045C82"/>
    <w:rsid w:val="2D6B0BC9"/>
    <w:rsid w:val="2D7D51E9"/>
    <w:rsid w:val="2E7B3D22"/>
    <w:rsid w:val="2EA43279"/>
    <w:rsid w:val="2EC61441"/>
    <w:rsid w:val="2EE81411"/>
    <w:rsid w:val="2EFF6701"/>
    <w:rsid w:val="2F000DF7"/>
    <w:rsid w:val="2F350375"/>
    <w:rsid w:val="2F4873CC"/>
    <w:rsid w:val="2F5729E1"/>
    <w:rsid w:val="2FD302BA"/>
    <w:rsid w:val="2FDA2376"/>
    <w:rsid w:val="30090E43"/>
    <w:rsid w:val="302C1778"/>
    <w:rsid w:val="30DF4A3C"/>
    <w:rsid w:val="30E107B4"/>
    <w:rsid w:val="311A5A74"/>
    <w:rsid w:val="31E367AE"/>
    <w:rsid w:val="324C4353"/>
    <w:rsid w:val="33835B53"/>
    <w:rsid w:val="340842AA"/>
    <w:rsid w:val="350619E7"/>
    <w:rsid w:val="35B525FF"/>
    <w:rsid w:val="35E825E5"/>
    <w:rsid w:val="36271B4A"/>
    <w:rsid w:val="366C4FC4"/>
    <w:rsid w:val="373B1470"/>
    <w:rsid w:val="37B02C8E"/>
    <w:rsid w:val="385C57EA"/>
    <w:rsid w:val="387463B2"/>
    <w:rsid w:val="38B4055C"/>
    <w:rsid w:val="38D34E86"/>
    <w:rsid w:val="393C7D35"/>
    <w:rsid w:val="39D07618"/>
    <w:rsid w:val="3A7461F5"/>
    <w:rsid w:val="3ADB6957"/>
    <w:rsid w:val="3B1A0F83"/>
    <w:rsid w:val="3B37375B"/>
    <w:rsid w:val="3C2A4383"/>
    <w:rsid w:val="3C926E07"/>
    <w:rsid w:val="3D141F11"/>
    <w:rsid w:val="3D8945DD"/>
    <w:rsid w:val="3D8A5D30"/>
    <w:rsid w:val="3E296CBB"/>
    <w:rsid w:val="3F0A6A53"/>
    <w:rsid w:val="3F806D50"/>
    <w:rsid w:val="3FC03C8B"/>
    <w:rsid w:val="3FD75418"/>
    <w:rsid w:val="3FE07E89"/>
    <w:rsid w:val="40297A82"/>
    <w:rsid w:val="40CF0629"/>
    <w:rsid w:val="412A6F15"/>
    <w:rsid w:val="41C31810"/>
    <w:rsid w:val="41DC029B"/>
    <w:rsid w:val="425A03C6"/>
    <w:rsid w:val="43364990"/>
    <w:rsid w:val="437E6337"/>
    <w:rsid w:val="444E7AB7"/>
    <w:rsid w:val="453E18DA"/>
    <w:rsid w:val="455E32A3"/>
    <w:rsid w:val="458319E2"/>
    <w:rsid w:val="45A55DFD"/>
    <w:rsid w:val="468E4AE3"/>
    <w:rsid w:val="4710374A"/>
    <w:rsid w:val="473A4323"/>
    <w:rsid w:val="476475F1"/>
    <w:rsid w:val="47C86CBC"/>
    <w:rsid w:val="47ED75E7"/>
    <w:rsid w:val="485E2293"/>
    <w:rsid w:val="48C52312"/>
    <w:rsid w:val="493059DD"/>
    <w:rsid w:val="497D499A"/>
    <w:rsid w:val="49D40A5E"/>
    <w:rsid w:val="49DE08B3"/>
    <w:rsid w:val="4A366504"/>
    <w:rsid w:val="4A45370A"/>
    <w:rsid w:val="4A7B712C"/>
    <w:rsid w:val="4AF07B1A"/>
    <w:rsid w:val="4B1A619E"/>
    <w:rsid w:val="4D317F76"/>
    <w:rsid w:val="4DF01BDF"/>
    <w:rsid w:val="4E604FB7"/>
    <w:rsid w:val="4E971861"/>
    <w:rsid w:val="4F250A19"/>
    <w:rsid w:val="50B60EBE"/>
    <w:rsid w:val="517843C5"/>
    <w:rsid w:val="52A1794C"/>
    <w:rsid w:val="52BA5EAA"/>
    <w:rsid w:val="52C84ED8"/>
    <w:rsid w:val="52F67C97"/>
    <w:rsid w:val="5336296F"/>
    <w:rsid w:val="539F3E8B"/>
    <w:rsid w:val="54C33BA9"/>
    <w:rsid w:val="556273AF"/>
    <w:rsid w:val="55850729"/>
    <w:rsid w:val="55990DAE"/>
    <w:rsid w:val="55C53951"/>
    <w:rsid w:val="5621327D"/>
    <w:rsid w:val="563B3C13"/>
    <w:rsid w:val="56A8574D"/>
    <w:rsid w:val="56BA2859"/>
    <w:rsid w:val="571A1AFB"/>
    <w:rsid w:val="575C02E5"/>
    <w:rsid w:val="575D6537"/>
    <w:rsid w:val="5765719A"/>
    <w:rsid w:val="577B69BD"/>
    <w:rsid w:val="583D0117"/>
    <w:rsid w:val="58F436AE"/>
    <w:rsid w:val="58FC1D80"/>
    <w:rsid w:val="596A0D9B"/>
    <w:rsid w:val="5A026F22"/>
    <w:rsid w:val="5A0F163F"/>
    <w:rsid w:val="5A2C0443"/>
    <w:rsid w:val="5ADD34EB"/>
    <w:rsid w:val="5B6360E6"/>
    <w:rsid w:val="5B7025B1"/>
    <w:rsid w:val="5B7A0AD5"/>
    <w:rsid w:val="5BAC1760"/>
    <w:rsid w:val="5BE6199D"/>
    <w:rsid w:val="5C1A3C8F"/>
    <w:rsid w:val="5D240F74"/>
    <w:rsid w:val="5DAF116F"/>
    <w:rsid w:val="5DBA0DD1"/>
    <w:rsid w:val="5E0D40E7"/>
    <w:rsid w:val="5E0D7876"/>
    <w:rsid w:val="5E525E91"/>
    <w:rsid w:val="5F31677F"/>
    <w:rsid w:val="5F3F6522"/>
    <w:rsid w:val="5FB53D08"/>
    <w:rsid w:val="5FCF6ECD"/>
    <w:rsid w:val="5FF67529"/>
    <w:rsid w:val="60793CB6"/>
    <w:rsid w:val="60B43F73"/>
    <w:rsid w:val="60B8658C"/>
    <w:rsid w:val="60EA0710"/>
    <w:rsid w:val="61153AD3"/>
    <w:rsid w:val="61903065"/>
    <w:rsid w:val="6220088D"/>
    <w:rsid w:val="62375BD7"/>
    <w:rsid w:val="624B3430"/>
    <w:rsid w:val="626D426B"/>
    <w:rsid w:val="633A772C"/>
    <w:rsid w:val="63B95DD5"/>
    <w:rsid w:val="63BA4E72"/>
    <w:rsid w:val="63E2436F"/>
    <w:rsid w:val="644A4A48"/>
    <w:rsid w:val="6457430E"/>
    <w:rsid w:val="64DD7C3F"/>
    <w:rsid w:val="650D2C1F"/>
    <w:rsid w:val="651B533C"/>
    <w:rsid w:val="66540B05"/>
    <w:rsid w:val="66652ED8"/>
    <w:rsid w:val="667C1E0A"/>
    <w:rsid w:val="670D5158"/>
    <w:rsid w:val="67D31EFE"/>
    <w:rsid w:val="68527BB1"/>
    <w:rsid w:val="687165D8"/>
    <w:rsid w:val="68E906F9"/>
    <w:rsid w:val="68F15ADF"/>
    <w:rsid w:val="69216C99"/>
    <w:rsid w:val="6B106FC5"/>
    <w:rsid w:val="6B731339"/>
    <w:rsid w:val="6BA772DC"/>
    <w:rsid w:val="6BE0108D"/>
    <w:rsid w:val="6C474C68"/>
    <w:rsid w:val="6C9A748E"/>
    <w:rsid w:val="6CB5251A"/>
    <w:rsid w:val="6D7139D6"/>
    <w:rsid w:val="6DE33684"/>
    <w:rsid w:val="6EA42846"/>
    <w:rsid w:val="6F0D3F47"/>
    <w:rsid w:val="6F60051B"/>
    <w:rsid w:val="6F683873"/>
    <w:rsid w:val="6F8460D5"/>
    <w:rsid w:val="6FEF5D43"/>
    <w:rsid w:val="70423FE7"/>
    <w:rsid w:val="70757FF6"/>
    <w:rsid w:val="7096180D"/>
    <w:rsid w:val="70BC0FD8"/>
    <w:rsid w:val="70D72A5F"/>
    <w:rsid w:val="70F829D5"/>
    <w:rsid w:val="714A76D4"/>
    <w:rsid w:val="71CD20B4"/>
    <w:rsid w:val="72402885"/>
    <w:rsid w:val="72DA05E4"/>
    <w:rsid w:val="732226B5"/>
    <w:rsid w:val="733046A8"/>
    <w:rsid w:val="733F0D8F"/>
    <w:rsid w:val="73C372CA"/>
    <w:rsid w:val="74055B35"/>
    <w:rsid w:val="742F62D1"/>
    <w:rsid w:val="74512B28"/>
    <w:rsid w:val="74B524AA"/>
    <w:rsid w:val="74F00593"/>
    <w:rsid w:val="757F5473"/>
    <w:rsid w:val="75B23A9A"/>
    <w:rsid w:val="75BF14D2"/>
    <w:rsid w:val="75E83018"/>
    <w:rsid w:val="76AE4262"/>
    <w:rsid w:val="772F28BA"/>
    <w:rsid w:val="7768182A"/>
    <w:rsid w:val="78762B5D"/>
    <w:rsid w:val="79C36276"/>
    <w:rsid w:val="7A2D36EF"/>
    <w:rsid w:val="7A69127E"/>
    <w:rsid w:val="7B0D52CF"/>
    <w:rsid w:val="7BC1048B"/>
    <w:rsid w:val="7BCE6D01"/>
    <w:rsid w:val="7BE96473"/>
    <w:rsid w:val="7BFF10BB"/>
    <w:rsid w:val="7D0F17D2"/>
    <w:rsid w:val="7D407BDD"/>
    <w:rsid w:val="7D7A30EF"/>
    <w:rsid w:val="7D807FDA"/>
    <w:rsid w:val="7D9A72EE"/>
    <w:rsid w:val="7DB025F5"/>
    <w:rsid w:val="7DF12C86"/>
    <w:rsid w:val="7DF32EA2"/>
    <w:rsid w:val="7E1150D6"/>
    <w:rsid w:val="7E256AEE"/>
    <w:rsid w:val="7E394D59"/>
    <w:rsid w:val="7E4B702A"/>
    <w:rsid w:val="7E725B75"/>
    <w:rsid w:val="7F3E4E6B"/>
    <w:rsid w:val="7F572FBC"/>
    <w:rsid w:val="7FB0104A"/>
    <w:rsid w:val="7FEE3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spacing w:before="260" w:after="260" w:line="416" w:lineRule="atLeast"/>
      <w:ind w:firstLine="200" w:firstLineChars="200"/>
      <w:outlineLvl w:val="1"/>
    </w:pPr>
    <w:rPr>
      <w:rFonts w:ascii="Calibri Light" w:hAnsi="Calibri Light"/>
      <w:b/>
      <w:bCs/>
      <w:sz w:val="24"/>
      <w:szCs w:val="32"/>
    </w:rPr>
  </w:style>
  <w:style w:type="paragraph" w:styleId="4">
    <w:name w:val="heading 4"/>
    <w:basedOn w:val="1"/>
    <w:next w:val="1"/>
    <w:qFormat/>
    <w:uiPriority w:val="0"/>
    <w:pPr>
      <w:keepNext/>
      <w:keepLines/>
      <w:tabs>
        <w:tab w:val="left" w:pos="4008"/>
      </w:tabs>
      <w:spacing w:line="500" w:lineRule="exact"/>
      <w:ind w:left="4008" w:hanging="563"/>
      <w:jc w:val="center"/>
      <w:outlineLvl w:val="3"/>
    </w:pPr>
    <w:rPr>
      <w:rFonts w:ascii="Arial" w:hAnsi="Arial"/>
      <w:b/>
      <w:color w:val="000000"/>
      <w:sz w:val="24"/>
    </w:rPr>
  </w:style>
  <w:style w:type="paragraph" w:styleId="5">
    <w:name w:val="heading 5"/>
    <w:basedOn w:val="1"/>
    <w:next w:val="1"/>
    <w:unhideWhenUsed/>
    <w:qFormat/>
    <w:uiPriority w:val="0"/>
    <w:pPr>
      <w:numPr>
        <w:ilvl w:val="4"/>
        <w:numId w:val="1"/>
      </w:numPr>
      <w:ind w:left="0" w:firstLine="0" w:firstLineChars="0"/>
      <w:jc w:val="center"/>
      <w:outlineLvl w:val="4"/>
    </w:pPr>
    <w:rPr>
      <w:b/>
      <w:iCs/>
      <w:sz w:val="21"/>
      <w:szCs w:val="24"/>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6">
    <w:name w:val="Normal Indent"/>
    <w:basedOn w:val="1"/>
    <w:next w:val="7"/>
    <w:qFormat/>
    <w:uiPriority w:val="0"/>
    <w:pPr>
      <w:ind w:firstLine="420" w:firstLineChars="200"/>
    </w:pPr>
  </w:style>
  <w:style w:type="paragraph" w:styleId="7">
    <w:name w:val="toc 1"/>
    <w:basedOn w:val="1"/>
    <w:next w:val="1"/>
    <w:qFormat/>
    <w:uiPriority w:val="0"/>
    <w:pPr>
      <w:tabs>
        <w:tab w:val="right" w:leader="dot" w:pos="8296"/>
      </w:tabs>
      <w:jc w:val="center"/>
    </w:pPr>
    <w:rPr>
      <w:sz w:val="28"/>
      <w:szCs w:val="28"/>
    </w:rPr>
  </w:style>
  <w:style w:type="paragraph" w:styleId="8">
    <w:name w:val="annotation text"/>
    <w:basedOn w:val="1"/>
    <w:qFormat/>
    <w:uiPriority w:val="0"/>
    <w:pPr>
      <w:jc w:val="left"/>
    </w:pPr>
  </w:style>
  <w:style w:type="paragraph" w:styleId="9">
    <w:name w:val="Body Text 3"/>
    <w:basedOn w:val="1"/>
    <w:qFormat/>
    <w:uiPriority w:val="0"/>
    <w:pPr>
      <w:spacing w:after="120"/>
    </w:pPr>
    <w:rPr>
      <w:sz w:val="16"/>
      <w:szCs w:val="16"/>
    </w:rPr>
  </w:style>
  <w:style w:type="paragraph" w:styleId="10">
    <w:name w:val="Body Text"/>
    <w:basedOn w:val="1"/>
    <w:next w:val="1"/>
    <w:qFormat/>
    <w:uiPriority w:val="0"/>
    <w:pPr>
      <w:widowControl/>
      <w:snapToGrid w:val="0"/>
      <w:spacing w:before="60" w:after="160" w:line="259" w:lineRule="auto"/>
      <w:ind w:right="113"/>
    </w:pPr>
    <w:rPr>
      <w:kern w:val="0"/>
      <w:sz w:val="18"/>
      <w:szCs w:val="20"/>
    </w:rPr>
  </w:style>
  <w:style w:type="paragraph" w:styleId="11">
    <w:name w:val="Body Text Indent"/>
    <w:basedOn w:val="1"/>
    <w:next w:val="1"/>
    <w:qFormat/>
    <w:uiPriority w:val="0"/>
    <w:pPr>
      <w:spacing w:after="120"/>
      <w:ind w:left="420" w:leftChars="200"/>
    </w:pPr>
    <w:rPr>
      <w:kern w:val="0"/>
      <w:sz w:val="24"/>
      <w:szCs w:val="20"/>
    </w:rPr>
  </w:style>
  <w:style w:type="paragraph" w:styleId="12">
    <w:name w:val="Plain Text"/>
    <w:basedOn w:val="1"/>
    <w:unhideWhenUsed/>
    <w:qFormat/>
    <w:uiPriority w:val="0"/>
    <w:pPr>
      <w:widowControl/>
      <w:spacing w:before="100" w:beforeAutospacing="1" w:after="100" w:afterAutospacing="1"/>
      <w:jc w:val="left"/>
    </w:pPr>
    <w:rPr>
      <w:rFonts w:ascii="ˎ̥" w:hAnsi="ˎ̥"/>
      <w:kern w:val="0"/>
      <w:sz w:val="18"/>
      <w:szCs w:val="18"/>
    </w:rPr>
  </w:style>
  <w:style w:type="paragraph" w:styleId="13">
    <w:name w:val="footer"/>
    <w:basedOn w:val="1"/>
    <w:qFormat/>
    <w:uiPriority w:val="99"/>
    <w:pPr>
      <w:tabs>
        <w:tab w:val="center" w:pos="4153"/>
        <w:tab w:val="right" w:pos="8306"/>
      </w:tabs>
      <w:snapToGrid w:val="0"/>
      <w:jc w:val="left"/>
    </w:pPr>
    <w:rPr>
      <w:kern w:val="0"/>
      <w:sz w:val="18"/>
      <w:szCs w:val="20"/>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List"/>
    <w:basedOn w:val="1"/>
    <w:qFormat/>
    <w:uiPriority w:val="0"/>
    <w:pPr>
      <w:ind w:left="200" w:hanging="200" w:hangingChars="200"/>
    </w:pPr>
  </w:style>
  <w:style w:type="paragraph" w:styleId="16">
    <w:name w:val="toc 2"/>
    <w:basedOn w:val="1"/>
    <w:next w:val="1"/>
    <w:qFormat/>
    <w:uiPriority w:val="0"/>
    <w:pPr>
      <w:ind w:left="420" w:leftChars="200"/>
    </w:pPr>
  </w:style>
  <w:style w:type="paragraph" w:styleId="17">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8">
    <w:name w:val="Body Text First Indent 2"/>
    <w:basedOn w:val="11"/>
    <w:next w:val="1"/>
    <w:qFormat/>
    <w:uiPriority w:val="0"/>
    <w:pPr>
      <w:spacing w:after="120" w:afterLines="0" w:line="240" w:lineRule="auto"/>
      <w:ind w:left="420" w:leftChars="200" w:firstLine="420" w:firstLineChars="200"/>
    </w:pPr>
    <w:rPr>
      <w:rFonts w:eastAsia="仿宋_GB2312"/>
      <w:snapToGrid w:val="0"/>
      <w:color w:val="000000"/>
      <w:kern w:val="0"/>
      <w:sz w:val="28"/>
      <w:szCs w:val="20"/>
    </w:rPr>
  </w:style>
  <w:style w:type="table" w:styleId="20">
    <w:name w:val="Table Grid"/>
    <w:basedOn w:val="1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qFormat/>
    <w:uiPriority w:val="0"/>
  </w:style>
  <w:style w:type="paragraph" w:customStyle="1" w:styleId="23">
    <w:name w:val="_Style 3"/>
    <w:basedOn w:val="2"/>
    <w:next w:val="1"/>
    <w:unhideWhenUsed/>
    <w:qFormat/>
    <w:uiPriority w:val="39"/>
    <w:pPr>
      <w:keepLines/>
      <w:widowControl/>
      <w:overflowPunct/>
      <w:snapToGrid/>
      <w:spacing w:before="480" w:after="0" w:line="276" w:lineRule="auto"/>
      <w:ind w:left="0" w:firstLine="0"/>
      <w:jc w:val="left"/>
      <w:outlineLvl w:val="9"/>
    </w:pPr>
    <w:rPr>
      <w:rFonts w:ascii="Cambria" w:hAnsi="Cambria" w:eastAsia="宋体" w:cs="Times New Roman"/>
      <w:color w:val="365F91"/>
      <w:kern w:val="0"/>
      <w:sz w:val="28"/>
      <w:szCs w:val="28"/>
    </w:rPr>
  </w:style>
  <w:style w:type="paragraph" w:customStyle="1" w:styleId="24">
    <w:name w:val="表格内容"/>
    <w:basedOn w:val="6"/>
    <w:qFormat/>
    <w:uiPriority w:val="0"/>
    <w:pPr>
      <w:widowControl/>
      <w:spacing w:line="360" w:lineRule="exact"/>
      <w:jc w:val="left"/>
    </w:pPr>
    <w:rPr>
      <w:rFonts w:ascii="宋体" w:hAnsi="宋体"/>
      <w:bCs/>
      <w:kern w:val="0"/>
      <w:szCs w:val="20"/>
    </w:rPr>
  </w:style>
  <w:style w:type="paragraph" w:customStyle="1" w:styleId="25">
    <w:name w:val="新表格正文"/>
    <w:basedOn w:val="1"/>
    <w:qFormat/>
    <w:uiPriority w:val="0"/>
    <w:pPr>
      <w:widowControl/>
      <w:adjustRightInd w:val="0"/>
      <w:snapToGrid w:val="0"/>
      <w:spacing w:line="0" w:lineRule="atLeast"/>
      <w:ind w:firstLine="0" w:firstLineChars="0"/>
      <w:jc w:val="center"/>
    </w:pPr>
    <w:rPr>
      <w:sz w:val="21"/>
      <w:szCs w:val="21"/>
      <w:lang w:val="zh-CN"/>
    </w:rPr>
  </w:style>
  <w:style w:type="paragraph" w:customStyle="1" w:styleId="2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0"/>
    </w:rPr>
  </w:style>
  <w:style w:type="paragraph" w:customStyle="1" w:styleId="27">
    <w:name w:val="胡正文"/>
    <w:basedOn w:val="1"/>
    <w:qFormat/>
    <w:uiPriority w:val="0"/>
    <w:pPr>
      <w:widowControl/>
      <w:spacing w:line="360" w:lineRule="auto"/>
      <w:ind w:firstLine="200" w:firstLineChars="200"/>
      <w:jc w:val="left"/>
    </w:pPr>
    <w:rPr>
      <w:rFonts w:ascii="宋体" w:hAnsi="宋体"/>
      <w:kern w:val="0"/>
      <w:sz w:val="24"/>
      <w:szCs w:val="28"/>
    </w:rPr>
  </w:style>
  <w:style w:type="paragraph" w:customStyle="1" w:styleId="28">
    <w:name w:val="表格"/>
    <w:basedOn w:val="15"/>
    <w:next w:val="1"/>
    <w:qFormat/>
    <w:uiPriority w:val="0"/>
    <w:pPr>
      <w:adjustRightInd w:val="0"/>
      <w:snapToGrid w:val="0"/>
      <w:spacing w:beforeLines="10" w:afterLines="10" w:line="259" w:lineRule="auto"/>
      <w:jc w:val="center"/>
    </w:pPr>
    <w:rPr>
      <w:rFonts w:ascii="宋体"/>
      <w:kern w:val="0"/>
      <w:szCs w:val="20"/>
    </w:rPr>
  </w:style>
  <w:style w:type="paragraph" w:customStyle="1" w:styleId="29">
    <w:name w:val="1"/>
    <w:basedOn w:val="1"/>
    <w:next w:val="9"/>
    <w:qFormat/>
    <w:uiPriority w:val="0"/>
    <w:pPr>
      <w:spacing w:line="200" w:lineRule="exact"/>
    </w:pPr>
    <w:rPr>
      <w:sz w:val="18"/>
      <w:szCs w:val="20"/>
    </w:rPr>
  </w:style>
  <w:style w:type="paragraph" w:customStyle="1" w:styleId="30">
    <w:name w:val="表格格式"/>
    <w:basedOn w:val="1"/>
    <w:autoRedefine/>
    <w:qFormat/>
    <w:uiPriority w:val="0"/>
    <w:pPr>
      <w:spacing w:line="240" w:lineRule="auto"/>
      <w:ind w:firstLine="0" w:firstLineChars="0"/>
      <w:jc w:val="center"/>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jpe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167</Pages>
  <Words>23668</Words>
  <Characters>24813</Characters>
  <Lines>0</Lines>
  <Paragraphs>0</Paragraphs>
  <TotalTime>57</TotalTime>
  <ScaleCrop>false</ScaleCrop>
  <LinksUpToDate>false</LinksUpToDate>
  <CharactersWithSpaces>24890</CharactersWithSpaces>
  <Application>WPS Office_12.1.0.20288_F1E327BC-269C-435d-A152-05C5408002CA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2025-01-13T01:07:00Z</dcterms:created>
  <dc:creator>WPS_1624239277</dc:creator>
  <cp:lastModifiedBy>无色相系黑白灰</cp:lastModifiedBy>
  <dcterms:modified xsi:type="dcterms:W3CDTF">2025-03-04T09:12:40Z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2052-12.1.0.20288</vt:lpwstr>
  </property>
  <property fmtid="{D5CDD505-2E9C-101B-9397-08002B2CF9AE}" pid="3" name="ICV">
    <vt:lpwstr>5EDB09A6B82B49A78B212DD203EEAAC6_11</vt:lpwstr>
  </property>
  <property fmtid="{D5CDD505-2E9C-101B-9397-08002B2CF9AE}" pid="4" name="KSOTemplateDocerSaveRecord">
    <vt:lpwstr>eyJoZGlkIjoiMzdiZDFiYjE5NGIzYTVhNmY1MTAxNjBjOGM1YTU4ZDEiLCJ1c2VySWQiOiI1NjkzNTUyOTEifQ==</vt:lpwstr>
  </property>
</Properties>
</file>